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1D4CB" w14:textId="4827BB34" w:rsidR="00ED4C65" w:rsidRPr="00ED4C65" w:rsidRDefault="00917F3B" w:rsidP="00ED4C6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Supplementary</w:t>
      </w:r>
      <w:r w:rsidR="00ED4C65" w:rsidRPr="00ED4C6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860418">
        <w:rPr>
          <w:rFonts w:ascii="Times New Roman" w:hAnsi="Times New Roman" w:cs="Times New Roman"/>
          <w:b/>
          <w:bCs/>
          <w:sz w:val="32"/>
          <w:szCs w:val="32"/>
        </w:rPr>
        <w:t>Materials</w:t>
      </w:r>
    </w:p>
    <w:p w14:paraId="313D3415" w14:textId="77777777" w:rsidR="00ED4C65" w:rsidRPr="00ED4C65" w:rsidRDefault="00ED4C65" w:rsidP="00ED4C65">
      <w:pPr>
        <w:rPr>
          <w:rFonts w:ascii="Times New Roman" w:hAnsi="Times New Roman" w:cs="Times New Roman"/>
          <w:b/>
          <w:bCs/>
        </w:rPr>
      </w:pPr>
      <w:r w:rsidRPr="00ED4C65">
        <w:rPr>
          <w:rFonts w:ascii="Times New Roman" w:hAnsi="Times New Roman" w:cs="Times New Roman"/>
          <w:b/>
          <w:bCs/>
        </w:rPr>
        <w:t>S1. Gaussian Simulation Parameters</w:t>
      </w:r>
    </w:p>
    <w:p w14:paraId="1403D649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 xml:space="preserve">The absorption and emission </w:t>
      </w:r>
      <w:proofErr w:type="gramStart"/>
      <w:r w:rsidRPr="00ED4C65">
        <w:rPr>
          <w:rFonts w:ascii="Times New Roman" w:hAnsi="Times New Roman" w:cs="Times New Roman"/>
        </w:rPr>
        <w:t>spectra</w:t>
      </w:r>
      <w:proofErr w:type="gramEnd"/>
      <w:r w:rsidRPr="00ED4C65">
        <w:rPr>
          <w:rFonts w:ascii="Times New Roman" w:hAnsi="Times New Roman" w:cs="Times New Roman"/>
        </w:rPr>
        <w:t xml:space="preserve"> of P3HT were modeled using Gaussian components to capture the vibronic progression (0-0, 0-1, 0-2). The following parameters were used for simulations:</w:t>
      </w:r>
    </w:p>
    <w:p w14:paraId="72405B06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Solution Phase:</w:t>
      </w:r>
    </w:p>
    <w:p w14:paraId="29F0F156" w14:textId="77777777" w:rsidR="00ED4C65" w:rsidRPr="00ED4C65" w:rsidRDefault="00ED4C65" w:rsidP="00ED4C6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0-0 peak: λ = 455 nm, σ = 25–30 nm, I = 1.0</w:t>
      </w:r>
    </w:p>
    <w:p w14:paraId="1B674956" w14:textId="77777777" w:rsidR="00ED4C65" w:rsidRPr="00ED4C65" w:rsidRDefault="00ED4C65" w:rsidP="00ED4C6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0-1 shoulder: λ = 495 nm, σ = 25–30 nm, I = 0.3</w:t>
      </w:r>
    </w:p>
    <w:p w14:paraId="64751A98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Aggregated Phase:</w:t>
      </w:r>
    </w:p>
    <w:p w14:paraId="7B8A1574" w14:textId="77777777" w:rsidR="00ED4C65" w:rsidRPr="00ED4C65" w:rsidRDefault="00ED4C65" w:rsidP="00ED4C65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0-0 peak: λ = 520 nm, σ = 15–20 nm, I = 1.0</w:t>
      </w:r>
    </w:p>
    <w:p w14:paraId="7B65F3FB" w14:textId="77777777" w:rsidR="00ED4C65" w:rsidRPr="00ED4C65" w:rsidRDefault="00ED4C65" w:rsidP="00ED4C65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0-1 peak: λ = 560 nm, σ = 15–20 nm, I = 0.75</w:t>
      </w:r>
    </w:p>
    <w:p w14:paraId="114DD34E" w14:textId="77777777" w:rsidR="00ED4C65" w:rsidRPr="00ED4C65" w:rsidRDefault="00ED4C65" w:rsidP="00ED4C65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0-2 peak: λ = 610 nm, σ = 15–20 nm, I = 0.65</w:t>
      </w:r>
    </w:p>
    <w:p w14:paraId="71B01932" w14:textId="77777777" w:rsid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Linewidths (σ) were adjusted to reflect disorder, crystallinity, and π-π stacking in different aggregation states.</w:t>
      </w:r>
    </w:p>
    <w:p w14:paraId="1A886A70" w14:textId="77777777" w:rsidR="00ED4C65" w:rsidRPr="00ED4C65" w:rsidRDefault="00ED4C65" w:rsidP="00ED4C65">
      <w:pPr>
        <w:rPr>
          <w:rFonts w:ascii="Times New Roman" w:hAnsi="Times New Roman" w:cs="Times New Roman"/>
        </w:rPr>
      </w:pPr>
    </w:p>
    <w:p w14:paraId="0BC38668" w14:textId="77777777" w:rsidR="00ED4C65" w:rsidRPr="00ED4C65" w:rsidRDefault="00ED4C65" w:rsidP="00ED4C65">
      <w:pPr>
        <w:rPr>
          <w:rFonts w:ascii="Times New Roman" w:hAnsi="Times New Roman" w:cs="Times New Roman"/>
          <w:b/>
          <w:bCs/>
        </w:rPr>
      </w:pPr>
      <w:r w:rsidRPr="00ED4C65">
        <w:rPr>
          <w:rFonts w:ascii="Times New Roman" w:hAnsi="Times New Roman" w:cs="Times New Roman"/>
          <w:b/>
          <w:bCs/>
        </w:rPr>
        <w:t>S2. Crystallization Conditions</w:t>
      </w:r>
    </w:p>
    <w:p w14:paraId="67080557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The effects of temperature, time, and polymer concentration on vibronic peaks were modeled as follows:</w:t>
      </w:r>
    </w:p>
    <w:p w14:paraId="39C1D856" w14:textId="77777777" w:rsidR="00ED4C65" w:rsidRPr="00ED4C65" w:rsidRDefault="00ED4C65" w:rsidP="00ED4C65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Temperature (T):</w:t>
      </w:r>
      <w:r w:rsidRPr="00ED4C65">
        <w:rPr>
          <w:rFonts w:ascii="Times New Roman" w:hAnsi="Times New Roman" w:cs="Times New Roman"/>
        </w:rPr>
        <w:t xml:space="preserve"> 25, 50, 75, 100, 125 °C</w:t>
      </w:r>
    </w:p>
    <w:p w14:paraId="5C952D23" w14:textId="77777777" w:rsidR="00ED4C65" w:rsidRPr="00ED4C65" w:rsidRDefault="00ED4C65" w:rsidP="00ED4C65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Crystallization Time (t):</w:t>
      </w:r>
      <w:r w:rsidRPr="00ED4C65">
        <w:rPr>
          <w:rFonts w:ascii="Times New Roman" w:hAnsi="Times New Roman" w:cs="Times New Roman"/>
        </w:rPr>
        <w:t xml:space="preserve"> 1–8 h</w:t>
      </w:r>
    </w:p>
    <w:p w14:paraId="61F18602" w14:textId="77777777" w:rsidR="00ED4C65" w:rsidRPr="00ED4C65" w:rsidRDefault="00ED4C65" w:rsidP="00ED4C65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Polymer Concentration (C):</w:t>
      </w:r>
      <w:r w:rsidRPr="00ED4C65">
        <w:rPr>
          <w:rFonts w:ascii="Times New Roman" w:hAnsi="Times New Roman" w:cs="Times New Roman"/>
        </w:rPr>
        <w:t xml:space="preserve"> 0.5–2.5 a.u.</w:t>
      </w:r>
    </w:p>
    <w:p w14:paraId="09AEE2F5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Gaussian peak positions and intensities were systematically modified according to:</w:t>
      </w:r>
    </w:p>
    <w:p w14:paraId="15457785" w14:textId="3CC651CE" w:rsidR="00ED4C65" w:rsidRPr="00ED4C65" w:rsidRDefault="00ED4C65" w:rsidP="00ED4C65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σ=18-0.5(t-1)</m:t>
          </m:r>
          <m:r>
            <m:rPr>
              <m:sty m:val="p"/>
            </m:rPr>
            <w:rPr>
              <w:rFonts w:ascii="Times New Roman" w:hAnsi="Times New Roman" w:cs="Times New Roman"/>
            </w:rPr>
            <w:br/>
          </m:r>
        </m:oMath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λ</m:t>
              </m:r>
            </m:e>
            <m:sub>
              <m:r>
                <w:rPr>
                  <w:rFonts w:ascii="Cambria Math" w:hAnsi="Cambria Math" w:cs="Times New Roman"/>
                </w:rPr>
                <m:t>0-0</m:t>
              </m:r>
            </m:sub>
          </m:sSub>
          <m:r>
            <w:rPr>
              <w:rFonts w:ascii="Cambria Math" w:hAnsi="Cambria Math" w:cs="Times New Roman"/>
            </w:rPr>
            <m:t>=530+0.05(C-1)</m:t>
          </m:r>
          <m:r>
            <m:rPr>
              <m:sty m:val="p"/>
            </m:rPr>
            <w:rPr>
              <w:rFonts w:ascii="Times New Roman" w:hAnsi="Times New Roman" w:cs="Times New Roman"/>
            </w:rPr>
            <w:br/>
          </m:r>
        </m:oMath>
        <m:oMath>
          <m:r>
            <w:rPr>
              <w:rFonts w:ascii="Cambria Math" w:hAnsi="Cambria Math" w:cs="Times New Roman"/>
            </w:rPr>
            <m:t>R(T)=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0-2</m:t>
                  </m:r>
                </m:sub>
              </m:sSub>
              <m:r>
                <w:rPr>
                  <w:rFonts w:ascii="Cambria Math" w:hAnsi="Cambria Math" w:cs="Times New Roman"/>
                </w:rPr>
                <m:t>(T)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0-1</m:t>
                  </m:r>
                </m:sub>
              </m:sSub>
              <m:r>
                <w:rPr>
                  <w:rFonts w:ascii="Cambria Math" w:hAnsi="Cambria Math" w:cs="Times New Roman"/>
                </w:rPr>
                <m:t>(T)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</w:rPr>
            <w:br/>
          </m:r>
        </m:oMath>
      </m:oMathPara>
    </w:p>
    <w:p w14:paraId="2506EABB" w14:textId="77777777" w:rsid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These relations simulate the evolution of molecular ordering, aggregation, and vibronic intensity ratios.</w:t>
      </w:r>
    </w:p>
    <w:p w14:paraId="79AA9F1A" w14:textId="77777777" w:rsidR="00ED4C65" w:rsidRPr="00ED4C65" w:rsidRDefault="00ED4C65" w:rsidP="00ED4C65">
      <w:pPr>
        <w:rPr>
          <w:rFonts w:ascii="Times New Roman" w:hAnsi="Times New Roman" w:cs="Times New Roman"/>
        </w:rPr>
      </w:pPr>
    </w:p>
    <w:p w14:paraId="1567D15E" w14:textId="77777777" w:rsidR="00ED4C65" w:rsidRPr="00ED4C65" w:rsidRDefault="00ED4C65" w:rsidP="00ED4C65">
      <w:pPr>
        <w:rPr>
          <w:rFonts w:ascii="Times New Roman" w:hAnsi="Times New Roman" w:cs="Times New Roman"/>
          <w:b/>
          <w:bCs/>
        </w:rPr>
      </w:pPr>
      <w:r w:rsidRPr="00ED4C65">
        <w:rPr>
          <w:rFonts w:ascii="Times New Roman" w:hAnsi="Times New Roman" w:cs="Times New Roman"/>
          <w:b/>
          <w:bCs/>
        </w:rPr>
        <w:lastRenderedPageBreak/>
        <w:t>S3. Solvent Effects</w:t>
      </w:r>
    </w:p>
    <w:p w14:paraId="4AD7B6EC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Solvent quality was simulated using a dimensionless aggregation parameter (0–1) to account for differences in chain solubility:</w:t>
      </w:r>
    </w:p>
    <w:p w14:paraId="50916947" w14:textId="77777777" w:rsidR="00ED4C65" w:rsidRPr="00ED4C65" w:rsidRDefault="00ED4C65" w:rsidP="00ED4C65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Good solvents: chloroform, chlorobenzene → broad, disordered spectra, lower 0-2/0-1 ratios (~0.8–0.9)</w:t>
      </w:r>
    </w:p>
    <w:p w14:paraId="7580B80F" w14:textId="77777777" w:rsidR="00ED4C65" w:rsidRPr="00ED4C65" w:rsidRDefault="00ED4C65" w:rsidP="00ED4C65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Poor solvents: toluene, acetone, hexylthiophene → sharper, red-shifted spectra, higher 0-2/0-1 ratios (~1.2–1.3)</w:t>
      </w:r>
    </w:p>
    <w:p w14:paraId="66220D89" w14:textId="77777777" w:rsid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Normalized Gaussian spectra were generated to quantify the impact of solvent on aggregation-induced vibronic progression.</w:t>
      </w:r>
    </w:p>
    <w:p w14:paraId="12F9AA89" w14:textId="77777777" w:rsidR="00ED4C65" w:rsidRPr="00ED4C65" w:rsidRDefault="00ED4C65" w:rsidP="00ED4C65">
      <w:pPr>
        <w:rPr>
          <w:rFonts w:ascii="Times New Roman" w:hAnsi="Times New Roman" w:cs="Times New Roman"/>
        </w:rPr>
      </w:pPr>
    </w:p>
    <w:p w14:paraId="436E24CD" w14:textId="77777777" w:rsidR="00ED4C65" w:rsidRPr="00ED4C65" w:rsidRDefault="00ED4C65" w:rsidP="00ED4C65">
      <w:pPr>
        <w:rPr>
          <w:rFonts w:ascii="Times New Roman" w:hAnsi="Times New Roman" w:cs="Times New Roman"/>
          <w:b/>
          <w:bCs/>
        </w:rPr>
      </w:pPr>
      <w:r w:rsidRPr="00ED4C65">
        <w:rPr>
          <w:rFonts w:ascii="Times New Roman" w:hAnsi="Times New Roman" w:cs="Times New Roman"/>
          <w:b/>
          <w:bCs/>
        </w:rPr>
        <w:t>S4. Stokes Shift Calculations</w:t>
      </w:r>
    </w:p>
    <w:p w14:paraId="738692C1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Stokes shifts (ΔE_Stokes) were computed from the Gaussian-fitted absorption (λ_abs) and emission (λ_em) maxima using:</w:t>
      </w:r>
    </w:p>
    <w:p w14:paraId="0CB8DE7E" w14:textId="2A5CB2EA" w:rsidR="00ED4C65" w:rsidRPr="00ED4C65" w:rsidRDefault="00ED4C65" w:rsidP="00ED4C65">
      <w:pPr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Δ</m:t>
          </m:r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E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</w:rPr>
                <m:t>Stokes</m:t>
              </m:r>
            </m:sub>
          </m:sSub>
          <m:r>
            <w:rPr>
              <w:rFonts w:ascii="Cambria Math" w:hAnsi="Cambria Math" w:cs="Times New Roman"/>
            </w:rPr>
            <m:t>=1240(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</w:rPr>
                    <m:t>abs</m:t>
                  </m:r>
                </m:sub>
              </m:sSub>
            </m:den>
          </m:f>
          <m:r>
            <w:rPr>
              <w:rFonts w:ascii="Cambria Math" w:hAnsi="Cambria Math" w:cs="Times New Roman"/>
            </w:rPr>
            <m:t>-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λ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</w:rPr>
                    <m:t>em</m:t>
                  </m:r>
                </m:sub>
              </m:sSub>
            </m:den>
          </m:f>
          <m:r>
            <w:rPr>
              <w:rFonts w:ascii="Cambria Math" w:hAnsi="Cambria Math" w:cs="Times New Roman"/>
            </w:rPr>
            <m:t>)</m:t>
          </m:r>
          <m:r>
            <m:rPr>
              <m:nor/>
            </m:rPr>
            <w:rPr>
              <w:rFonts w:ascii="Times New Roman" w:hAnsi="Times New Roman" w:cs="Times New Roman"/>
            </w:rPr>
            <m:t>eV</m:t>
          </m:r>
          <m:r>
            <m:rPr>
              <m:sty m:val="p"/>
            </m:rPr>
            <w:rPr>
              <w:rFonts w:ascii="Times New Roman" w:hAnsi="Times New Roman" w:cs="Times New Roman"/>
            </w:rPr>
            <w:br/>
          </m:r>
        </m:oMath>
      </m:oMathPara>
    </w:p>
    <w:p w14:paraId="2B3C3C4D" w14:textId="77777777" w:rsidR="00ED4C65" w:rsidRPr="00ED4C65" w:rsidRDefault="00ED4C65" w:rsidP="00ED4C65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Solution: ΔE_Stokes = 0.35 eV (λ_abs = 550 nm, λ_em = 650 nm)</w:t>
      </w:r>
    </w:p>
    <w:p w14:paraId="40E2161D" w14:textId="77777777" w:rsidR="00ED4C65" w:rsidRDefault="00ED4C65" w:rsidP="00ED4C65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Aggregates: ΔE_Stokes = 0.477 eV (λ_abs = 520 nm, λ_em = 650 nm)</w:t>
      </w:r>
    </w:p>
    <w:p w14:paraId="750E3910" w14:textId="77777777" w:rsidR="00ED4C65" w:rsidRPr="00ED4C65" w:rsidRDefault="00ED4C65" w:rsidP="00ED4C65">
      <w:pPr>
        <w:ind w:left="720"/>
        <w:rPr>
          <w:rFonts w:ascii="Times New Roman" w:hAnsi="Times New Roman" w:cs="Times New Roman"/>
        </w:rPr>
      </w:pPr>
    </w:p>
    <w:p w14:paraId="3C771C98" w14:textId="77777777" w:rsidR="00ED4C65" w:rsidRPr="00ED4C65" w:rsidRDefault="00ED4C65" w:rsidP="00ED4C65">
      <w:pPr>
        <w:rPr>
          <w:rFonts w:ascii="Times New Roman" w:hAnsi="Times New Roman" w:cs="Times New Roman"/>
          <w:b/>
          <w:bCs/>
        </w:rPr>
      </w:pPr>
      <w:r w:rsidRPr="00ED4C65">
        <w:rPr>
          <w:rFonts w:ascii="Times New Roman" w:hAnsi="Times New Roman" w:cs="Times New Roman"/>
          <w:b/>
          <w:bCs/>
        </w:rPr>
        <w:t>S5. Python Simulation Scripts</w:t>
      </w:r>
    </w:p>
    <w:p w14:paraId="4090C6B0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All simulations were executed using Python 3 with the following packages:</w:t>
      </w:r>
    </w:p>
    <w:p w14:paraId="0D23351E" w14:textId="77777777" w:rsidR="00ED4C65" w:rsidRPr="00ED4C65" w:rsidRDefault="00ED4C65" w:rsidP="00ED4C65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NumPy:</w:t>
      </w:r>
      <w:r w:rsidRPr="00ED4C65">
        <w:rPr>
          <w:rFonts w:ascii="Times New Roman" w:hAnsi="Times New Roman" w:cs="Times New Roman"/>
        </w:rPr>
        <w:t xml:space="preserve"> array handling and numerical computations</w:t>
      </w:r>
    </w:p>
    <w:p w14:paraId="1AB977F3" w14:textId="77777777" w:rsidR="00ED4C65" w:rsidRPr="00ED4C65" w:rsidRDefault="00ED4C65" w:rsidP="00ED4C65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Matplotlib:</w:t>
      </w:r>
      <w:r w:rsidRPr="00ED4C65">
        <w:rPr>
          <w:rFonts w:ascii="Times New Roman" w:hAnsi="Times New Roman" w:cs="Times New Roman"/>
        </w:rPr>
        <w:t xml:space="preserve"> plotting absorption and emission spectra</w:t>
      </w:r>
    </w:p>
    <w:p w14:paraId="583B53A8" w14:textId="77777777" w:rsidR="00ED4C65" w:rsidRPr="00ED4C65" w:rsidRDefault="00ED4C65" w:rsidP="00ED4C65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  <w:b/>
          <w:bCs/>
        </w:rPr>
        <w:t>SciPy:</w:t>
      </w:r>
      <w:r w:rsidRPr="00ED4C65">
        <w:rPr>
          <w:rFonts w:ascii="Times New Roman" w:hAnsi="Times New Roman" w:cs="Times New Roman"/>
        </w:rPr>
        <w:t xml:space="preserve"> Gaussian fitting and peak analysis</w:t>
      </w:r>
    </w:p>
    <w:p w14:paraId="77053E94" w14:textId="77777777" w:rsid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Annotated scripts are available from the corresponding author upon request.</w:t>
      </w:r>
    </w:p>
    <w:p w14:paraId="25E432D4" w14:textId="77777777" w:rsidR="00ED4C65" w:rsidRPr="00ED4C65" w:rsidRDefault="00ED4C65" w:rsidP="00ED4C65">
      <w:pPr>
        <w:rPr>
          <w:rFonts w:ascii="Times New Roman" w:hAnsi="Times New Roman" w:cs="Times New Roman"/>
        </w:rPr>
      </w:pPr>
    </w:p>
    <w:p w14:paraId="6D3DED80" w14:textId="1E150BF4" w:rsidR="00ED4C65" w:rsidRPr="00ED4C65" w:rsidRDefault="00ED4C65" w:rsidP="00ED4C65">
      <w:pPr>
        <w:rPr>
          <w:rFonts w:ascii="Times New Roman" w:hAnsi="Times New Roman" w:cs="Times New Roman"/>
          <w:b/>
          <w:bCs/>
        </w:rPr>
      </w:pPr>
      <w:r w:rsidRPr="00ED4C65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6</w:t>
      </w:r>
      <w:r w:rsidRPr="00ED4C65">
        <w:rPr>
          <w:rFonts w:ascii="Times New Roman" w:hAnsi="Times New Roman" w:cs="Times New Roman"/>
          <w:b/>
          <w:bCs/>
        </w:rPr>
        <w:t>. Data Availability</w:t>
      </w:r>
    </w:p>
    <w:p w14:paraId="7BCD3677" w14:textId="77777777" w:rsidR="00ED4C65" w:rsidRPr="00ED4C65" w:rsidRDefault="00ED4C65" w:rsidP="00ED4C65">
      <w:pPr>
        <w:rPr>
          <w:rFonts w:ascii="Times New Roman" w:hAnsi="Times New Roman" w:cs="Times New Roman"/>
        </w:rPr>
      </w:pPr>
      <w:r w:rsidRPr="00ED4C65">
        <w:rPr>
          <w:rFonts w:ascii="Times New Roman" w:hAnsi="Times New Roman" w:cs="Times New Roman"/>
        </w:rPr>
        <w:t>All Gaussian-fitted spectra, peak parameters, and Python scripts used for the simulations are available from the corresponding author upon reasonable request.</w:t>
      </w:r>
    </w:p>
    <w:p w14:paraId="7225464E" w14:textId="7FCD0B44" w:rsidR="00D54714" w:rsidRPr="00ED4C65" w:rsidRDefault="00D54714" w:rsidP="00ED4C65">
      <w:pPr>
        <w:rPr>
          <w:rFonts w:ascii="Times New Roman" w:hAnsi="Times New Roman" w:cs="Times New Roman"/>
        </w:rPr>
      </w:pPr>
    </w:p>
    <w:sectPr w:rsidR="00D54714" w:rsidRPr="00ED4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D7391"/>
    <w:multiLevelType w:val="multilevel"/>
    <w:tmpl w:val="85E8A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30FB4"/>
    <w:multiLevelType w:val="multilevel"/>
    <w:tmpl w:val="5324D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9E5FD3"/>
    <w:multiLevelType w:val="multilevel"/>
    <w:tmpl w:val="C870F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4962EB"/>
    <w:multiLevelType w:val="multilevel"/>
    <w:tmpl w:val="2938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026D1C"/>
    <w:multiLevelType w:val="multilevel"/>
    <w:tmpl w:val="414EA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3213C5"/>
    <w:multiLevelType w:val="multilevel"/>
    <w:tmpl w:val="28C8F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DF5121"/>
    <w:multiLevelType w:val="multilevel"/>
    <w:tmpl w:val="700E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0423288">
    <w:abstractNumId w:val="3"/>
  </w:num>
  <w:num w:numId="2" w16cid:durableId="868379100">
    <w:abstractNumId w:val="6"/>
  </w:num>
  <w:num w:numId="3" w16cid:durableId="557402668">
    <w:abstractNumId w:val="5"/>
  </w:num>
  <w:num w:numId="4" w16cid:durableId="780420887">
    <w:abstractNumId w:val="0"/>
  </w:num>
  <w:num w:numId="5" w16cid:durableId="1565992412">
    <w:abstractNumId w:val="2"/>
  </w:num>
  <w:num w:numId="6" w16cid:durableId="310212456">
    <w:abstractNumId w:val="1"/>
  </w:num>
  <w:num w:numId="7" w16cid:durableId="10473379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C65"/>
    <w:rsid w:val="003404C7"/>
    <w:rsid w:val="00860418"/>
    <w:rsid w:val="00917F3B"/>
    <w:rsid w:val="00CD39D3"/>
    <w:rsid w:val="00D54714"/>
    <w:rsid w:val="00ED4C65"/>
    <w:rsid w:val="00EE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DE46E"/>
  <w15:chartTrackingRefBased/>
  <w15:docId w15:val="{7D5C7D9A-3F4A-457B-88BE-FC62FA4DA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4C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C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C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C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C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C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C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C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C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C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C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C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C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C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C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C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C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C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4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C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4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C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4C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C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4C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C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C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C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313</Words>
  <Characters>2139</Characters>
  <Application>Microsoft Office Word</Application>
  <DocSecurity>0</DocSecurity>
  <Lines>36</Lines>
  <Paragraphs>16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O Agumba</dc:creator>
  <cp:keywords/>
  <dc:description/>
  <cp:lastModifiedBy>John O Agumba</cp:lastModifiedBy>
  <cp:revision>3</cp:revision>
  <dcterms:created xsi:type="dcterms:W3CDTF">2025-11-11T23:56:00Z</dcterms:created>
  <dcterms:modified xsi:type="dcterms:W3CDTF">2025-12-27T18:29:00Z</dcterms:modified>
</cp:coreProperties>
</file>