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84" w:rsidRDefault="00E82884" w:rsidP="00AB7397">
      <w:pPr>
        <w:pStyle w:val="Caption"/>
        <w:spacing w:line="480" w:lineRule="auto"/>
        <w:rPr>
          <w:rFonts w:cs="Times New Roman"/>
          <w:sz w:val="20"/>
          <w:szCs w:val="20"/>
        </w:rPr>
      </w:pPr>
      <w:bookmarkStart w:id="0" w:name="_Toc78968466"/>
      <w:bookmarkStart w:id="1" w:name="_GoBack"/>
      <w:bookmarkEnd w:id="1"/>
      <w:r>
        <w:rPr>
          <w:rFonts w:cs="Times New Roman"/>
          <w:sz w:val="20"/>
          <w:szCs w:val="20"/>
        </w:rPr>
        <w:t>Supplementary tables</w:t>
      </w:r>
    </w:p>
    <w:p w:rsidR="00D018AE" w:rsidRPr="004C7F20" w:rsidRDefault="00D018AE" w:rsidP="00D018AE">
      <w:pPr>
        <w:pStyle w:val="Caption"/>
        <w:spacing w:line="480" w:lineRule="auto"/>
        <w:rPr>
          <w:rFonts w:cs="Times New Roman"/>
          <w:sz w:val="20"/>
          <w:szCs w:val="20"/>
        </w:rPr>
      </w:pPr>
      <w:bookmarkStart w:id="2" w:name="_Toc78968467"/>
      <w:bookmarkEnd w:id="0"/>
      <w:r w:rsidRPr="004C7F20">
        <w:rPr>
          <w:rFonts w:cs="Times New Roman"/>
          <w:sz w:val="20"/>
          <w:szCs w:val="20"/>
        </w:rPr>
        <w:t xml:space="preserve">Table </w:t>
      </w:r>
      <w:r w:rsidR="00FE0974">
        <w:rPr>
          <w:rFonts w:cs="Times New Roman"/>
          <w:sz w:val="20"/>
          <w:szCs w:val="20"/>
        </w:rPr>
        <w:t>1</w:t>
      </w:r>
      <w:r w:rsidRPr="004C7F20">
        <w:rPr>
          <w:rFonts w:cs="Times New Roman"/>
          <w:sz w:val="20"/>
          <w:szCs w:val="20"/>
        </w:rPr>
        <w:t xml:space="preserve"> </w:t>
      </w:r>
      <w:r w:rsidRPr="00BD7C42">
        <w:rPr>
          <w:rFonts w:cs="Times New Roman"/>
          <w:b w:val="0"/>
          <w:sz w:val="20"/>
          <w:szCs w:val="20"/>
        </w:rPr>
        <w:t>Factors associated with knowledge towards pharmaceutical promotion</w:t>
      </w:r>
      <w:bookmarkEnd w:id="2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544"/>
        <w:gridCol w:w="2040"/>
        <w:gridCol w:w="2040"/>
      </w:tblGrid>
      <w:tr w:rsidR="00D018AE" w:rsidRPr="004C7F20" w:rsidTr="00C77779">
        <w:tc>
          <w:tcPr>
            <w:tcW w:w="2726" w:type="dxa"/>
            <w:vMerge w:val="restart"/>
          </w:tcPr>
          <w:p w:rsidR="00D018AE" w:rsidRPr="004C7F20" w:rsidRDefault="00D018AE" w:rsidP="00BD7C42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Variable</w:t>
            </w:r>
          </w:p>
        </w:tc>
        <w:tc>
          <w:tcPr>
            <w:tcW w:w="4584" w:type="dxa"/>
            <w:gridSpan w:val="2"/>
          </w:tcPr>
          <w:p w:rsidR="00D018AE" w:rsidRPr="004C7F20" w:rsidRDefault="00D018AE" w:rsidP="00BD7C42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Knowledge RII score</w:t>
            </w:r>
          </w:p>
        </w:tc>
        <w:tc>
          <w:tcPr>
            <w:tcW w:w="2040" w:type="dxa"/>
            <w:vMerge w:val="restart"/>
          </w:tcPr>
          <w:p w:rsidR="00D018AE" w:rsidRPr="004C7F20" w:rsidRDefault="00D018AE" w:rsidP="00BD7C42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p-value</w:t>
            </w:r>
          </w:p>
        </w:tc>
      </w:tr>
      <w:tr w:rsidR="00D018AE" w:rsidRPr="004C7F20" w:rsidTr="00C77779">
        <w:tc>
          <w:tcPr>
            <w:tcW w:w="2726" w:type="dxa"/>
            <w:vMerge/>
            <w:tcBorders>
              <w:bottom w:val="single" w:sz="4" w:space="0" w:color="auto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&lt;65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&gt;=65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Profession, n (%)</w:t>
            </w:r>
          </w:p>
        </w:tc>
        <w:tc>
          <w:tcPr>
            <w:tcW w:w="2544" w:type="dxa"/>
            <w:tcBorders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Medical doctor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 (12)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75 (88)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0.001</w:t>
            </w: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Pharmacist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115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Nurse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35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Student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 (8)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55 (92)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Age in years, mean (SD)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34 (6)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37 (10)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0.1373</w:t>
            </w: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Gender, n (%)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Male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 (6)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170 (94)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0.008</w:t>
            </w: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Female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110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Work experience in years, mean (SD)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11 (0.5)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13 (80.8)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0.2136</w:t>
            </w: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Education level, n (%)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Student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 (13)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35 (87)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0.028</w:t>
            </w: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Bachelors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60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Masters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 (6)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150 (94)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PhD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35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Other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Working institution, n (%)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Public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 (18)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45 (82)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&lt;0.001</w:t>
            </w: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Private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105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Both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95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Student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 (13)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35 (88)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018AE" w:rsidRPr="004C7F20" w:rsidTr="00C77779">
        <w:tc>
          <w:tcPr>
            <w:tcW w:w="2726" w:type="dxa"/>
            <w:tcBorders>
              <w:top w:val="nil"/>
            </w:tcBorders>
          </w:tcPr>
          <w:p w:rsidR="00D018AE" w:rsidRPr="004C7F20" w:rsidRDefault="00D018AE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Number of prescriptions involved per week, median (IQR)</w:t>
            </w:r>
          </w:p>
        </w:tc>
        <w:tc>
          <w:tcPr>
            <w:tcW w:w="2544" w:type="dxa"/>
            <w:tcBorders>
              <w:top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50 (0.1)</w:t>
            </w:r>
          </w:p>
        </w:tc>
        <w:tc>
          <w:tcPr>
            <w:tcW w:w="2040" w:type="dxa"/>
            <w:tcBorders>
              <w:top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88 (9.6)</w:t>
            </w:r>
          </w:p>
        </w:tc>
        <w:tc>
          <w:tcPr>
            <w:tcW w:w="2040" w:type="dxa"/>
            <w:tcBorders>
              <w:top w:val="nil"/>
            </w:tcBorders>
          </w:tcPr>
          <w:p w:rsidR="00D018AE" w:rsidRPr="004C7F20" w:rsidRDefault="00D018AE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0.2386</w:t>
            </w:r>
          </w:p>
        </w:tc>
      </w:tr>
    </w:tbl>
    <w:p w:rsidR="00D018AE" w:rsidRPr="004C7F20" w:rsidRDefault="00D018AE" w:rsidP="00D018AE">
      <w:pPr>
        <w:spacing w:line="480" w:lineRule="auto"/>
        <w:rPr>
          <w:szCs w:val="20"/>
        </w:rPr>
      </w:pPr>
      <w:r w:rsidRPr="004C7F20">
        <w:rPr>
          <w:szCs w:val="20"/>
        </w:rPr>
        <w:t>SD- Standard deviation; IQR- Interquartile Range</w:t>
      </w:r>
    </w:p>
    <w:p w:rsidR="00E162F1" w:rsidRDefault="00622C58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/>
    <w:p w:rsidR="00BD7C42" w:rsidRDefault="00BD7C42" w:rsidP="00FE0974">
      <w:pPr>
        <w:ind w:left="0" w:firstLine="0"/>
      </w:pPr>
    </w:p>
    <w:p w:rsidR="00BD7C42" w:rsidRPr="004C7F20" w:rsidRDefault="00FE0974" w:rsidP="00BD7C42">
      <w:pPr>
        <w:pStyle w:val="Caption"/>
        <w:spacing w:line="480" w:lineRule="auto"/>
        <w:rPr>
          <w:rFonts w:cs="Times New Roman"/>
          <w:sz w:val="20"/>
          <w:szCs w:val="20"/>
        </w:rPr>
      </w:pPr>
      <w:bookmarkStart w:id="3" w:name="_Toc78968468"/>
      <w:r>
        <w:rPr>
          <w:rFonts w:cs="Times New Roman"/>
          <w:sz w:val="20"/>
          <w:szCs w:val="20"/>
        </w:rPr>
        <w:lastRenderedPageBreak/>
        <w:t>Table 2</w:t>
      </w:r>
      <w:r w:rsidR="00BD7C42" w:rsidRPr="00BD7C42">
        <w:rPr>
          <w:rFonts w:cs="Times New Roman"/>
          <w:b w:val="0"/>
          <w:sz w:val="20"/>
          <w:szCs w:val="20"/>
        </w:rPr>
        <w:t xml:space="preserve"> Factors associated with attitudes towards pharmaceutical promotion</w:t>
      </w:r>
      <w:bookmarkEnd w:id="3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544"/>
        <w:gridCol w:w="2040"/>
        <w:gridCol w:w="2040"/>
      </w:tblGrid>
      <w:tr w:rsidR="00BD7C42" w:rsidRPr="004C7F20" w:rsidTr="00C77779">
        <w:tc>
          <w:tcPr>
            <w:tcW w:w="2726" w:type="dxa"/>
            <w:vMerge w:val="restart"/>
          </w:tcPr>
          <w:p w:rsidR="00BD7C42" w:rsidRPr="004C7F20" w:rsidRDefault="00BD7C42" w:rsidP="00BD7C42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Variable</w:t>
            </w:r>
          </w:p>
        </w:tc>
        <w:tc>
          <w:tcPr>
            <w:tcW w:w="4584" w:type="dxa"/>
            <w:gridSpan w:val="2"/>
          </w:tcPr>
          <w:p w:rsidR="00BD7C42" w:rsidRPr="004C7F20" w:rsidRDefault="00BD7C42" w:rsidP="00BD7C42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Attitude RII score</w:t>
            </w:r>
          </w:p>
        </w:tc>
        <w:tc>
          <w:tcPr>
            <w:tcW w:w="2040" w:type="dxa"/>
            <w:vMerge w:val="restart"/>
          </w:tcPr>
          <w:p w:rsidR="00BD7C42" w:rsidRPr="004C7F20" w:rsidRDefault="00BD7C42" w:rsidP="00BD7C42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p-value</w:t>
            </w:r>
          </w:p>
        </w:tc>
      </w:tr>
      <w:tr w:rsidR="00BD7C42" w:rsidRPr="004C7F20" w:rsidTr="00C77779">
        <w:tc>
          <w:tcPr>
            <w:tcW w:w="2726" w:type="dxa"/>
            <w:vMerge/>
            <w:tcBorders>
              <w:bottom w:val="single" w:sz="4" w:space="0" w:color="auto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&lt;65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&gt;=65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Profession, n (%)</w:t>
            </w:r>
          </w:p>
        </w:tc>
        <w:tc>
          <w:tcPr>
            <w:tcW w:w="2544" w:type="dxa"/>
            <w:tcBorders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Medical doctor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25 (28)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65 (72)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0.016</w:t>
            </w: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Pharmacist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50 (45)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60 (55)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Nurse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 (29)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25 (71)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Student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15 (25)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45 (71)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Age in years, mean (SD)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35 (6)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36 (11)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0.200</w:t>
            </w: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Gender, n (%)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Male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60 (32)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130 (68)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0.344</w:t>
            </w: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Female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30 (29)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75 (71)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Work experience in years, mean (SD)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12 (.6)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13 (0.7)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0.148</w:t>
            </w: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Education level, n (%)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Student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15 (38)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25 (62)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0.003</w:t>
            </w: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Bachelors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15 (23)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50 (77)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Masters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 (14)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30 (86)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PhD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 (14)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30 (86)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Other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Working institution, n (%)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Public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 (18)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48 (82)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&lt;0.001</w:t>
            </w: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Private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50 (50)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50 (50)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Both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25 (24)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80 (76)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Student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 (25)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30 (75)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D7C42" w:rsidRPr="004C7F20" w:rsidTr="00C77779">
        <w:tc>
          <w:tcPr>
            <w:tcW w:w="2726" w:type="dxa"/>
            <w:tcBorders>
              <w:top w:val="nil"/>
            </w:tcBorders>
          </w:tcPr>
          <w:p w:rsidR="00BD7C42" w:rsidRPr="004C7F20" w:rsidRDefault="00BD7C42" w:rsidP="00BD7C42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Number of prescriptions involved per week, median (IQR)</w:t>
            </w:r>
          </w:p>
        </w:tc>
        <w:tc>
          <w:tcPr>
            <w:tcW w:w="2544" w:type="dxa"/>
            <w:tcBorders>
              <w:top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150 (24)</w:t>
            </w:r>
          </w:p>
        </w:tc>
        <w:tc>
          <w:tcPr>
            <w:tcW w:w="2040" w:type="dxa"/>
            <w:tcBorders>
              <w:top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65 (9)</w:t>
            </w:r>
          </w:p>
        </w:tc>
        <w:tc>
          <w:tcPr>
            <w:tcW w:w="2040" w:type="dxa"/>
            <w:tcBorders>
              <w:top w:val="nil"/>
            </w:tcBorders>
          </w:tcPr>
          <w:p w:rsidR="00BD7C42" w:rsidRPr="004C7F20" w:rsidRDefault="00BD7C42" w:rsidP="00BD7C42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&lt;0.001</w:t>
            </w:r>
          </w:p>
        </w:tc>
      </w:tr>
    </w:tbl>
    <w:p w:rsidR="00BD7C42" w:rsidRDefault="00BD7C42" w:rsidP="00B64ED2">
      <w:pPr>
        <w:spacing w:line="480" w:lineRule="auto"/>
        <w:rPr>
          <w:szCs w:val="20"/>
        </w:rPr>
      </w:pPr>
      <w:r w:rsidRPr="004C7F20">
        <w:rPr>
          <w:szCs w:val="20"/>
        </w:rPr>
        <w:t>SD- Standard deviation; IQR- Interquartile Range</w:t>
      </w:r>
    </w:p>
    <w:p w:rsidR="00B64ED2" w:rsidRDefault="00B64ED2" w:rsidP="00B64ED2">
      <w:pPr>
        <w:spacing w:line="480" w:lineRule="auto"/>
        <w:rPr>
          <w:szCs w:val="20"/>
        </w:rPr>
      </w:pPr>
    </w:p>
    <w:p w:rsidR="00B64ED2" w:rsidRDefault="00B64ED2" w:rsidP="00B64ED2">
      <w:pPr>
        <w:spacing w:line="480" w:lineRule="auto"/>
        <w:rPr>
          <w:szCs w:val="20"/>
        </w:rPr>
      </w:pPr>
    </w:p>
    <w:p w:rsidR="00B64ED2" w:rsidRDefault="00B64ED2" w:rsidP="00B64ED2">
      <w:pPr>
        <w:spacing w:line="480" w:lineRule="auto"/>
        <w:rPr>
          <w:szCs w:val="20"/>
        </w:rPr>
      </w:pPr>
    </w:p>
    <w:p w:rsidR="00B64ED2" w:rsidRDefault="00B64ED2" w:rsidP="00B64ED2">
      <w:pPr>
        <w:spacing w:line="480" w:lineRule="auto"/>
        <w:rPr>
          <w:szCs w:val="20"/>
        </w:rPr>
      </w:pPr>
    </w:p>
    <w:p w:rsidR="00B64ED2" w:rsidRDefault="00B64ED2" w:rsidP="00B64ED2">
      <w:pPr>
        <w:spacing w:line="480" w:lineRule="auto"/>
        <w:rPr>
          <w:szCs w:val="20"/>
        </w:rPr>
      </w:pPr>
    </w:p>
    <w:p w:rsidR="00B64ED2" w:rsidRDefault="00B64ED2" w:rsidP="00B64ED2">
      <w:pPr>
        <w:spacing w:line="480" w:lineRule="auto"/>
        <w:rPr>
          <w:szCs w:val="20"/>
        </w:rPr>
      </w:pPr>
    </w:p>
    <w:p w:rsidR="00B64ED2" w:rsidRDefault="00B64ED2" w:rsidP="00B64ED2">
      <w:pPr>
        <w:spacing w:line="480" w:lineRule="auto"/>
        <w:rPr>
          <w:szCs w:val="20"/>
        </w:rPr>
      </w:pPr>
    </w:p>
    <w:p w:rsidR="00B64ED2" w:rsidRDefault="00B64ED2" w:rsidP="00B64ED2">
      <w:pPr>
        <w:spacing w:line="480" w:lineRule="auto"/>
        <w:rPr>
          <w:szCs w:val="20"/>
        </w:rPr>
      </w:pPr>
    </w:p>
    <w:p w:rsidR="00B64ED2" w:rsidRDefault="00B64ED2" w:rsidP="00B64ED2">
      <w:pPr>
        <w:spacing w:line="480" w:lineRule="auto"/>
        <w:rPr>
          <w:szCs w:val="20"/>
        </w:rPr>
      </w:pPr>
    </w:p>
    <w:p w:rsidR="00B64ED2" w:rsidRDefault="00B64ED2" w:rsidP="00B64ED2">
      <w:pPr>
        <w:spacing w:line="480" w:lineRule="auto"/>
        <w:rPr>
          <w:szCs w:val="20"/>
        </w:rPr>
      </w:pPr>
    </w:p>
    <w:p w:rsidR="00B64ED2" w:rsidRDefault="00B64ED2" w:rsidP="00B64ED2">
      <w:pPr>
        <w:spacing w:line="480" w:lineRule="auto"/>
        <w:rPr>
          <w:szCs w:val="20"/>
        </w:rPr>
      </w:pPr>
    </w:p>
    <w:p w:rsidR="00B64ED2" w:rsidRDefault="00B64ED2" w:rsidP="00B64ED2">
      <w:pPr>
        <w:spacing w:line="480" w:lineRule="auto"/>
        <w:rPr>
          <w:szCs w:val="20"/>
        </w:rPr>
      </w:pPr>
    </w:p>
    <w:p w:rsidR="00B64ED2" w:rsidRPr="004C7F20" w:rsidRDefault="00B64ED2" w:rsidP="00B64ED2">
      <w:pPr>
        <w:pStyle w:val="Caption"/>
        <w:spacing w:line="480" w:lineRule="auto"/>
        <w:rPr>
          <w:rFonts w:cs="Times New Roman"/>
          <w:sz w:val="20"/>
          <w:szCs w:val="20"/>
        </w:rPr>
      </w:pPr>
      <w:bookmarkStart w:id="4" w:name="_Toc78968469"/>
      <w:r w:rsidRPr="004C7F20">
        <w:rPr>
          <w:rFonts w:cs="Times New Roman"/>
          <w:sz w:val="20"/>
          <w:szCs w:val="20"/>
        </w:rPr>
        <w:lastRenderedPageBreak/>
        <w:t xml:space="preserve">Table </w:t>
      </w:r>
      <w:r w:rsidR="00FE0974">
        <w:rPr>
          <w:rFonts w:cs="Times New Roman"/>
          <w:sz w:val="20"/>
          <w:szCs w:val="20"/>
        </w:rPr>
        <w:t>3</w:t>
      </w:r>
      <w:r>
        <w:rPr>
          <w:rFonts w:cs="Times New Roman"/>
          <w:b w:val="0"/>
          <w:sz w:val="20"/>
          <w:szCs w:val="20"/>
        </w:rPr>
        <w:t xml:space="preserve"> </w:t>
      </w:r>
      <w:r w:rsidRPr="00B64ED2">
        <w:rPr>
          <w:rFonts w:cs="Times New Roman"/>
          <w:b w:val="0"/>
          <w:sz w:val="20"/>
          <w:szCs w:val="20"/>
        </w:rPr>
        <w:t>Factors associated with perception towards pharmaceutical promotion</w:t>
      </w:r>
      <w:bookmarkEnd w:id="4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544"/>
        <w:gridCol w:w="2040"/>
        <w:gridCol w:w="2040"/>
      </w:tblGrid>
      <w:tr w:rsidR="00B64ED2" w:rsidRPr="004C7F20" w:rsidTr="00C77779">
        <w:tc>
          <w:tcPr>
            <w:tcW w:w="2726" w:type="dxa"/>
            <w:vMerge w:val="restart"/>
          </w:tcPr>
          <w:p w:rsidR="00B64ED2" w:rsidRPr="004C7F20" w:rsidRDefault="00B64ED2" w:rsidP="003975A5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Variable</w:t>
            </w:r>
          </w:p>
        </w:tc>
        <w:tc>
          <w:tcPr>
            <w:tcW w:w="4584" w:type="dxa"/>
            <w:gridSpan w:val="2"/>
          </w:tcPr>
          <w:p w:rsidR="00B64ED2" w:rsidRPr="004C7F20" w:rsidRDefault="00B64ED2" w:rsidP="003975A5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Perception RII score</w:t>
            </w:r>
          </w:p>
        </w:tc>
        <w:tc>
          <w:tcPr>
            <w:tcW w:w="2040" w:type="dxa"/>
            <w:vMerge w:val="restart"/>
          </w:tcPr>
          <w:p w:rsidR="00B64ED2" w:rsidRPr="004C7F20" w:rsidRDefault="00B64ED2" w:rsidP="003975A5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p-value</w:t>
            </w:r>
          </w:p>
        </w:tc>
      </w:tr>
      <w:tr w:rsidR="00B64ED2" w:rsidRPr="004C7F20" w:rsidTr="00C77779">
        <w:tc>
          <w:tcPr>
            <w:tcW w:w="2726" w:type="dxa"/>
            <w:vMerge/>
            <w:tcBorders>
              <w:bottom w:val="single" w:sz="4" w:space="0" w:color="auto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&lt;65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b/>
                <w:szCs w:val="20"/>
              </w:rPr>
            </w:pPr>
            <w:r w:rsidRPr="004C7F20">
              <w:rPr>
                <w:b/>
                <w:szCs w:val="20"/>
              </w:rPr>
              <w:t>&gt;=65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B64ED2" w:rsidRPr="004C7F20" w:rsidRDefault="00B64ED2" w:rsidP="003975A5">
            <w:pPr>
              <w:spacing w:line="240" w:lineRule="auto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Profession, n (%)</w:t>
            </w:r>
          </w:p>
        </w:tc>
        <w:tc>
          <w:tcPr>
            <w:tcW w:w="2544" w:type="dxa"/>
            <w:tcBorders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rPr>
                <w:szCs w:val="20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rPr>
                <w:szCs w:val="20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Medical doctor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 (11)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85 (89)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&lt;0.001</w:t>
            </w: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Pharmacist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20 (19)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85 (81)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Nurse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30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Student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60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Age in years, mean (SD)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35 (4)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36 (10)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0.305</w:t>
            </w: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Gender, n (%)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Male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20 (11)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155 (89)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0.034</w:t>
            </w: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Female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 (5)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105 (95)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Work experience in years, mean (SD)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 (4)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13 (4.5)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0.053</w:t>
            </w: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Education level, n (%)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Student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40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0.006</w:t>
            </w: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Bachelors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 (8)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55 (92)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Masters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25 (15)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140 (85)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PhD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30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Other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Working institution, n (%)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Public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15 (25)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45 (75)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&lt;0.001</w:t>
            </w: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Private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 (11)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85 (89)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Both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5 (5)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95 (95)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right"/>
              <w:rPr>
                <w:szCs w:val="20"/>
              </w:rPr>
            </w:pPr>
            <w:r w:rsidRPr="004C7F20">
              <w:rPr>
                <w:szCs w:val="20"/>
              </w:rPr>
              <w:t>Student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40 (100)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B64ED2" w:rsidRPr="004C7F20" w:rsidTr="00C77779">
        <w:tc>
          <w:tcPr>
            <w:tcW w:w="2726" w:type="dxa"/>
            <w:tcBorders>
              <w:top w:val="nil"/>
            </w:tcBorders>
          </w:tcPr>
          <w:p w:rsidR="00B64ED2" w:rsidRPr="004C7F20" w:rsidRDefault="00B64ED2" w:rsidP="003975A5">
            <w:pPr>
              <w:spacing w:line="240" w:lineRule="auto"/>
              <w:rPr>
                <w:szCs w:val="20"/>
              </w:rPr>
            </w:pPr>
            <w:r w:rsidRPr="004C7F20">
              <w:rPr>
                <w:szCs w:val="20"/>
              </w:rPr>
              <w:t>Number of prescriptions involved per week, median (IQR)</w:t>
            </w:r>
          </w:p>
        </w:tc>
        <w:tc>
          <w:tcPr>
            <w:tcW w:w="2544" w:type="dxa"/>
            <w:tcBorders>
              <w:top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100 (17)</w:t>
            </w:r>
          </w:p>
        </w:tc>
        <w:tc>
          <w:tcPr>
            <w:tcW w:w="2040" w:type="dxa"/>
            <w:tcBorders>
              <w:top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61 (7)</w:t>
            </w:r>
          </w:p>
        </w:tc>
        <w:tc>
          <w:tcPr>
            <w:tcW w:w="2040" w:type="dxa"/>
            <w:tcBorders>
              <w:top w:val="nil"/>
            </w:tcBorders>
          </w:tcPr>
          <w:p w:rsidR="00B64ED2" w:rsidRPr="004C7F20" w:rsidRDefault="00B64ED2" w:rsidP="003975A5">
            <w:pPr>
              <w:spacing w:line="240" w:lineRule="auto"/>
              <w:jc w:val="center"/>
              <w:rPr>
                <w:szCs w:val="20"/>
              </w:rPr>
            </w:pPr>
            <w:r w:rsidRPr="004C7F20">
              <w:rPr>
                <w:szCs w:val="20"/>
              </w:rPr>
              <w:t>0.090</w:t>
            </w:r>
          </w:p>
        </w:tc>
      </w:tr>
    </w:tbl>
    <w:p w:rsidR="00B64ED2" w:rsidRPr="004C7F20" w:rsidRDefault="00B64ED2" w:rsidP="00B64ED2">
      <w:pPr>
        <w:spacing w:line="480" w:lineRule="auto"/>
        <w:rPr>
          <w:szCs w:val="20"/>
        </w:rPr>
      </w:pPr>
      <w:r w:rsidRPr="004C7F20">
        <w:rPr>
          <w:szCs w:val="20"/>
        </w:rPr>
        <w:t>SD- Standard deviation; IQR- Interquartile Range</w:t>
      </w:r>
    </w:p>
    <w:p w:rsidR="00B64ED2" w:rsidRDefault="00B64ED2" w:rsidP="00B64ED2">
      <w:pPr>
        <w:spacing w:line="480" w:lineRule="auto"/>
      </w:pPr>
    </w:p>
    <w:sectPr w:rsidR="00B64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97"/>
    <w:rsid w:val="00120E2A"/>
    <w:rsid w:val="003906B3"/>
    <w:rsid w:val="003975A5"/>
    <w:rsid w:val="00622C58"/>
    <w:rsid w:val="00787FA1"/>
    <w:rsid w:val="009673BC"/>
    <w:rsid w:val="00AB7397"/>
    <w:rsid w:val="00AE48F6"/>
    <w:rsid w:val="00B64ED2"/>
    <w:rsid w:val="00BD7C42"/>
    <w:rsid w:val="00D018AE"/>
    <w:rsid w:val="00E82884"/>
    <w:rsid w:val="00EA00E9"/>
    <w:rsid w:val="00F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B41DA-68FE-4016-8011-EC418294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397"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  <w:lang w:val="en-ZW" w:eastAsia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397"/>
    <w:pPr>
      <w:spacing w:after="0" w:line="240" w:lineRule="auto"/>
    </w:pPr>
    <w:rPr>
      <w:lang w:val="en-ZW" w:eastAsia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B7397"/>
    <w:pPr>
      <w:spacing w:after="200" w:line="240" w:lineRule="auto"/>
      <w:ind w:left="0" w:firstLine="0"/>
    </w:pPr>
    <w:rPr>
      <w:rFonts w:eastAsiaTheme="minorEastAsia" w:cstheme="minorBidi"/>
      <w:b/>
      <w:iCs/>
      <w:color w:val="000000" w:themeColor="text1"/>
      <w:sz w:val="24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2021-08-18T11:38:00Z</dcterms:created>
  <dcterms:modified xsi:type="dcterms:W3CDTF">2021-08-18T11:38:00Z</dcterms:modified>
</cp:coreProperties>
</file>