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864E" w14:textId="4FFEED75" w:rsidR="00AA6659" w:rsidRPr="000033F7" w:rsidRDefault="000033F7">
      <w:pPr>
        <w:pStyle w:val="Heading1"/>
        <w:rPr>
          <w:rFonts w:ascii="Times New Roman" w:hAnsi="Times New Roman" w:cs="Times New Roman"/>
          <w:color w:val="auto"/>
          <w:sz w:val="24"/>
          <w:szCs w:val="24"/>
        </w:rPr>
      </w:pPr>
      <w:r>
        <w:rPr>
          <w:rFonts w:ascii="Times New Roman" w:hAnsi="Times New Roman" w:cs="Times New Roman"/>
          <w:color w:val="auto"/>
          <w:sz w:val="24"/>
          <w:szCs w:val="24"/>
        </w:rPr>
        <w:t>Additional file 2</w:t>
      </w:r>
      <w:r w:rsidRPr="000033F7">
        <w:rPr>
          <w:rFonts w:ascii="Times New Roman" w:hAnsi="Times New Roman" w:cs="Times New Roman"/>
          <w:color w:val="auto"/>
          <w:sz w:val="24"/>
          <w:szCs w:val="24"/>
        </w:rPr>
        <w:t>. Respondents’ attitudes toward screening for sickle cell nephropathy (N = 200)</w:t>
      </w:r>
    </w:p>
    <w:tbl>
      <w:tblPr>
        <w:tblW w:w="0" w:type="auto"/>
        <w:tblLook w:val="04A0" w:firstRow="1" w:lastRow="0" w:firstColumn="1" w:lastColumn="0" w:noHBand="0" w:noVBand="1"/>
      </w:tblPr>
      <w:tblGrid>
        <w:gridCol w:w="1383"/>
        <w:gridCol w:w="1375"/>
        <w:gridCol w:w="1723"/>
        <w:gridCol w:w="1410"/>
        <w:gridCol w:w="1369"/>
        <w:gridCol w:w="1380"/>
      </w:tblGrid>
      <w:tr w:rsidR="00AA6659" w:rsidRPr="000033F7" w14:paraId="21DB81AA" w14:textId="77777777" w:rsidTr="000033F7">
        <w:tc>
          <w:tcPr>
            <w:tcW w:w="1426" w:type="dxa"/>
            <w:tcBorders>
              <w:top w:val="single" w:sz="4" w:space="0" w:color="auto"/>
              <w:bottom w:val="single" w:sz="4" w:space="0" w:color="auto"/>
            </w:tcBorders>
          </w:tcPr>
          <w:p w14:paraId="587F4DFA" w14:textId="77777777" w:rsidR="00AA6659" w:rsidRPr="000033F7" w:rsidRDefault="000033F7">
            <w:pPr>
              <w:rPr>
                <w:b/>
                <w:bCs/>
              </w:rPr>
            </w:pPr>
            <w:r w:rsidRPr="000033F7">
              <w:rPr>
                <w:b/>
                <w:bCs/>
              </w:rPr>
              <w:t>Rank</w:t>
            </w:r>
          </w:p>
        </w:tc>
        <w:tc>
          <w:tcPr>
            <w:tcW w:w="1425" w:type="dxa"/>
            <w:tcBorders>
              <w:top w:val="single" w:sz="4" w:space="0" w:color="auto"/>
              <w:bottom w:val="single" w:sz="4" w:space="0" w:color="auto"/>
            </w:tcBorders>
          </w:tcPr>
          <w:p w14:paraId="26DF6263" w14:textId="77777777" w:rsidR="00AA6659" w:rsidRPr="000033F7" w:rsidRDefault="000033F7">
            <w:pPr>
              <w:rPr>
                <w:b/>
                <w:bCs/>
              </w:rPr>
            </w:pPr>
            <w:r w:rsidRPr="000033F7">
              <w:rPr>
                <w:b/>
                <w:bCs/>
              </w:rPr>
              <w:t>Item</w:t>
            </w:r>
          </w:p>
        </w:tc>
        <w:tc>
          <w:tcPr>
            <w:tcW w:w="1723" w:type="dxa"/>
            <w:tcBorders>
              <w:top w:val="single" w:sz="4" w:space="0" w:color="auto"/>
              <w:bottom w:val="single" w:sz="4" w:space="0" w:color="auto"/>
            </w:tcBorders>
          </w:tcPr>
          <w:p w14:paraId="62CE3F63" w14:textId="77777777" w:rsidR="00AA6659" w:rsidRPr="000033F7" w:rsidRDefault="000033F7">
            <w:pPr>
              <w:rPr>
                <w:b/>
                <w:bCs/>
              </w:rPr>
            </w:pPr>
            <w:r w:rsidRPr="000033F7">
              <w:rPr>
                <w:b/>
                <w:bCs/>
              </w:rPr>
              <w:t>Attitude assessed</w:t>
            </w:r>
          </w:p>
        </w:tc>
        <w:tc>
          <w:tcPr>
            <w:tcW w:w="1433" w:type="dxa"/>
            <w:tcBorders>
              <w:top w:val="single" w:sz="4" w:space="0" w:color="auto"/>
              <w:bottom w:val="single" w:sz="4" w:space="0" w:color="auto"/>
            </w:tcBorders>
          </w:tcPr>
          <w:p w14:paraId="1D62A77D" w14:textId="77777777" w:rsidR="00AA6659" w:rsidRPr="000033F7" w:rsidRDefault="000033F7">
            <w:pPr>
              <w:rPr>
                <w:b/>
                <w:bCs/>
              </w:rPr>
            </w:pPr>
            <w:r w:rsidRPr="000033F7">
              <w:rPr>
                <w:b/>
                <w:bCs/>
              </w:rPr>
              <w:t>Strongly agree (n)</w:t>
            </w:r>
          </w:p>
        </w:tc>
        <w:tc>
          <w:tcPr>
            <w:tcW w:w="1423" w:type="dxa"/>
            <w:tcBorders>
              <w:top w:val="single" w:sz="4" w:space="0" w:color="auto"/>
              <w:bottom w:val="single" w:sz="4" w:space="0" w:color="auto"/>
            </w:tcBorders>
          </w:tcPr>
          <w:p w14:paraId="6CC016D0" w14:textId="77777777" w:rsidR="00AA6659" w:rsidRPr="000033F7" w:rsidRDefault="000033F7">
            <w:pPr>
              <w:rPr>
                <w:b/>
                <w:bCs/>
              </w:rPr>
            </w:pPr>
            <w:r w:rsidRPr="000033F7">
              <w:rPr>
                <w:b/>
                <w:bCs/>
              </w:rPr>
              <w:t>%</w:t>
            </w:r>
          </w:p>
        </w:tc>
        <w:tc>
          <w:tcPr>
            <w:tcW w:w="1426" w:type="dxa"/>
            <w:tcBorders>
              <w:top w:val="single" w:sz="4" w:space="0" w:color="auto"/>
              <w:bottom w:val="single" w:sz="4" w:space="0" w:color="auto"/>
            </w:tcBorders>
          </w:tcPr>
          <w:p w14:paraId="20381071" w14:textId="77777777" w:rsidR="00AA6659" w:rsidRPr="000033F7" w:rsidRDefault="000033F7">
            <w:pPr>
              <w:rPr>
                <w:b/>
                <w:bCs/>
              </w:rPr>
            </w:pPr>
            <w:r w:rsidRPr="000033F7">
              <w:rPr>
                <w:b/>
                <w:bCs/>
              </w:rPr>
              <w:t>95% CI</w:t>
            </w:r>
          </w:p>
        </w:tc>
      </w:tr>
      <w:tr w:rsidR="00AA6659" w14:paraId="7CC78550" w14:textId="77777777" w:rsidTr="000033F7">
        <w:tc>
          <w:tcPr>
            <w:tcW w:w="1426" w:type="dxa"/>
            <w:tcBorders>
              <w:top w:val="single" w:sz="4" w:space="0" w:color="auto"/>
            </w:tcBorders>
          </w:tcPr>
          <w:p w14:paraId="7D0A1C96" w14:textId="77777777" w:rsidR="00AA6659" w:rsidRDefault="000033F7">
            <w:r>
              <w:t>1</w:t>
            </w:r>
          </w:p>
        </w:tc>
        <w:tc>
          <w:tcPr>
            <w:tcW w:w="1425" w:type="dxa"/>
            <w:tcBorders>
              <w:top w:val="single" w:sz="4" w:space="0" w:color="auto"/>
            </w:tcBorders>
          </w:tcPr>
          <w:p w14:paraId="07F7B1CA" w14:textId="77777777" w:rsidR="00AA6659" w:rsidRDefault="000033F7">
            <w:r>
              <w:t>33</w:t>
            </w:r>
          </w:p>
        </w:tc>
        <w:tc>
          <w:tcPr>
            <w:tcW w:w="1723" w:type="dxa"/>
            <w:tcBorders>
              <w:top w:val="single" w:sz="4" w:space="0" w:color="auto"/>
            </w:tcBorders>
          </w:tcPr>
          <w:p w14:paraId="446C3945" w14:textId="77777777" w:rsidR="00AA6659" w:rsidRDefault="000033F7">
            <w:r>
              <w:t>Team-based care (pediatrician, nurse, biologist) improves screening effectiveness</w:t>
            </w:r>
          </w:p>
        </w:tc>
        <w:tc>
          <w:tcPr>
            <w:tcW w:w="1433" w:type="dxa"/>
            <w:tcBorders>
              <w:top w:val="single" w:sz="4" w:space="0" w:color="auto"/>
            </w:tcBorders>
          </w:tcPr>
          <w:p w14:paraId="06DDF053" w14:textId="77777777" w:rsidR="00AA6659" w:rsidRDefault="000033F7">
            <w:r>
              <w:t>150</w:t>
            </w:r>
          </w:p>
        </w:tc>
        <w:tc>
          <w:tcPr>
            <w:tcW w:w="1423" w:type="dxa"/>
            <w:tcBorders>
              <w:top w:val="single" w:sz="4" w:space="0" w:color="auto"/>
            </w:tcBorders>
          </w:tcPr>
          <w:p w14:paraId="0B5954FB" w14:textId="77777777" w:rsidR="00AA6659" w:rsidRDefault="000033F7">
            <w:r>
              <w:t>75.0</w:t>
            </w:r>
          </w:p>
        </w:tc>
        <w:tc>
          <w:tcPr>
            <w:tcW w:w="1426" w:type="dxa"/>
            <w:tcBorders>
              <w:top w:val="single" w:sz="4" w:space="0" w:color="auto"/>
            </w:tcBorders>
          </w:tcPr>
          <w:p w14:paraId="7D1DD6D4" w14:textId="77777777" w:rsidR="00AA6659" w:rsidRDefault="000033F7">
            <w:r>
              <w:t>68.6–80.5</w:t>
            </w:r>
          </w:p>
        </w:tc>
      </w:tr>
      <w:tr w:rsidR="00AA6659" w14:paraId="34FE25E9" w14:textId="77777777" w:rsidTr="000033F7">
        <w:tc>
          <w:tcPr>
            <w:tcW w:w="1426" w:type="dxa"/>
          </w:tcPr>
          <w:p w14:paraId="0D524979" w14:textId="77777777" w:rsidR="00AA6659" w:rsidRDefault="000033F7">
            <w:r>
              <w:t>2</w:t>
            </w:r>
          </w:p>
        </w:tc>
        <w:tc>
          <w:tcPr>
            <w:tcW w:w="1425" w:type="dxa"/>
          </w:tcPr>
          <w:p w14:paraId="28D960BA" w14:textId="77777777" w:rsidR="00AA6659" w:rsidRDefault="000033F7">
            <w:r>
              <w:t>30</w:t>
            </w:r>
          </w:p>
        </w:tc>
        <w:tc>
          <w:tcPr>
            <w:tcW w:w="1723" w:type="dxa"/>
          </w:tcPr>
          <w:p w14:paraId="36609B22" w14:textId="77777777" w:rsidR="00AA6659" w:rsidRDefault="000033F7">
            <w:r>
              <w:t>Children with sickle cell disease should undergo renal screening at each annual visit</w:t>
            </w:r>
          </w:p>
        </w:tc>
        <w:tc>
          <w:tcPr>
            <w:tcW w:w="1433" w:type="dxa"/>
          </w:tcPr>
          <w:p w14:paraId="332C3FD8" w14:textId="77777777" w:rsidR="00AA6659" w:rsidRDefault="000033F7">
            <w:r>
              <w:t>131</w:t>
            </w:r>
          </w:p>
        </w:tc>
        <w:tc>
          <w:tcPr>
            <w:tcW w:w="1423" w:type="dxa"/>
          </w:tcPr>
          <w:p w14:paraId="439A08CD" w14:textId="77777777" w:rsidR="00AA6659" w:rsidRDefault="000033F7">
            <w:r>
              <w:t>65.5</w:t>
            </w:r>
          </w:p>
        </w:tc>
        <w:tc>
          <w:tcPr>
            <w:tcW w:w="1426" w:type="dxa"/>
          </w:tcPr>
          <w:p w14:paraId="07507751" w14:textId="77777777" w:rsidR="00AA6659" w:rsidRDefault="000033F7">
            <w:r>
              <w:t>58.7–71.7</w:t>
            </w:r>
          </w:p>
        </w:tc>
      </w:tr>
      <w:tr w:rsidR="00AA6659" w14:paraId="562748D3" w14:textId="77777777" w:rsidTr="000033F7">
        <w:tc>
          <w:tcPr>
            <w:tcW w:w="1426" w:type="dxa"/>
          </w:tcPr>
          <w:p w14:paraId="15011A10" w14:textId="77777777" w:rsidR="00AA6659" w:rsidRDefault="000033F7">
            <w:r>
              <w:t>3</w:t>
            </w:r>
          </w:p>
        </w:tc>
        <w:tc>
          <w:tcPr>
            <w:tcW w:w="1425" w:type="dxa"/>
          </w:tcPr>
          <w:p w14:paraId="6651970D" w14:textId="77777777" w:rsidR="00AA6659" w:rsidRDefault="000033F7">
            <w:r>
              <w:t>32</w:t>
            </w:r>
          </w:p>
        </w:tc>
        <w:tc>
          <w:tcPr>
            <w:tcW w:w="1723" w:type="dxa"/>
          </w:tcPr>
          <w:p w14:paraId="631CB340" w14:textId="77777777" w:rsidR="00AA6659" w:rsidRDefault="000033F7">
            <w:r>
              <w:t>Parents should be better educated about renal monitoring</w:t>
            </w:r>
          </w:p>
        </w:tc>
        <w:tc>
          <w:tcPr>
            <w:tcW w:w="1433" w:type="dxa"/>
          </w:tcPr>
          <w:p w14:paraId="5F157CCF" w14:textId="77777777" w:rsidR="00AA6659" w:rsidRDefault="000033F7">
            <w:r>
              <w:t>131</w:t>
            </w:r>
          </w:p>
        </w:tc>
        <w:tc>
          <w:tcPr>
            <w:tcW w:w="1423" w:type="dxa"/>
          </w:tcPr>
          <w:p w14:paraId="5661F3E1" w14:textId="77777777" w:rsidR="00AA6659" w:rsidRDefault="000033F7">
            <w:r>
              <w:t>65.5</w:t>
            </w:r>
          </w:p>
        </w:tc>
        <w:tc>
          <w:tcPr>
            <w:tcW w:w="1426" w:type="dxa"/>
          </w:tcPr>
          <w:p w14:paraId="06D5E10C" w14:textId="77777777" w:rsidR="00AA6659" w:rsidRDefault="000033F7">
            <w:r>
              <w:t>58.7–71.7</w:t>
            </w:r>
          </w:p>
        </w:tc>
      </w:tr>
      <w:tr w:rsidR="00AA6659" w14:paraId="21C00867" w14:textId="77777777" w:rsidTr="000033F7">
        <w:tc>
          <w:tcPr>
            <w:tcW w:w="1426" w:type="dxa"/>
          </w:tcPr>
          <w:p w14:paraId="3C219AB9" w14:textId="77777777" w:rsidR="00AA6659" w:rsidRDefault="000033F7">
            <w:r>
              <w:t>4</w:t>
            </w:r>
          </w:p>
        </w:tc>
        <w:tc>
          <w:tcPr>
            <w:tcW w:w="1425" w:type="dxa"/>
          </w:tcPr>
          <w:p w14:paraId="70397D67" w14:textId="77777777" w:rsidR="00AA6659" w:rsidRDefault="000033F7">
            <w:r>
              <w:t>35</w:t>
            </w:r>
          </w:p>
        </w:tc>
        <w:tc>
          <w:tcPr>
            <w:tcW w:w="1723" w:type="dxa"/>
          </w:tcPr>
          <w:p w14:paraId="688CBC38" w14:textId="77777777" w:rsidR="00AA6659" w:rsidRDefault="000033F7">
            <w:r>
              <w:t>Health authorities should integrate renal monitoring into national guidelines</w:t>
            </w:r>
          </w:p>
        </w:tc>
        <w:tc>
          <w:tcPr>
            <w:tcW w:w="1433" w:type="dxa"/>
          </w:tcPr>
          <w:p w14:paraId="7A1DAE72" w14:textId="77777777" w:rsidR="00AA6659" w:rsidRDefault="000033F7">
            <w:r>
              <w:t>127</w:t>
            </w:r>
          </w:p>
        </w:tc>
        <w:tc>
          <w:tcPr>
            <w:tcW w:w="1423" w:type="dxa"/>
          </w:tcPr>
          <w:p w14:paraId="5FBA4027" w14:textId="77777777" w:rsidR="00AA6659" w:rsidRDefault="000033F7">
            <w:r>
              <w:t>63.5</w:t>
            </w:r>
          </w:p>
        </w:tc>
        <w:tc>
          <w:tcPr>
            <w:tcW w:w="1426" w:type="dxa"/>
          </w:tcPr>
          <w:p w14:paraId="073BF203" w14:textId="77777777" w:rsidR="00AA6659" w:rsidRDefault="000033F7">
            <w:r>
              <w:t>56.6–69.9</w:t>
            </w:r>
          </w:p>
        </w:tc>
      </w:tr>
      <w:tr w:rsidR="00AA6659" w14:paraId="6FA1A7AE" w14:textId="77777777" w:rsidTr="000033F7">
        <w:tc>
          <w:tcPr>
            <w:tcW w:w="1426" w:type="dxa"/>
          </w:tcPr>
          <w:p w14:paraId="5F0F0A71" w14:textId="77777777" w:rsidR="00AA6659" w:rsidRDefault="000033F7">
            <w:r>
              <w:t>5</w:t>
            </w:r>
          </w:p>
        </w:tc>
        <w:tc>
          <w:tcPr>
            <w:tcW w:w="1425" w:type="dxa"/>
          </w:tcPr>
          <w:p w14:paraId="5F1085A3" w14:textId="77777777" w:rsidR="00AA6659" w:rsidRDefault="000033F7">
            <w:r>
              <w:t>27</w:t>
            </w:r>
          </w:p>
        </w:tc>
        <w:tc>
          <w:tcPr>
            <w:tcW w:w="1723" w:type="dxa"/>
          </w:tcPr>
          <w:p w14:paraId="17E3B055" w14:textId="77777777" w:rsidR="00AA6659" w:rsidRDefault="000033F7">
            <w:r>
              <w:t xml:space="preserve">Lack of adequate equipment, reagents, or </w:t>
            </w:r>
            <w:r>
              <w:lastRenderedPageBreak/>
              <w:t>dipsticks makes screening difficult</w:t>
            </w:r>
          </w:p>
        </w:tc>
        <w:tc>
          <w:tcPr>
            <w:tcW w:w="1433" w:type="dxa"/>
          </w:tcPr>
          <w:p w14:paraId="14F078DC" w14:textId="77777777" w:rsidR="00AA6659" w:rsidRDefault="000033F7">
            <w:r>
              <w:lastRenderedPageBreak/>
              <w:t>111</w:t>
            </w:r>
          </w:p>
        </w:tc>
        <w:tc>
          <w:tcPr>
            <w:tcW w:w="1423" w:type="dxa"/>
          </w:tcPr>
          <w:p w14:paraId="68594A70" w14:textId="77777777" w:rsidR="00AA6659" w:rsidRDefault="000033F7">
            <w:r>
              <w:t>55.5</w:t>
            </w:r>
          </w:p>
        </w:tc>
        <w:tc>
          <w:tcPr>
            <w:tcW w:w="1426" w:type="dxa"/>
          </w:tcPr>
          <w:p w14:paraId="4489A592" w14:textId="77777777" w:rsidR="00AA6659" w:rsidRDefault="000033F7">
            <w:r>
              <w:t>48.6–62.2</w:t>
            </w:r>
          </w:p>
        </w:tc>
      </w:tr>
      <w:tr w:rsidR="00AA6659" w14:paraId="051C67FC" w14:textId="77777777" w:rsidTr="000033F7">
        <w:tc>
          <w:tcPr>
            <w:tcW w:w="1426" w:type="dxa"/>
          </w:tcPr>
          <w:p w14:paraId="27AAAFA7" w14:textId="77777777" w:rsidR="00AA6659" w:rsidRDefault="000033F7">
            <w:r>
              <w:t>6</w:t>
            </w:r>
          </w:p>
        </w:tc>
        <w:tc>
          <w:tcPr>
            <w:tcW w:w="1425" w:type="dxa"/>
          </w:tcPr>
          <w:p w14:paraId="5A2173CE" w14:textId="77777777" w:rsidR="00AA6659" w:rsidRDefault="000033F7">
            <w:r>
              <w:t>25</w:t>
            </w:r>
          </w:p>
        </w:tc>
        <w:tc>
          <w:tcPr>
            <w:tcW w:w="1723" w:type="dxa"/>
          </w:tcPr>
          <w:p w14:paraId="50649361" w14:textId="77777777" w:rsidR="00AA6659" w:rsidRDefault="000033F7">
            <w:r>
              <w:t>The cost of tests often limits systematic screening</w:t>
            </w:r>
          </w:p>
        </w:tc>
        <w:tc>
          <w:tcPr>
            <w:tcW w:w="1433" w:type="dxa"/>
          </w:tcPr>
          <w:p w14:paraId="3D76DF82" w14:textId="77777777" w:rsidR="00AA6659" w:rsidRDefault="000033F7">
            <w:r>
              <w:t>109</w:t>
            </w:r>
          </w:p>
        </w:tc>
        <w:tc>
          <w:tcPr>
            <w:tcW w:w="1423" w:type="dxa"/>
          </w:tcPr>
          <w:p w14:paraId="14694DF4" w14:textId="77777777" w:rsidR="00AA6659" w:rsidRDefault="000033F7">
            <w:r>
              <w:t>54.5</w:t>
            </w:r>
          </w:p>
        </w:tc>
        <w:tc>
          <w:tcPr>
            <w:tcW w:w="1426" w:type="dxa"/>
          </w:tcPr>
          <w:p w14:paraId="26E0474F" w14:textId="77777777" w:rsidR="00AA6659" w:rsidRDefault="000033F7">
            <w:r>
              <w:t>47.6–61.3</w:t>
            </w:r>
          </w:p>
        </w:tc>
      </w:tr>
      <w:tr w:rsidR="00AA6659" w14:paraId="676A98CB" w14:textId="77777777" w:rsidTr="000033F7">
        <w:tc>
          <w:tcPr>
            <w:tcW w:w="1426" w:type="dxa"/>
          </w:tcPr>
          <w:p w14:paraId="2DCDF08F" w14:textId="77777777" w:rsidR="00AA6659" w:rsidRDefault="000033F7">
            <w:r>
              <w:t>7</w:t>
            </w:r>
          </w:p>
        </w:tc>
        <w:tc>
          <w:tcPr>
            <w:tcW w:w="1425" w:type="dxa"/>
          </w:tcPr>
          <w:p w14:paraId="509278C3" w14:textId="77777777" w:rsidR="00AA6659" w:rsidRDefault="000033F7">
            <w:r>
              <w:t>29</w:t>
            </w:r>
          </w:p>
        </w:tc>
        <w:tc>
          <w:tcPr>
            <w:tcW w:w="1723" w:type="dxa"/>
          </w:tcPr>
          <w:p w14:paraId="1E2FB060" w14:textId="77777777" w:rsidR="00AA6659" w:rsidRDefault="000033F7">
            <w:r>
              <w:t>Cystatin C should be available in secondary and tertiary hospitals for early screening</w:t>
            </w:r>
          </w:p>
        </w:tc>
        <w:tc>
          <w:tcPr>
            <w:tcW w:w="1433" w:type="dxa"/>
          </w:tcPr>
          <w:p w14:paraId="268E1D0E" w14:textId="77777777" w:rsidR="00AA6659" w:rsidRDefault="000033F7">
            <w:r>
              <w:t>100</w:t>
            </w:r>
          </w:p>
        </w:tc>
        <w:tc>
          <w:tcPr>
            <w:tcW w:w="1423" w:type="dxa"/>
          </w:tcPr>
          <w:p w14:paraId="34FD752F" w14:textId="77777777" w:rsidR="00AA6659" w:rsidRDefault="000033F7">
            <w:r>
              <w:t>50.0</w:t>
            </w:r>
          </w:p>
        </w:tc>
        <w:tc>
          <w:tcPr>
            <w:tcW w:w="1426" w:type="dxa"/>
          </w:tcPr>
          <w:p w14:paraId="7A855068" w14:textId="77777777" w:rsidR="00AA6659" w:rsidRDefault="000033F7">
            <w:r>
              <w:t>43.1–56.9</w:t>
            </w:r>
          </w:p>
        </w:tc>
      </w:tr>
      <w:tr w:rsidR="00AA6659" w14:paraId="6304EF49" w14:textId="77777777" w:rsidTr="000033F7">
        <w:tc>
          <w:tcPr>
            <w:tcW w:w="1426" w:type="dxa"/>
          </w:tcPr>
          <w:p w14:paraId="7F749D0D" w14:textId="77777777" w:rsidR="00AA6659" w:rsidRDefault="000033F7">
            <w:r>
              <w:t>8</w:t>
            </w:r>
          </w:p>
        </w:tc>
        <w:tc>
          <w:tcPr>
            <w:tcW w:w="1425" w:type="dxa"/>
          </w:tcPr>
          <w:p w14:paraId="37B9FED9" w14:textId="77777777" w:rsidR="00AA6659" w:rsidRDefault="000033F7">
            <w:r>
              <w:t>31</w:t>
            </w:r>
          </w:p>
        </w:tc>
        <w:tc>
          <w:tcPr>
            <w:tcW w:w="1723" w:type="dxa"/>
          </w:tcPr>
          <w:p w14:paraId="75729FDF" w14:textId="77777777" w:rsidR="00AA6659" w:rsidRDefault="000033F7">
            <w:r>
              <w:t>Early screening is a low priority compared with prevention of vaso-occlusive crises</w:t>
            </w:r>
          </w:p>
        </w:tc>
        <w:tc>
          <w:tcPr>
            <w:tcW w:w="1433" w:type="dxa"/>
          </w:tcPr>
          <w:p w14:paraId="496C346F" w14:textId="77777777" w:rsidR="00AA6659" w:rsidRDefault="000033F7">
            <w:r>
              <w:t>58</w:t>
            </w:r>
          </w:p>
        </w:tc>
        <w:tc>
          <w:tcPr>
            <w:tcW w:w="1423" w:type="dxa"/>
          </w:tcPr>
          <w:p w14:paraId="57245B11" w14:textId="77777777" w:rsidR="00AA6659" w:rsidRDefault="000033F7">
            <w:r>
              <w:t>29.0</w:t>
            </w:r>
          </w:p>
        </w:tc>
        <w:tc>
          <w:tcPr>
            <w:tcW w:w="1426" w:type="dxa"/>
          </w:tcPr>
          <w:p w14:paraId="28C685BA" w14:textId="77777777" w:rsidR="00AA6659" w:rsidRDefault="000033F7">
            <w:r>
              <w:t>23.2–35.6</w:t>
            </w:r>
          </w:p>
        </w:tc>
      </w:tr>
      <w:tr w:rsidR="00AA6659" w14:paraId="68E5E8DB" w14:textId="77777777" w:rsidTr="000033F7">
        <w:tc>
          <w:tcPr>
            <w:tcW w:w="1426" w:type="dxa"/>
          </w:tcPr>
          <w:p w14:paraId="4F5C9EA2" w14:textId="77777777" w:rsidR="00AA6659" w:rsidRDefault="000033F7">
            <w:r>
              <w:t>9</w:t>
            </w:r>
          </w:p>
        </w:tc>
        <w:tc>
          <w:tcPr>
            <w:tcW w:w="1425" w:type="dxa"/>
          </w:tcPr>
          <w:p w14:paraId="2F3E81E6" w14:textId="77777777" w:rsidR="00AA6659" w:rsidRDefault="000033F7">
            <w:r>
              <w:t>24</w:t>
            </w:r>
          </w:p>
        </w:tc>
        <w:tc>
          <w:tcPr>
            <w:tcW w:w="1723" w:type="dxa"/>
          </w:tcPr>
          <w:p w14:paraId="0C0A0E41" w14:textId="77777777" w:rsidR="00AA6659" w:rsidRDefault="000033F7">
            <w:r>
              <w:t>Early screening of renal complications is a priority in my facility</w:t>
            </w:r>
          </w:p>
        </w:tc>
        <w:tc>
          <w:tcPr>
            <w:tcW w:w="1433" w:type="dxa"/>
          </w:tcPr>
          <w:p w14:paraId="78D181D7" w14:textId="77777777" w:rsidR="00AA6659" w:rsidRDefault="000033F7">
            <w:r>
              <w:t>53</w:t>
            </w:r>
          </w:p>
        </w:tc>
        <w:tc>
          <w:tcPr>
            <w:tcW w:w="1423" w:type="dxa"/>
          </w:tcPr>
          <w:p w14:paraId="186F1815" w14:textId="77777777" w:rsidR="00AA6659" w:rsidRDefault="000033F7">
            <w:r>
              <w:t>26.5</w:t>
            </w:r>
          </w:p>
        </w:tc>
        <w:tc>
          <w:tcPr>
            <w:tcW w:w="1426" w:type="dxa"/>
          </w:tcPr>
          <w:p w14:paraId="78FBA495" w14:textId="77777777" w:rsidR="00AA6659" w:rsidRDefault="000033F7">
            <w:r>
              <w:t>20.9–33.0</w:t>
            </w:r>
          </w:p>
        </w:tc>
      </w:tr>
      <w:tr w:rsidR="00AA6659" w14:paraId="24286C3F" w14:textId="77777777" w:rsidTr="000033F7">
        <w:tc>
          <w:tcPr>
            <w:tcW w:w="1426" w:type="dxa"/>
          </w:tcPr>
          <w:p w14:paraId="5722F5CB" w14:textId="77777777" w:rsidR="00AA6659" w:rsidRDefault="000033F7">
            <w:r>
              <w:t>10</w:t>
            </w:r>
          </w:p>
        </w:tc>
        <w:tc>
          <w:tcPr>
            <w:tcW w:w="1425" w:type="dxa"/>
          </w:tcPr>
          <w:p w14:paraId="733C5D96" w14:textId="77777777" w:rsidR="00AA6659" w:rsidRDefault="000033F7">
            <w:r>
              <w:t>28</w:t>
            </w:r>
          </w:p>
        </w:tc>
        <w:tc>
          <w:tcPr>
            <w:tcW w:w="1723" w:type="dxa"/>
          </w:tcPr>
          <w:p w14:paraId="6DDF3275" w14:textId="77777777" w:rsidR="00AA6659" w:rsidRDefault="000033F7">
            <w:r>
              <w:t>I feel sufficiently trained to interpret renal-related laboratory and urine test results</w:t>
            </w:r>
          </w:p>
        </w:tc>
        <w:tc>
          <w:tcPr>
            <w:tcW w:w="1433" w:type="dxa"/>
          </w:tcPr>
          <w:p w14:paraId="269FB328" w14:textId="77777777" w:rsidR="00AA6659" w:rsidRDefault="000033F7">
            <w:r>
              <w:t>26</w:t>
            </w:r>
          </w:p>
        </w:tc>
        <w:tc>
          <w:tcPr>
            <w:tcW w:w="1423" w:type="dxa"/>
          </w:tcPr>
          <w:p w14:paraId="57A8DAB9" w14:textId="77777777" w:rsidR="00AA6659" w:rsidRDefault="000033F7">
            <w:r>
              <w:t>13.0</w:t>
            </w:r>
          </w:p>
        </w:tc>
        <w:tc>
          <w:tcPr>
            <w:tcW w:w="1426" w:type="dxa"/>
          </w:tcPr>
          <w:p w14:paraId="03DBD935" w14:textId="77777777" w:rsidR="00AA6659" w:rsidRDefault="000033F7">
            <w:r>
              <w:t>9.0–18.4</w:t>
            </w:r>
          </w:p>
        </w:tc>
      </w:tr>
      <w:tr w:rsidR="00AA6659" w14:paraId="4693B27A" w14:textId="77777777" w:rsidTr="000033F7">
        <w:tc>
          <w:tcPr>
            <w:tcW w:w="1426" w:type="dxa"/>
          </w:tcPr>
          <w:p w14:paraId="3DCD63E2" w14:textId="77777777" w:rsidR="00AA6659" w:rsidRDefault="000033F7">
            <w:r>
              <w:lastRenderedPageBreak/>
              <w:t>11</w:t>
            </w:r>
          </w:p>
        </w:tc>
        <w:tc>
          <w:tcPr>
            <w:tcW w:w="1425" w:type="dxa"/>
          </w:tcPr>
          <w:p w14:paraId="0B7DBB62" w14:textId="77777777" w:rsidR="00AA6659" w:rsidRDefault="000033F7">
            <w:r>
              <w:t>26</w:t>
            </w:r>
          </w:p>
        </w:tc>
        <w:tc>
          <w:tcPr>
            <w:tcW w:w="1723" w:type="dxa"/>
          </w:tcPr>
          <w:p w14:paraId="718A4FC0" w14:textId="77777777" w:rsidR="00AA6659" w:rsidRDefault="000033F7">
            <w:r>
              <w:t>Simple urine tests alone are sufficient to identify early renal damage</w:t>
            </w:r>
          </w:p>
        </w:tc>
        <w:tc>
          <w:tcPr>
            <w:tcW w:w="1433" w:type="dxa"/>
          </w:tcPr>
          <w:p w14:paraId="62227EF2" w14:textId="77777777" w:rsidR="00AA6659" w:rsidRDefault="000033F7">
            <w:r>
              <w:t>24</w:t>
            </w:r>
          </w:p>
        </w:tc>
        <w:tc>
          <w:tcPr>
            <w:tcW w:w="1423" w:type="dxa"/>
          </w:tcPr>
          <w:p w14:paraId="606CF00A" w14:textId="77777777" w:rsidR="00AA6659" w:rsidRDefault="000033F7">
            <w:r>
              <w:t>12.0</w:t>
            </w:r>
          </w:p>
        </w:tc>
        <w:tc>
          <w:tcPr>
            <w:tcW w:w="1426" w:type="dxa"/>
          </w:tcPr>
          <w:p w14:paraId="4E419F93" w14:textId="77777777" w:rsidR="00AA6659" w:rsidRDefault="000033F7">
            <w:r>
              <w:t>8.2–17.2</w:t>
            </w:r>
          </w:p>
        </w:tc>
      </w:tr>
      <w:tr w:rsidR="00AA6659" w14:paraId="765E1FE1" w14:textId="77777777" w:rsidTr="000033F7">
        <w:tc>
          <w:tcPr>
            <w:tcW w:w="1426" w:type="dxa"/>
            <w:tcBorders>
              <w:bottom w:val="single" w:sz="4" w:space="0" w:color="auto"/>
            </w:tcBorders>
          </w:tcPr>
          <w:p w14:paraId="2B32D7A0" w14:textId="77777777" w:rsidR="00AA6659" w:rsidRDefault="000033F7">
            <w:r>
              <w:t>12</w:t>
            </w:r>
          </w:p>
        </w:tc>
        <w:tc>
          <w:tcPr>
            <w:tcW w:w="1425" w:type="dxa"/>
            <w:tcBorders>
              <w:bottom w:val="single" w:sz="4" w:space="0" w:color="auto"/>
            </w:tcBorders>
          </w:tcPr>
          <w:p w14:paraId="5886DEC7" w14:textId="77777777" w:rsidR="00AA6659" w:rsidRDefault="000033F7">
            <w:r>
              <w:t>34</w:t>
            </w:r>
          </w:p>
        </w:tc>
        <w:tc>
          <w:tcPr>
            <w:tcW w:w="1723" w:type="dxa"/>
            <w:tcBorders>
              <w:bottom w:val="single" w:sz="4" w:space="0" w:color="auto"/>
            </w:tcBorders>
          </w:tcPr>
          <w:p w14:paraId="491D6756" w14:textId="77777777" w:rsidR="00AA6659" w:rsidRDefault="000033F7">
            <w:r>
              <w:t>Workload constraints prevent implementation of protocols</w:t>
            </w:r>
          </w:p>
        </w:tc>
        <w:tc>
          <w:tcPr>
            <w:tcW w:w="1433" w:type="dxa"/>
            <w:tcBorders>
              <w:bottom w:val="single" w:sz="4" w:space="0" w:color="auto"/>
            </w:tcBorders>
          </w:tcPr>
          <w:p w14:paraId="08122F6E" w14:textId="77777777" w:rsidR="00AA6659" w:rsidRDefault="000033F7">
            <w:r>
              <w:t>20</w:t>
            </w:r>
          </w:p>
        </w:tc>
        <w:tc>
          <w:tcPr>
            <w:tcW w:w="1423" w:type="dxa"/>
            <w:tcBorders>
              <w:bottom w:val="single" w:sz="4" w:space="0" w:color="auto"/>
            </w:tcBorders>
          </w:tcPr>
          <w:p w14:paraId="3CB232A1" w14:textId="77777777" w:rsidR="00AA6659" w:rsidRDefault="000033F7">
            <w:r>
              <w:t>10.0</w:t>
            </w:r>
          </w:p>
        </w:tc>
        <w:tc>
          <w:tcPr>
            <w:tcW w:w="1426" w:type="dxa"/>
            <w:tcBorders>
              <w:bottom w:val="single" w:sz="4" w:space="0" w:color="auto"/>
            </w:tcBorders>
          </w:tcPr>
          <w:p w14:paraId="1B4D0FA6" w14:textId="77777777" w:rsidR="00AA6659" w:rsidRDefault="000033F7">
            <w:r>
              <w:t>6.6–14.9</w:t>
            </w:r>
          </w:p>
        </w:tc>
      </w:tr>
    </w:tbl>
    <w:p w14:paraId="13F9ED02" w14:textId="14DADD94" w:rsidR="000033F7" w:rsidRDefault="000033F7" w:rsidP="000033F7">
      <w:pPr>
        <w:spacing w:line="360" w:lineRule="auto"/>
      </w:pPr>
      <w:r>
        <w:t xml:space="preserve">Additional file 2 </w:t>
      </w:r>
      <w:r w:rsidRPr="000033F7">
        <w:t xml:space="preserve">summarizes respondents’ attitudes toward screening for sickle cell nephropathy. Overall, attitudes were moderately favorable, with </w:t>
      </w:r>
      <w:proofErr w:type="gramStart"/>
      <w:r w:rsidRPr="000033F7">
        <w:t>a majority of</w:t>
      </w:r>
      <w:proofErr w:type="gramEnd"/>
      <w:r w:rsidRPr="000033F7">
        <w:t xml:space="preserve"> respondents strongly agreeing on the importance of team-based care, annual renal screening for children with sickle cell disease, parental education, and the integration of renal monitoring into national guidelines. At the same time, structural and economic constraints were widely acknowledged, including limited availability of equipment and reagents, as well as the cost of laboratory tests, which were perceived as major barriers to systematic screening. In contrast, relatively few respondents strongly agreed that early renal screening is currently a priority within their health facilities or that they feel sufficiently trained to interpret renal-related laboratory and urine test result</w:t>
      </w:r>
      <w:r>
        <w:t>s.</w:t>
      </w:r>
    </w:p>
    <w:sectPr w:rsidR="00000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3132963">
    <w:abstractNumId w:val="8"/>
  </w:num>
  <w:num w:numId="2" w16cid:durableId="592128488">
    <w:abstractNumId w:val="6"/>
  </w:num>
  <w:num w:numId="3" w16cid:durableId="325327949">
    <w:abstractNumId w:val="5"/>
  </w:num>
  <w:num w:numId="4" w16cid:durableId="833957373">
    <w:abstractNumId w:val="4"/>
  </w:num>
  <w:num w:numId="5" w16cid:durableId="1578442018">
    <w:abstractNumId w:val="7"/>
  </w:num>
  <w:num w:numId="6" w16cid:durableId="311714018">
    <w:abstractNumId w:val="3"/>
  </w:num>
  <w:num w:numId="7" w16cid:durableId="13847058">
    <w:abstractNumId w:val="2"/>
  </w:num>
  <w:num w:numId="8" w16cid:durableId="2024043902">
    <w:abstractNumId w:val="1"/>
  </w:num>
  <w:num w:numId="9" w16cid:durableId="79189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3F7"/>
    <w:rsid w:val="00034616"/>
    <w:rsid w:val="0006063C"/>
    <w:rsid w:val="0015074B"/>
    <w:rsid w:val="0029639D"/>
    <w:rsid w:val="00326F90"/>
    <w:rsid w:val="005A4CBA"/>
    <w:rsid w:val="00AA1D8D"/>
    <w:rsid w:val="00AA665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0FA06"/>
  <w14:defaultImageDpi w14:val="300"/>
  <w15:docId w15:val="{84256F7D-A118-4670-950A-B1D3DAB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1800</Characters>
  <Application>Microsoft Office Word</Application>
  <DocSecurity>0</DocSecurity>
  <Lines>300</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Mupenzi Mumbere</cp:lastModifiedBy>
  <cp:revision>2</cp:revision>
  <dcterms:created xsi:type="dcterms:W3CDTF">2026-01-09T11:23:00Z</dcterms:created>
  <dcterms:modified xsi:type="dcterms:W3CDTF">2026-01-09T11:23:00Z</dcterms:modified>
  <cp:category/>
</cp:coreProperties>
</file>