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A931" w14:textId="4D3C5B37" w:rsidR="00A21C60" w:rsidRPr="006B0F3A" w:rsidRDefault="001A42B7" w:rsidP="00CC7832">
      <w:pPr>
        <w:pStyle w:val="Title"/>
        <w:rPr>
          <w:rFonts w:ascii="Times New Roman" w:hAnsi="Times New Roman" w:cs="Times New Roman"/>
          <w:sz w:val="48"/>
          <w:szCs w:val="48"/>
        </w:rPr>
      </w:pPr>
      <w:r w:rsidRPr="006B0F3A">
        <w:rPr>
          <w:rFonts w:ascii="Times New Roman" w:hAnsi="Times New Roman" w:cs="Times New Roman"/>
          <w:sz w:val="48"/>
          <w:szCs w:val="48"/>
        </w:rPr>
        <w:t>Supplementary Materials</w:t>
      </w:r>
    </w:p>
    <w:p w14:paraId="7BFFA56C" w14:textId="77777777" w:rsidR="00CC7832" w:rsidRPr="006B0F3A" w:rsidRDefault="00CC7832" w:rsidP="00CC7832">
      <w:pPr>
        <w:rPr>
          <w:rFonts w:ascii="Times New Roman" w:hAnsi="Times New Roman" w:cs="Times New Roman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4"/>
        <w:gridCol w:w="4506"/>
      </w:tblGrid>
      <w:tr w:rsidR="00A21C60" w:rsidRPr="006B0F3A" w14:paraId="336D170A" w14:textId="77777777" w:rsidTr="00587471">
        <w:trPr>
          <w:trHeight w:val="300"/>
        </w:trPr>
        <w:tc>
          <w:tcPr>
            <w:tcW w:w="9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498B2D" w14:textId="3A141C35" w:rsidR="00A21C60" w:rsidRPr="006B0F3A" w:rsidRDefault="00A21C60" w:rsidP="00587471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Table S1. </w:t>
            </w:r>
            <w:r w:rsidRPr="006B0F3A">
              <w:rPr>
                <w:rFonts w:ascii="Times New Roman" w:hAnsi="Times New Roman" w:cs="Times New Roman"/>
              </w:rPr>
              <w:t>General population data</w:t>
            </w:r>
            <w:r w:rsidR="004A36BC" w:rsidRPr="006B0F3A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21C60" w:rsidRPr="006B0F3A" w14:paraId="67638F34" w14:textId="77777777" w:rsidTr="00587471">
        <w:trPr>
          <w:trHeight w:val="300"/>
        </w:trPr>
        <w:tc>
          <w:tcPr>
            <w:tcW w:w="4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199E5D" w14:textId="77777777" w:rsidR="00A21C60" w:rsidRPr="006B0F3A" w:rsidRDefault="00A21C60" w:rsidP="0058747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Age groups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DD5DC8" w14:textId="77777777" w:rsidR="00A21C60" w:rsidRPr="006B0F3A" w:rsidRDefault="00A21C60" w:rsidP="0058747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Population size </w:t>
            </w:r>
          </w:p>
        </w:tc>
      </w:tr>
      <w:tr w:rsidR="008949B9" w:rsidRPr="006B0F3A" w14:paraId="2D641BE7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9BE04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&lt;12 months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B9085" w14:textId="14899BD5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362,358</w:t>
            </w:r>
          </w:p>
        </w:tc>
      </w:tr>
      <w:tr w:rsidR="008949B9" w:rsidRPr="006B0F3A" w14:paraId="59E09E98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F41BC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12–23 months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9BAD0" w14:textId="7A4A4E72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384,107</w:t>
            </w:r>
          </w:p>
        </w:tc>
      </w:tr>
      <w:tr w:rsidR="008949B9" w:rsidRPr="006B0F3A" w14:paraId="685BBC13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10FAD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24–35 months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32D41" w14:textId="7DE3E0BA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402,455</w:t>
            </w:r>
          </w:p>
        </w:tc>
      </w:tr>
      <w:tr w:rsidR="008949B9" w:rsidRPr="006B0F3A" w14:paraId="52109022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B1E37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36–47 months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2DA61" w14:textId="403CEBAC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441,107</w:t>
            </w:r>
          </w:p>
        </w:tc>
      </w:tr>
      <w:tr w:rsidR="008949B9" w:rsidRPr="006B0F3A" w14:paraId="5AC7179B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63A79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48–59 months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E10CB" w14:textId="714C0F4C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422,889</w:t>
            </w:r>
          </w:p>
        </w:tc>
      </w:tr>
      <w:tr w:rsidR="008949B9" w:rsidRPr="006B0F3A" w14:paraId="509C4D01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189AD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5–17 years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B68B2" w14:textId="5CBE8FBE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4,889,576</w:t>
            </w:r>
          </w:p>
        </w:tc>
      </w:tr>
      <w:tr w:rsidR="008949B9" w:rsidRPr="006B0F3A" w14:paraId="04EC4811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2FF20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18–34 years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2275A" w14:textId="4E5FD784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4,412,336</w:t>
            </w:r>
          </w:p>
        </w:tc>
      </w:tr>
      <w:tr w:rsidR="008949B9" w:rsidRPr="006B0F3A" w14:paraId="046CDD0F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579A2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35–49 years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832AD" w14:textId="02BE1FB9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4,084,912</w:t>
            </w:r>
          </w:p>
        </w:tc>
      </w:tr>
      <w:tr w:rsidR="008949B9" w:rsidRPr="006B0F3A" w14:paraId="494D59EA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9437E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50–64 years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F17B5" w14:textId="1DA302C7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3,013,783</w:t>
            </w:r>
          </w:p>
        </w:tc>
      </w:tr>
      <w:tr w:rsidR="008949B9" w:rsidRPr="006B0F3A" w14:paraId="7238E0F6" w14:textId="77777777" w:rsidTr="009A23B1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F33B6" w14:textId="77777777" w:rsidR="008949B9" w:rsidRPr="006B0F3A" w:rsidRDefault="008949B9" w:rsidP="008949B9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≥65 years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F8E75" w14:textId="66D0E337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1,869,876</w:t>
            </w:r>
          </w:p>
        </w:tc>
      </w:tr>
      <w:tr w:rsidR="008949B9" w:rsidRPr="006B0F3A" w14:paraId="5EDAD5CC" w14:textId="77777777" w:rsidTr="00FD2920">
        <w:trPr>
          <w:trHeight w:val="300"/>
        </w:trPr>
        <w:tc>
          <w:tcPr>
            <w:tcW w:w="4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B41FE" w14:textId="77777777" w:rsidR="008949B9" w:rsidRPr="006B0F3A" w:rsidRDefault="008949B9" w:rsidP="008949B9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Total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BF743B" w14:textId="6D75AE7B" w:rsidR="008949B9" w:rsidRPr="006B0F3A" w:rsidRDefault="00FD2920" w:rsidP="00FD2920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20,283,399</w:t>
            </w:r>
          </w:p>
        </w:tc>
      </w:tr>
    </w:tbl>
    <w:p w14:paraId="133068AA" w14:textId="77777777" w:rsidR="00A21C60" w:rsidRPr="006B0F3A" w:rsidRDefault="00A21C60">
      <w:pPr>
        <w:rPr>
          <w:rFonts w:ascii="Times New Roman" w:hAnsi="Times New Roman" w:cs="Times New Roman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5473"/>
      </w:tblGrid>
      <w:tr w:rsidR="000C016B" w:rsidRPr="006B0F3A" w14:paraId="591D4D59" w14:textId="77777777" w:rsidTr="00587471">
        <w:trPr>
          <w:trHeight w:val="300"/>
        </w:trPr>
        <w:tc>
          <w:tcPr>
            <w:tcW w:w="90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F7D117" w14:textId="334F3BE2" w:rsidR="000C016B" w:rsidRPr="006B0F3A" w:rsidRDefault="000C016B" w:rsidP="00587471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Table S2. </w:t>
            </w:r>
            <w:r w:rsidRPr="006B0F3A">
              <w:rPr>
                <w:rFonts w:ascii="Times New Roman" w:hAnsi="Times New Roman" w:cs="Times New Roman"/>
              </w:rPr>
              <w:t>Incoming birth cohort data</w:t>
            </w:r>
            <w:r w:rsidR="004A36BC" w:rsidRPr="006B0F3A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0C016B" w:rsidRPr="006B0F3A" w14:paraId="5BD4B01F" w14:textId="77777777" w:rsidTr="00587471">
        <w:trPr>
          <w:trHeight w:val="300"/>
        </w:trPr>
        <w:tc>
          <w:tcPr>
            <w:tcW w:w="3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2D420C" w14:textId="77777777" w:rsidR="000C016B" w:rsidRPr="006B0F3A" w:rsidRDefault="000C016B" w:rsidP="0058747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in model 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4BA3B8" w14:textId="77777777" w:rsidR="000C016B" w:rsidRPr="006B0F3A" w:rsidRDefault="000C016B" w:rsidP="0058747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Number of &lt;12-month-olds in incoming birth cohort </w:t>
            </w:r>
          </w:p>
        </w:tc>
      </w:tr>
      <w:tr w:rsidR="00911881" w:rsidRPr="006B0F3A" w14:paraId="01EE27AE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56CC8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2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AEE20" w14:textId="605D85AC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362,358</w:t>
            </w:r>
          </w:p>
        </w:tc>
      </w:tr>
      <w:tr w:rsidR="00911881" w:rsidRPr="006B0F3A" w14:paraId="1281B8C3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500F9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3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3243B" w14:textId="27F4FB7C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357,968</w:t>
            </w:r>
          </w:p>
        </w:tc>
      </w:tr>
      <w:tr w:rsidR="00911881" w:rsidRPr="006B0F3A" w14:paraId="4EBE741B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9D5B4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4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80B18" w14:textId="1DD00A98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355,522</w:t>
            </w:r>
          </w:p>
        </w:tc>
      </w:tr>
      <w:tr w:rsidR="00911881" w:rsidRPr="006B0F3A" w14:paraId="659CD25C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90838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5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596E" w14:textId="315F24A6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353,442</w:t>
            </w:r>
          </w:p>
        </w:tc>
      </w:tr>
      <w:tr w:rsidR="00911881" w:rsidRPr="006B0F3A" w14:paraId="564F8E8E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F07EF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6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046F9" w14:textId="6A6BA3FF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353,472</w:t>
            </w:r>
          </w:p>
        </w:tc>
      </w:tr>
      <w:tr w:rsidR="00911881" w:rsidRPr="006B0F3A" w14:paraId="1E99DABA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CBE18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7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576C2" w14:textId="374FBDAE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355,236</w:t>
            </w:r>
          </w:p>
        </w:tc>
      </w:tr>
      <w:tr w:rsidR="00911881" w:rsidRPr="006B0F3A" w14:paraId="50D5E75E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8DAEE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8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38945" w14:textId="0AAE2EA1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357,368</w:t>
            </w:r>
          </w:p>
        </w:tc>
      </w:tr>
      <w:tr w:rsidR="00911881" w:rsidRPr="006B0F3A" w14:paraId="20DB81CC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9F00B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9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AA93E" w14:textId="3A0A2C82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360,695</w:t>
            </w:r>
          </w:p>
        </w:tc>
      </w:tr>
      <w:tr w:rsidR="00911881" w:rsidRPr="006B0F3A" w14:paraId="4452EDF0" w14:textId="77777777" w:rsidTr="001B2F7A">
        <w:trPr>
          <w:trHeight w:val="300"/>
        </w:trPr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F3385" w14:textId="77777777" w:rsidR="00911881" w:rsidRPr="006B0F3A" w:rsidRDefault="00911881" w:rsidP="00911881">
            <w:pPr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Year 10 </w:t>
            </w:r>
          </w:p>
        </w:tc>
        <w:tc>
          <w:tcPr>
            <w:tcW w:w="5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848F1" w14:textId="2B0D090A" w:rsidR="00911881" w:rsidRPr="006B0F3A" w:rsidRDefault="00911881" w:rsidP="00911881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364,726</w:t>
            </w:r>
          </w:p>
        </w:tc>
      </w:tr>
    </w:tbl>
    <w:p w14:paraId="401E39CE" w14:textId="77777777" w:rsidR="00EC108C" w:rsidRPr="006B0F3A" w:rsidRDefault="00EC108C" w:rsidP="00A21C60">
      <w:pPr>
        <w:tabs>
          <w:tab w:val="left" w:pos="1562"/>
        </w:tabs>
        <w:rPr>
          <w:rFonts w:ascii="Times New Roman" w:hAnsi="Times New Roman" w:cs="Times New Roman"/>
        </w:rPr>
      </w:pPr>
    </w:p>
    <w:p w14:paraId="053E59CE" w14:textId="197A2097" w:rsidR="00204179" w:rsidRPr="006B0F3A" w:rsidRDefault="00204179" w:rsidP="5179D529">
      <w:pPr>
        <w:tabs>
          <w:tab w:val="left" w:pos="1562"/>
        </w:tabs>
        <w:rPr>
          <w:rFonts w:ascii="Times New Roman" w:hAnsi="Times New Roman" w:cs="Times New Roman"/>
        </w:rPr>
        <w:sectPr w:rsidR="00204179" w:rsidRPr="006B0F3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93B7A4" w14:textId="301045A8" w:rsidR="00A21C60" w:rsidRPr="006B0F3A" w:rsidRDefault="00A21C60" w:rsidP="00A21C60">
      <w:pPr>
        <w:tabs>
          <w:tab w:val="left" w:pos="1562"/>
        </w:tabs>
        <w:rPr>
          <w:rFonts w:ascii="Times New Roman" w:hAnsi="Times New Roman" w:cs="Times New Roman"/>
        </w:rPr>
      </w:pPr>
    </w:p>
    <w:p w14:paraId="4453955A" w14:textId="77777777" w:rsidR="00CC7832" w:rsidRPr="006B0F3A" w:rsidRDefault="00CC7832" w:rsidP="00A21C60">
      <w:pPr>
        <w:tabs>
          <w:tab w:val="left" w:pos="1562"/>
        </w:tabs>
        <w:rPr>
          <w:rFonts w:ascii="Times New Roman" w:hAnsi="Times New Roman" w:cs="Times New Roman"/>
        </w:rPr>
      </w:pPr>
    </w:p>
    <w:tbl>
      <w:tblPr>
        <w:tblpPr w:leftFromText="180" w:rightFromText="180" w:horzAnchor="margin" w:tblpXSpec="center" w:tblpY="337"/>
        <w:tblW w:w="15168" w:type="dxa"/>
        <w:tblLayout w:type="fixed"/>
        <w:tblLook w:val="04A0" w:firstRow="1" w:lastRow="0" w:firstColumn="1" w:lastColumn="0" w:noHBand="0" w:noVBand="1"/>
      </w:tblPr>
      <w:tblGrid>
        <w:gridCol w:w="3779"/>
        <w:gridCol w:w="2847"/>
        <w:gridCol w:w="2847"/>
        <w:gridCol w:w="2847"/>
        <w:gridCol w:w="2787"/>
        <w:gridCol w:w="61"/>
      </w:tblGrid>
      <w:tr w:rsidR="00CC7832" w:rsidRPr="006B0F3A" w14:paraId="0C01E865" w14:textId="77777777" w:rsidTr="00041179">
        <w:trPr>
          <w:gridAfter w:val="1"/>
          <w:wAfter w:w="61" w:type="dxa"/>
          <w:trHeight w:val="231"/>
        </w:trPr>
        <w:tc>
          <w:tcPr>
            <w:tcW w:w="15107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14:paraId="51C84B69" w14:textId="189B8FFD" w:rsidR="00EC108C" w:rsidRPr="006B0F3A" w:rsidRDefault="00EC108C" w:rsidP="00C7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Table S3.</w:t>
            </w: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IPD serotype distribution</w:t>
            </w:r>
            <w:r w:rsidR="004A36BC" w:rsidRPr="006B0F3A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3</w:t>
            </w:r>
          </w:p>
        </w:tc>
      </w:tr>
      <w:tr w:rsidR="00911881" w:rsidRPr="006B0F3A" w14:paraId="701D5998" w14:textId="77777777" w:rsidTr="00041179">
        <w:trPr>
          <w:trHeight w:val="231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17B9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690A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PCV10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7902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PCV13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FA12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PCV15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A7528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PCV20</w:t>
            </w:r>
          </w:p>
        </w:tc>
      </w:tr>
      <w:tr w:rsidR="00911881" w:rsidRPr="006B0F3A" w14:paraId="2B021CF3" w14:textId="77777777" w:rsidTr="00041179">
        <w:trPr>
          <w:trHeight w:val="231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02CC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2-17 years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02F0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20%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6E41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60%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8EE0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70%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80A5C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80%</w:t>
            </w:r>
          </w:p>
        </w:tc>
      </w:tr>
      <w:tr w:rsidR="00911881" w:rsidRPr="006B0F3A" w14:paraId="320E2046" w14:textId="77777777" w:rsidTr="00041179">
        <w:trPr>
          <w:trHeight w:val="231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D7298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18-57 years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60D2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16%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32E1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52%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AC5E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52%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568B0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66%</w:t>
            </w:r>
          </w:p>
        </w:tc>
      </w:tr>
      <w:tr w:rsidR="00911881" w:rsidRPr="006B0F3A" w14:paraId="14AEE3EC" w14:textId="77777777" w:rsidTr="00041179">
        <w:trPr>
          <w:trHeight w:val="231"/>
        </w:trPr>
        <w:tc>
          <w:tcPr>
            <w:tcW w:w="3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8EC7A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58+ years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12CC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13%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DAC0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62%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9E2E5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69%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261CE" w14:textId="77777777" w:rsidR="00911881" w:rsidRPr="006B0F3A" w:rsidRDefault="00911881" w:rsidP="00C7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87%</w:t>
            </w:r>
          </w:p>
        </w:tc>
      </w:tr>
      <w:tr w:rsidR="00EC108C" w:rsidRPr="006B0F3A" w14:paraId="093C197D" w14:textId="77777777" w:rsidTr="00041179">
        <w:trPr>
          <w:gridAfter w:val="1"/>
          <w:wAfter w:w="61" w:type="dxa"/>
          <w:trHeight w:val="231"/>
        </w:trPr>
        <w:tc>
          <w:tcPr>
            <w:tcW w:w="15107" w:type="dxa"/>
            <w:gridSpan w:val="5"/>
            <w:tcBorders>
              <w:top w:val="single" w:sz="4" w:space="0" w:color="auto"/>
            </w:tcBorders>
            <w:noWrap/>
            <w:vAlign w:val="bottom"/>
          </w:tcPr>
          <w:p w14:paraId="146A7E2C" w14:textId="77777777" w:rsidR="00EC108C" w:rsidRPr="006B0F3A" w:rsidRDefault="00EC108C" w:rsidP="00C7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Abbreviation: PCV, pneumococcal conjugate vaccine</w:t>
            </w:r>
          </w:p>
          <w:p w14:paraId="5477229E" w14:textId="77777777" w:rsidR="00EC108C" w:rsidRPr="006B0F3A" w:rsidRDefault="00EC108C" w:rsidP="00C7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Note</w:t>
            </w:r>
            <w:r w:rsidRPr="006B0F3A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en-GB"/>
                <w14:ligatures w14:val="none"/>
              </w:rPr>
              <w:t>: the serotype distribution children of &lt;2years of age used in the model was assumed to be the same as 2-17 years</w:t>
            </w:r>
          </w:p>
          <w:p w14:paraId="3B64BF0A" w14:textId="77777777" w:rsidR="00CC7832" w:rsidRPr="006B0F3A" w:rsidRDefault="00CC7832" w:rsidP="00C7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7977EFEC" w14:textId="77777777" w:rsidR="00CC7832" w:rsidRPr="006B0F3A" w:rsidRDefault="00CC7832" w:rsidP="00C70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1ADDA748" w14:textId="77777777" w:rsidR="00897A00" w:rsidRPr="006B0F3A" w:rsidRDefault="00897A00" w:rsidP="00897A00">
      <w:pPr>
        <w:tabs>
          <w:tab w:val="left" w:pos="1296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60"/>
        <w:tblOverlap w:val="never"/>
        <w:tblW w:w="150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2070"/>
        <w:gridCol w:w="2504"/>
        <w:gridCol w:w="2504"/>
        <w:gridCol w:w="2504"/>
        <w:gridCol w:w="2070"/>
      </w:tblGrid>
      <w:tr w:rsidR="00CC7832" w:rsidRPr="006B0F3A" w14:paraId="5913968F" w14:textId="77777777" w:rsidTr="00C70149">
        <w:trPr>
          <w:trHeight w:val="230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46140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Table S4. </w:t>
            </w:r>
            <w:r w:rsidRPr="006B0F3A">
              <w:rPr>
                <w:rFonts w:ascii="Times New Roman" w:hAnsi="Times New Roman" w:cs="Times New Roman"/>
              </w:rPr>
              <w:t>Utility parameters</w:t>
            </w:r>
          </w:p>
        </w:tc>
      </w:tr>
      <w:tr w:rsidR="00CC7832" w:rsidRPr="006B0F3A" w14:paraId="619A5643" w14:textId="77777777" w:rsidTr="00C70149">
        <w:trPr>
          <w:trHeight w:val="230"/>
        </w:trPr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3E2A2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QALY decrements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</w:tr>
      <w:tr w:rsidR="00CC7832" w:rsidRPr="006B0F3A" w14:paraId="125D0800" w14:textId="77777777" w:rsidTr="00C70149">
        <w:trPr>
          <w:trHeight w:val="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C3A61" w14:textId="62C4E886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B0F3A">
              <w:rPr>
                <w:rFonts w:ascii="Times New Roman" w:hAnsi="Times New Roman" w:cs="Times New Roman"/>
              </w:rPr>
              <w:t>0–17 years</w:t>
            </w:r>
            <w:r w:rsidR="000F0009" w:rsidRPr="006B0F3A">
              <w:rPr>
                <w:rFonts w:ascii="Times New Roman" w:hAnsi="Times New Roman" w:cs="Times New Roman"/>
                <w:vertAlign w:val="superscript"/>
              </w:rPr>
              <w:t>4-6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8869D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0.023 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0F3C1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0.008 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3E7DD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0.006 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DE54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0.004 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81C92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0.005 </w:t>
            </w:r>
          </w:p>
        </w:tc>
      </w:tr>
      <w:tr w:rsidR="00CC7832" w:rsidRPr="006B0F3A" w14:paraId="1473DD08" w14:textId="77777777" w:rsidTr="00C70149">
        <w:trPr>
          <w:trHeight w:val="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89E53" w14:textId="7A3A6DC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B0F3A">
              <w:rPr>
                <w:rFonts w:ascii="Times New Roman" w:hAnsi="Times New Roman" w:cs="Times New Roman"/>
              </w:rPr>
              <w:t>≥18 years</w:t>
            </w:r>
            <w:r w:rsidR="000F0009" w:rsidRPr="006B0F3A">
              <w:rPr>
                <w:rFonts w:ascii="Times New Roman" w:hAnsi="Times New Roman" w:cs="Times New Roman"/>
                <w:vertAlign w:val="superscript"/>
              </w:rPr>
              <w:t>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EA413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0.130 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96982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0.130 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17CB0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0.130 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94B53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0.045 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B6B64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-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</w:tr>
      <w:tr w:rsidR="00CC7832" w:rsidRPr="006B0F3A" w14:paraId="2FCABA62" w14:textId="77777777" w:rsidTr="00C70149">
        <w:trPr>
          <w:trHeight w:val="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3F91" w14:textId="2DD46C92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Baseline utilities</w:t>
            </w:r>
            <w:r w:rsidR="000F0009"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7856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&lt;18 years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334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18–34 years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62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35–49 years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0347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50–64 years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A86B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65+ years</w:t>
            </w:r>
            <w:r w:rsidRPr="006B0F3A">
              <w:rPr>
                <w:rFonts w:ascii="Times New Roman" w:hAnsi="Times New Roman" w:cs="Times New Roman"/>
              </w:rPr>
              <w:t> </w:t>
            </w:r>
          </w:p>
        </w:tc>
      </w:tr>
      <w:tr w:rsidR="00CC7832" w:rsidRPr="006B0F3A" w14:paraId="3817A32E" w14:textId="77777777" w:rsidTr="00C70149">
        <w:trPr>
          <w:trHeight w:val="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D0D35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684A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0.91 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EE5E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865B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34C9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0.76 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FA29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0.61</w:t>
            </w:r>
          </w:p>
        </w:tc>
      </w:tr>
      <w:tr w:rsidR="00CC7832" w:rsidRPr="006B0F3A" w14:paraId="57BF9B35" w14:textId="77777777" w:rsidTr="00C70149">
        <w:trPr>
          <w:trHeight w:val="2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BDC99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ACA6C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0.91 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4805B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0.91 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CE4EC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6FE9C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28E72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0.67</w:t>
            </w:r>
          </w:p>
        </w:tc>
      </w:tr>
      <w:tr w:rsidR="00CC7832" w:rsidRPr="006B0F3A" w14:paraId="07AB5BE1" w14:textId="77777777" w:rsidTr="00C70149">
        <w:trPr>
          <w:trHeight w:val="230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21A64" w14:textId="77777777" w:rsidR="00CC7832" w:rsidRPr="006B0F3A" w:rsidRDefault="00CC7832" w:rsidP="00CC7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Abbreviations: QALY, quality-adjusted life years</w:t>
            </w:r>
          </w:p>
        </w:tc>
      </w:tr>
    </w:tbl>
    <w:p w14:paraId="48827300" w14:textId="77777777" w:rsidR="0023084D" w:rsidRPr="006B0F3A" w:rsidRDefault="0023084D" w:rsidP="0023084D">
      <w:pPr>
        <w:rPr>
          <w:rFonts w:ascii="Times New Roman" w:hAnsi="Times New Roman" w:cs="Times New Roman"/>
        </w:rPr>
      </w:pPr>
    </w:p>
    <w:p w14:paraId="6853FA21" w14:textId="51E69A0F" w:rsidR="0023084D" w:rsidRPr="006B0F3A" w:rsidRDefault="0023084D" w:rsidP="0023084D">
      <w:pPr>
        <w:tabs>
          <w:tab w:val="left" w:pos="2049"/>
        </w:tabs>
        <w:rPr>
          <w:rFonts w:ascii="Times New Roman" w:hAnsi="Times New Roman" w:cs="Times New Roman"/>
        </w:rPr>
        <w:sectPr w:rsidR="0023084D" w:rsidRPr="006B0F3A" w:rsidSect="0023084D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Y="-59"/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1476"/>
        <w:gridCol w:w="1477"/>
        <w:gridCol w:w="1761"/>
        <w:gridCol w:w="1763"/>
      </w:tblGrid>
      <w:tr w:rsidR="00E909CD" w:rsidRPr="006B0F3A" w14:paraId="331C6C89" w14:textId="77777777" w:rsidTr="00E909CD">
        <w:trPr>
          <w:trHeight w:val="263"/>
        </w:trPr>
        <w:tc>
          <w:tcPr>
            <w:tcW w:w="9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A66924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Table S5. </w:t>
            </w:r>
            <w:r w:rsidRPr="006B0F3A">
              <w:rPr>
                <w:rFonts w:ascii="Times New Roman" w:hAnsi="Times New Roman" w:cs="Times New Roman"/>
                <w:lang w:val="en-US"/>
              </w:rPr>
              <w:t>Alternative input parameters for hospitalized and non-hospitalized pneumonia incidence (2022).</w:t>
            </w:r>
          </w:p>
        </w:tc>
      </w:tr>
      <w:tr w:rsidR="00E909CD" w:rsidRPr="006B0F3A" w14:paraId="3BD62DFD" w14:textId="77777777" w:rsidTr="00E909CD">
        <w:trPr>
          <w:trHeight w:val="263"/>
        </w:trPr>
        <w:tc>
          <w:tcPr>
            <w:tcW w:w="254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47C912B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A10D1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IPD incidence </w:t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3CE82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Proportion of meningitis</w:t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10</w:t>
            </w:r>
          </w:p>
        </w:tc>
      </w:tr>
      <w:tr w:rsidR="00E909CD" w:rsidRPr="006B0F3A" w14:paraId="32B952EE" w14:textId="77777777" w:rsidTr="00E909CD">
        <w:trPr>
          <w:trHeight w:val="263"/>
        </w:trPr>
        <w:tc>
          <w:tcPr>
            <w:tcW w:w="25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17C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10BF5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Base case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92D8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Scenario* 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1DF8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Base case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8119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Scenario* </w:t>
            </w:r>
          </w:p>
        </w:tc>
      </w:tr>
      <w:tr w:rsidR="00E909CD" w:rsidRPr="006B0F3A" w14:paraId="1FF61C55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F4CC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&lt;12 months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2343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18.3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3A9A84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10.9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6A70D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2.60%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837A43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4.20%</w:t>
            </w:r>
          </w:p>
        </w:tc>
      </w:tr>
      <w:tr w:rsidR="00E909CD" w:rsidRPr="006B0F3A" w14:paraId="45D2BD73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9A100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12-23 months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258B6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62248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0CDF4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3.10%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89BADF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5.10%</w:t>
            </w:r>
          </w:p>
        </w:tc>
      </w:tr>
      <w:tr w:rsidR="00E909CD" w:rsidRPr="006B0F3A" w14:paraId="26C2AF2D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AC6B5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24-35 months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F71A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C5891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A3A95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4.10%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165B8A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6.60%</w:t>
            </w:r>
          </w:p>
        </w:tc>
      </w:tr>
      <w:tr w:rsidR="00E909CD" w:rsidRPr="006B0F3A" w14:paraId="36098874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7165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36-47 months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18611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12.9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70E7F5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F7B2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4.90%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A5004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8.00%</w:t>
            </w:r>
          </w:p>
        </w:tc>
      </w:tr>
      <w:tr w:rsidR="00E909CD" w:rsidRPr="006B0F3A" w14:paraId="4989D316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494FF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48-59 months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4BFB8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8BE1D2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8.9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2DEF4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5.70%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0FE9D1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9.30%</w:t>
            </w:r>
          </w:p>
        </w:tc>
      </w:tr>
      <w:tr w:rsidR="00E909CD" w:rsidRPr="006B0F3A" w14:paraId="613EF02C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3DCD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5 - 17 years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CFD60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C125B7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0AF27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2.60%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DC448F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4.50%</w:t>
            </w:r>
          </w:p>
        </w:tc>
      </w:tr>
      <w:tr w:rsidR="00E909CD" w:rsidRPr="006B0F3A" w14:paraId="19EF6709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0BA1A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18 - 34 years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0436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67671D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BBE6B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9.80%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4E484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15.30%</w:t>
            </w:r>
          </w:p>
        </w:tc>
      </w:tr>
      <w:tr w:rsidR="00E909CD" w:rsidRPr="006B0F3A" w14:paraId="71B2E466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077E6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35 - 49 years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46BC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8689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26AD0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1.80%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D87951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3.00%</w:t>
            </w:r>
          </w:p>
        </w:tc>
      </w:tr>
      <w:tr w:rsidR="00E909CD" w:rsidRPr="006B0F3A" w14:paraId="50663BE2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1244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50 - 64 years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A7292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29.6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DA015C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17.4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31AB5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1.60%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D48E5D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2.70%</w:t>
            </w:r>
          </w:p>
        </w:tc>
      </w:tr>
      <w:tr w:rsidR="00E909CD" w:rsidRPr="006B0F3A" w14:paraId="0BFA5533" w14:textId="77777777" w:rsidTr="00E909CD">
        <w:trPr>
          <w:trHeight w:val="263"/>
        </w:trPr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42C7B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65+ years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B73A8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90A902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20.2</w:t>
            </w: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0754F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2.60%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151C2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2.70%</w:t>
            </w:r>
          </w:p>
        </w:tc>
      </w:tr>
      <w:tr w:rsidR="00E909CD" w:rsidRPr="006B0F3A" w14:paraId="18A3BA7D" w14:textId="77777777" w:rsidTr="00E909CD">
        <w:trPr>
          <w:trHeight w:val="263"/>
        </w:trPr>
        <w:tc>
          <w:tcPr>
            <w:tcW w:w="9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3137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 xml:space="preserve">The proportion of </w:t>
            </w:r>
            <w:proofErr w:type="spellStart"/>
            <w:r w:rsidRPr="006B0F3A">
              <w:rPr>
                <w:rFonts w:ascii="Times New Roman" w:hAnsi="Times New Roman" w:cs="Times New Roman"/>
                <w:color w:val="000000"/>
              </w:rPr>
              <w:t>bacteremic</w:t>
            </w:r>
            <w:proofErr w:type="spellEnd"/>
            <w:r w:rsidRPr="006B0F3A">
              <w:rPr>
                <w:rFonts w:ascii="Times New Roman" w:hAnsi="Times New Roman" w:cs="Times New Roman"/>
                <w:color w:val="000000"/>
              </w:rPr>
              <w:t xml:space="preserve"> pneumonia (not caused by </w:t>
            </w:r>
            <w:proofErr w:type="spellStart"/>
            <w:r w:rsidRPr="006B0F3A">
              <w:rPr>
                <w:rFonts w:ascii="Times New Roman" w:hAnsi="Times New Roman" w:cs="Times New Roman"/>
                <w:color w:val="000000"/>
              </w:rPr>
              <w:t>S.pne</w:t>
            </w:r>
            <w:proofErr w:type="spellEnd"/>
            <w:r w:rsidRPr="006B0F3A">
              <w:rPr>
                <w:rFonts w:ascii="Times New Roman" w:hAnsi="Times New Roman" w:cs="Times New Roman"/>
                <w:color w:val="000000"/>
              </w:rPr>
              <w:t xml:space="preserve">) was 20% in KZH adults and this was assumed across all ages. This assumption was used to extract the number of </w:t>
            </w:r>
            <w:proofErr w:type="spellStart"/>
            <w:r w:rsidRPr="006B0F3A">
              <w:rPr>
                <w:rFonts w:ascii="Times New Roman" w:hAnsi="Times New Roman" w:cs="Times New Roman"/>
                <w:color w:val="000000"/>
              </w:rPr>
              <w:t>bacteremic</w:t>
            </w:r>
            <w:proofErr w:type="spellEnd"/>
            <w:r w:rsidRPr="006B0F3A">
              <w:rPr>
                <w:rFonts w:ascii="Times New Roman" w:hAnsi="Times New Roman" w:cs="Times New Roman"/>
                <w:color w:val="000000"/>
              </w:rPr>
              <w:t xml:space="preserve"> pneumonia caused by </w:t>
            </w:r>
            <w:proofErr w:type="spellStart"/>
            <w:r w:rsidRPr="006B0F3A">
              <w:rPr>
                <w:rFonts w:ascii="Times New Roman" w:hAnsi="Times New Roman" w:cs="Times New Roman"/>
                <w:color w:val="000000"/>
              </w:rPr>
              <w:t>S.pne</w:t>
            </w:r>
            <w:proofErr w:type="spellEnd"/>
            <w:r w:rsidRPr="006B0F3A">
              <w:rPr>
                <w:rFonts w:ascii="Times New Roman" w:hAnsi="Times New Roman" w:cs="Times New Roman"/>
                <w:color w:val="000000"/>
              </w:rPr>
              <w:t xml:space="preserve"> in Kazakhstan to obtain representative incidences for </w:t>
            </w:r>
            <w:proofErr w:type="spellStart"/>
            <w:r w:rsidRPr="006B0F3A">
              <w:rPr>
                <w:rFonts w:ascii="Times New Roman" w:hAnsi="Times New Roman" w:cs="Times New Roman"/>
                <w:color w:val="000000"/>
              </w:rPr>
              <w:t>bacteremia</w:t>
            </w:r>
            <w:proofErr w:type="spellEnd"/>
          </w:p>
        </w:tc>
      </w:tr>
    </w:tbl>
    <w:tbl>
      <w:tblPr>
        <w:tblpPr w:leftFromText="180" w:rightFromText="180" w:vertAnchor="page" w:horzAnchor="margin" w:tblpY="6821"/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957"/>
        <w:gridCol w:w="3525"/>
      </w:tblGrid>
      <w:tr w:rsidR="00E909CD" w:rsidRPr="006B0F3A" w14:paraId="06D75632" w14:textId="77777777" w:rsidTr="00E909CD">
        <w:trPr>
          <w:trHeight w:val="300"/>
        </w:trPr>
        <w:tc>
          <w:tcPr>
            <w:tcW w:w="90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0AD07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61AA276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Table S6. </w:t>
            </w:r>
            <w:r w:rsidRPr="006B0F3A">
              <w:rPr>
                <w:rFonts w:ascii="Times New Roman" w:hAnsi="Times New Roman" w:cs="Times New Roman"/>
                <w:lang w:val="en-US"/>
              </w:rPr>
              <w:t>Alternative discount rate estimates.</w:t>
            </w:r>
          </w:p>
        </w:tc>
      </w:tr>
      <w:tr w:rsidR="00E909CD" w:rsidRPr="006B0F3A" w14:paraId="351638EC" w14:textId="77777777" w:rsidTr="00E909CD">
        <w:trPr>
          <w:trHeight w:val="300"/>
        </w:trPr>
        <w:tc>
          <w:tcPr>
            <w:tcW w:w="2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28107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Parameter 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6EC9A3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Base case 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E63F45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Scenario </w:t>
            </w:r>
          </w:p>
        </w:tc>
      </w:tr>
      <w:tr w:rsidR="00E909CD" w:rsidRPr="006B0F3A" w14:paraId="5808CFAA" w14:textId="77777777" w:rsidTr="00E909CD">
        <w:trPr>
          <w:trHeight w:val="300"/>
        </w:trPr>
        <w:tc>
          <w:tcPr>
            <w:tcW w:w="2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27D24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Cost discount rate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D7ABE3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5%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EA0D31" w14:textId="70A59434" w:rsidR="00E909CD" w:rsidRPr="006B0F3A" w:rsidRDefault="00F609DF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</w:rPr>
              <w:t>1</w:t>
            </w:r>
            <w:r w:rsidR="00E909CD" w:rsidRPr="006B0F3A">
              <w:rPr>
                <w:rFonts w:ascii="Times New Roman" w:hAnsi="Times New Roman" w:cs="Times New Roman"/>
              </w:rPr>
              <w:t>%-10%</w:t>
            </w:r>
          </w:p>
        </w:tc>
      </w:tr>
      <w:tr w:rsidR="00E909CD" w:rsidRPr="006B0F3A" w14:paraId="4A54FDC0" w14:textId="77777777" w:rsidTr="00E909CD">
        <w:trPr>
          <w:trHeight w:val="300"/>
        </w:trPr>
        <w:tc>
          <w:tcPr>
            <w:tcW w:w="2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95CE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Health discount rate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66F300" w14:textId="77777777" w:rsidR="00E909CD" w:rsidRPr="006B0F3A" w:rsidRDefault="00E909CD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5%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8527CE" w14:textId="2167B29B" w:rsidR="00E909CD" w:rsidRPr="006B0F3A" w:rsidRDefault="00F609DF" w:rsidP="00E909CD">
            <w:pPr>
              <w:tabs>
                <w:tab w:val="left" w:pos="2049"/>
              </w:tabs>
              <w:spacing w:after="0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</w:t>
            </w:r>
            <w:r w:rsidR="00E909CD" w:rsidRPr="006B0F3A">
              <w:rPr>
                <w:rFonts w:ascii="Times New Roman" w:hAnsi="Times New Roman" w:cs="Times New Roman"/>
              </w:rPr>
              <w:t>%-10%</w:t>
            </w:r>
          </w:p>
        </w:tc>
      </w:tr>
    </w:tbl>
    <w:p w14:paraId="447E45A1" w14:textId="77777777" w:rsidR="0023084D" w:rsidRPr="006B0F3A" w:rsidRDefault="0023084D" w:rsidP="0023084D">
      <w:pPr>
        <w:tabs>
          <w:tab w:val="left" w:pos="2049"/>
        </w:tabs>
        <w:rPr>
          <w:rFonts w:ascii="Times New Roman" w:hAnsi="Times New Roman" w:cs="Times New Roman"/>
        </w:rPr>
      </w:pPr>
    </w:p>
    <w:p w14:paraId="648F8793" w14:textId="785A0049" w:rsidR="00B1409D" w:rsidRPr="006B0F3A" w:rsidRDefault="00B1409D" w:rsidP="00B1409D">
      <w:pPr>
        <w:tabs>
          <w:tab w:val="left" w:pos="2049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103"/>
        <w:tblW w:w="9658" w:type="dxa"/>
        <w:tblLook w:val="04A0" w:firstRow="1" w:lastRow="0" w:firstColumn="1" w:lastColumn="0" w:noHBand="0" w:noVBand="1"/>
      </w:tblPr>
      <w:tblGrid>
        <w:gridCol w:w="2268"/>
        <w:gridCol w:w="1710"/>
        <w:gridCol w:w="1889"/>
        <w:gridCol w:w="1893"/>
        <w:gridCol w:w="1898"/>
      </w:tblGrid>
      <w:tr w:rsidR="00585842" w:rsidRPr="006B0F3A" w14:paraId="13C1CD41" w14:textId="77777777" w:rsidTr="00585842">
        <w:trPr>
          <w:trHeight w:val="89"/>
        </w:trPr>
        <w:tc>
          <w:tcPr>
            <w:tcW w:w="9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DF2A1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Table S7. </w:t>
            </w:r>
            <w:r w:rsidRPr="006B0F3A">
              <w:rPr>
                <w:rFonts w:ascii="Times New Roman" w:hAnsi="Times New Roman" w:cs="Times New Roman"/>
              </w:rPr>
              <w:t>Alternative direct effects for PCV10-SII.</w:t>
            </w:r>
          </w:p>
        </w:tc>
      </w:tr>
      <w:tr w:rsidR="00585842" w:rsidRPr="006B0F3A" w14:paraId="5F7A65A0" w14:textId="77777777" w:rsidTr="00E909CD">
        <w:trPr>
          <w:trHeight w:val="89"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CEBE406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  <w:gridSpan w:val="2"/>
            <w:tcBorders>
              <w:top w:val="single" w:sz="4" w:space="0" w:color="auto"/>
            </w:tcBorders>
          </w:tcPr>
          <w:p w14:paraId="50977081" w14:textId="77777777" w:rsidR="00585842" w:rsidRPr="006B0F3A" w:rsidRDefault="00585842" w:rsidP="005858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Base Case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</w:tcBorders>
          </w:tcPr>
          <w:p w14:paraId="5CC3D2CA" w14:textId="77777777" w:rsidR="00585842" w:rsidRPr="006B0F3A" w:rsidRDefault="00585842" w:rsidP="00585842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Scenario</w:t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¶</w:t>
            </w:r>
          </w:p>
        </w:tc>
      </w:tr>
      <w:tr w:rsidR="00585842" w:rsidRPr="006B0F3A" w14:paraId="7A4AE799" w14:textId="77777777" w:rsidTr="00E909CD">
        <w:trPr>
          <w:trHeight w:val="98"/>
        </w:trPr>
        <w:tc>
          <w:tcPr>
            <w:tcW w:w="2268" w:type="dxa"/>
            <w:vMerge/>
          </w:tcPr>
          <w:p w14:paraId="75998795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DF364E1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Post-primary dose VE (&lt;12 months)</w:t>
            </w:r>
          </w:p>
        </w:tc>
        <w:tc>
          <w:tcPr>
            <w:tcW w:w="1889" w:type="dxa"/>
          </w:tcPr>
          <w:p w14:paraId="1D71C80F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Post-booster dose VE (&lt;2 years)</w:t>
            </w:r>
          </w:p>
        </w:tc>
        <w:tc>
          <w:tcPr>
            <w:tcW w:w="1893" w:type="dxa"/>
          </w:tcPr>
          <w:p w14:paraId="3114A365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Post-primary dose VE (&lt;12 months)</w:t>
            </w:r>
          </w:p>
        </w:tc>
        <w:tc>
          <w:tcPr>
            <w:tcW w:w="1898" w:type="dxa"/>
          </w:tcPr>
          <w:p w14:paraId="7FCD1927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Post-booster dose VE (&lt;2 years)</w:t>
            </w:r>
          </w:p>
        </w:tc>
      </w:tr>
      <w:tr w:rsidR="00585842" w:rsidRPr="006B0F3A" w14:paraId="7318CB97" w14:textId="77777777" w:rsidTr="00E909CD">
        <w:trPr>
          <w:trHeight w:val="184"/>
        </w:trPr>
        <w:tc>
          <w:tcPr>
            <w:tcW w:w="2268" w:type="dxa"/>
          </w:tcPr>
          <w:p w14:paraId="26A3D14B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IPD</w:t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11</w:t>
            </w:r>
          </w:p>
        </w:tc>
        <w:tc>
          <w:tcPr>
            <w:tcW w:w="1710" w:type="dxa"/>
          </w:tcPr>
          <w:p w14:paraId="75A0F5B2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37.3%</w:t>
            </w:r>
          </w:p>
        </w:tc>
        <w:tc>
          <w:tcPr>
            <w:tcW w:w="1889" w:type="dxa"/>
          </w:tcPr>
          <w:p w14:paraId="3AFEAA7F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49.3%</w:t>
            </w:r>
          </w:p>
        </w:tc>
        <w:tc>
          <w:tcPr>
            <w:tcW w:w="1893" w:type="dxa"/>
          </w:tcPr>
          <w:p w14:paraId="56DF954A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47.6%</w:t>
            </w:r>
          </w:p>
        </w:tc>
        <w:tc>
          <w:tcPr>
            <w:tcW w:w="1898" w:type="dxa"/>
          </w:tcPr>
          <w:p w14:paraId="5A6F18D7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62.9%</w:t>
            </w:r>
          </w:p>
        </w:tc>
      </w:tr>
      <w:tr w:rsidR="00585842" w:rsidRPr="006B0F3A" w14:paraId="63D5E446" w14:textId="77777777" w:rsidTr="00E909CD">
        <w:trPr>
          <w:trHeight w:val="320"/>
        </w:trPr>
        <w:tc>
          <w:tcPr>
            <w:tcW w:w="2268" w:type="dxa"/>
          </w:tcPr>
          <w:p w14:paraId="194757BE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All-cause inpatient pneumonia</w:t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12</w:t>
            </w:r>
          </w:p>
        </w:tc>
        <w:tc>
          <w:tcPr>
            <w:tcW w:w="1710" w:type="dxa"/>
          </w:tcPr>
          <w:p w14:paraId="60FDDF79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10.7%</w:t>
            </w:r>
          </w:p>
        </w:tc>
        <w:tc>
          <w:tcPr>
            <w:tcW w:w="1889" w:type="dxa"/>
          </w:tcPr>
          <w:p w14:paraId="067321CB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14.2%</w:t>
            </w:r>
          </w:p>
        </w:tc>
        <w:tc>
          <w:tcPr>
            <w:tcW w:w="1893" w:type="dxa"/>
          </w:tcPr>
          <w:p w14:paraId="09E40D64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13.7%</w:t>
            </w:r>
          </w:p>
        </w:tc>
        <w:tc>
          <w:tcPr>
            <w:tcW w:w="1898" w:type="dxa"/>
          </w:tcPr>
          <w:p w14:paraId="0CE261FD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18.1%</w:t>
            </w:r>
          </w:p>
        </w:tc>
      </w:tr>
      <w:tr w:rsidR="00585842" w:rsidRPr="006B0F3A" w14:paraId="7D47E04C" w14:textId="77777777" w:rsidTr="00E909CD">
        <w:trPr>
          <w:trHeight w:val="320"/>
        </w:trPr>
        <w:tc>
          <w:tcPr>
            <w:tcW w:w="2268" w:type="dxa"/>
          </w:tcPr>
          <w:p w14:paraId="1FA34891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All-cause outpatient pneumonia</w:t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13</w:t>
            </w:r>
          </w:p>
        </w:tc>
        <w:tc>
          <w:tcPr>
            <w:tcW w:w="1710" w:type="dxa"/>
          </w:tcPr>
          <w:p w14:paraId="5623B52C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2.5%</w:t>
            </w:r>
          </w:p>
        </w:tc>
        <w:tc>
          <w:tcPr>
            <w:tcW w:w="1889" w:type="dxa"/>
          </w:tcPr>
          <w:p w14:paraId="32EA324D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3.3%</w:t>
            </w:r>
          </w:p>
        </w:tc>
        <w:tc>
          <w:tcPr>
            <w:tcW w:w="1893" w:type="dxa"/>
          </w:tcPr>
          <w:p w14:paraId="5D987B3A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3.2%</w:t>
            </w:r>
          </w:p>
        </w:tc>
        <w:tc>
          <w:tcPr>
            <w:tcW w:w="1898" w:type="dxa"/>
          </w:tcPr>
          <w:p w14:paraId="3DBC564F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4.3%</w:t>
            </w:r>
          </w:p>
        </w:tc>
      </w:tr>
      <w:tr w:rsidR="00585842" w:rsidRPr="006B0F3A" w14:paraId="65F4D660" w14:textId="77777777" w:rsidTr="00E909CD">
        <w:trPr>
          <w:trHeight w:val="156"/>
        </w:trPr>
        <w:tc>
          <w:tcPr>
            <w:tcW w:w="2268" w:type="dxa"/>
          </w:tcPr>
          <w:p w14:paraId="4974CE60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All-cause AOM</w:t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14</w:t>
            </w:r>
          </w:p>
        </w:tc>
        <w:tc>
          <w:tcPr>
            <w:tcW w:w="1710" w:type="dxa"/>
          </w:tcPr>
          <w:p w14:paraId="211E2200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5.9%</w:t>
            </w:r>
          </w:p>
        </w:tc>
        <w:tc>
          <w:tcPr>
            <w:tcW w:w="1889" w:type="dxa"/>
          </w:tcPr>
          <w:p w14:paraId="1C0B2DC6" w14:textId="77777777" w:rsidR="00585842" w:rsidRPr="006B0F3A" w:rsidRDefault="00585842" w:rsidP="00585842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4.3%</w:t>
            </w:r>
          </w:p>
        </w:tc>
        <w:tc>
          <w:tcPr>
            <w:tcW w:w="1893" w:type="dxa"/>
          </w:tcPr>
          <w:p w14:paraId="73E7BB40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4.2%</w:t>
            </w:r>
          </w:p>
        </w:tc>
        <w:tc>
          <w:tcPr>
            <w:tcW w:w="1898" w:type="dxa"/>
          </w:tcPr>
          <w:p w14:paraId="1C077A8B" w14:textId="77777777" w:rsidR="00585842" w:rsidRPr="006B0F3A" w:rsidRDefault="00585842" w:rsidP="00585842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color w:val="000000"/>
              </w:rPr>
              <w:t>5.5%</w:t>
            </w:r>
          </w:p>
        </w:tc>
      </w:tr>
    </w:tbl>
    <w:p w14:paraId="19C1356D" w14:textId="77777777" w:rsidR="00E45A1A" w:rsidRPr="006B0F3A" w:rsidRDefault="00E45A1A" w:rsidP="00B1409D">
      <w:pPr>
        <w:tabs>
          <w:tab w:val="left" w:pos="2461"/>
        </w:tabs>
        <w:rPr>
          <w:rFonts w:ascii="Times New Roman" w:hAnsi="Times New Roman" w:cs="Times New Roman"/>
        </w:rPr>
      </w:pP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2214"/>
        <w:gridCol w:w="1468"/>
        <w:gridCol w:w="1505"/>
        <w:gridCol w:w="1506"/>
        <w:gridCol w:w="1506"/>
        <w:gridCol w:w="1509"/>
      </w:tblGrid>
      <w:tr w:rsidR="00A05C60" w:rsidRPr="006B0F3A" w14:paraId="269A2014" w14:textId="77777777" w:rsidTr="00B847A9">
        <w:trPr>
          <w:trHeight w:val="250"/>
        </w:trPr>
        <w:tc>
          <w:tcPr>
            <w:tcW w:w="97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1C61C" w14:textId="4E9BF507" w:rsidR="00A05C60" w:rsidRPr="006B0F3A" w:rsidRDefault="0056145C" w:rsidP="00AB7E86">
            <w:pPr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Table S</w:t>
            </w:r>
            <w:r w:rsidR="00922D5C" w:rsidRPr="006B0F3A">
              <w:rPr>
                <w:rFonts w:ascii="Times New Roman" w:hAnsi="Times New Roman" w:cs="Times New Roman"/>
                <w:b/>
                <w:bCs/>
              </w:rPr>
              <w:t>8</w:t>
            </w:r>
            <w:r w:rsidRPr="006B0F3A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B0F3A">
              <w:rPr>
                <w:rFonts w:ascii="Times New Roman" w:hAnsi="Times New Roman" w:cs="Times New Roman"/>
              </w:rPr>
              <w:t>Alternative indirect effects for PCV10-SII</w:t>
            </w:r>
            <w:r w:rsidR="00585842" w:rsidRPr="006B0F3A">
              <w:rPr>
                <w:rFonts w:ascii="Times New Roman" w:hAnsi="Times New Roman" w:cs="Times New Roman"/>
              </w:rPr>
              <w:t>.</w:t>
            </w:r>
          </w:p>
        </w:tc>
      </w:tr>
      <w:tr w:rsidR="00A05C60" w:rsidRPr="006B0F3A" w14:paraId="17927058" w14:textId="77777777" w:rsidTr="00B83FBC">
        <w:trPr>
          <w:trHeight w:val="233"/>
        </w:trPr>
        <w:tc>
          <w:tcPr>
            <w:tcW w:w="3682" w:type="dxa"/>
            <w:gridSpan w:val="2"/>
            <w:tcBorders>
              <w:top w:val="single" w:sz="4" w:space="0" w:color="auto"/>
            </w:tcBorders>
            <w:vAlign w:val="center"/>
          </w:tcPr>
          <w:p w14:paraId="01CD5525" w14:textId="77777777" w:rsidR="00A05C60" w:rsidRPr="006B0F3A" w:rsidRDefault="00A05C60" w:rsidP="00AB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vAlign w:val="center"/>
          </w:tcPr>
          <w:p w14:paraId="3D48108F" w14:textId="77777777" w:rsidR="00A05C60" w:rsidRPr="006B0F3A" w:rsidRDefault="00A05C60" w:rsidP="00AB7E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&lt;18 years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10B0068F" w14:textId="77777777" w:rsidR="00A05C60" w:rsidRPr="006B0F3A" w:rsidRDefault="00A05C60" w:rsidP="00AB7E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18-34 years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4BF866CD" w14:textId="77777777" w:rsidR="00A05C60" w:rsidRPr="006B0F3A" w:rsidRDefault="00A05C60" w:rsidP="00AB7E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35-64 years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vAlign w:val="center"/>
          </w:tcPr>
          <w:p w14:paraId="138CB1EC" w14:textId="77777777" w:rsidR="00A05C60" w:rsidRPr="006B0F3A" w:rsidRDefault="00A05C60" w:rsidP="00AB7E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>≥65 years</w:t>
            </w:r>
          </w:p>
        </w:tc>
      </w:tr>
      <w:tr w:rsidR="00943717" w:rsidRPr="006B0F3A" w14:paraId="1EB7F365" w14:textId="77777777" w:rsidTr="00B83FBC">
        <w:trPr>
          <w:trHeight w:val="250"/>
        </w:trPr>
        <w:tc>
          <w:tcPr>
            <w:tcW w:w="2214" w:type="dxa"/>
            <w:vMerge w:val="restart"/>
            <w:vAlign w:val="center"/>
          </w:tcPr>
          <w:p w14:paraId="67ECAFFD" w14:textId="68476D7D" w:rsidR="00943717" w:rsidRPr="006B0F3A" w:rsidRDefault="00943717" w:rsidP="00943717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commentRangeStart w:id="0"/>
            <w:r w:rsidRPr="006B0F3A">
              <w:rPr>
                <w:rFonts w:ascii="Times New Roman" w:hAnsi="Times New Roman" w:cs="Times New Roman"/>
                <w:b/>
                <w:bCs/>
              </w:rPr>
              <w:t xml:space="preserve">IPD </w:t>
            </w:r>
            <w:commentRangeEnd w:id="0"/>
            <w:r w:rsidRPr="006B0F3A">
              <w:rPr>
                <w:rStyle w:val="CommentReference"/>
                <w:rFonts w:ascii="Times New Roman" w:hAnsi="Times New Roman" w:cs="Times New Roman"/>
                <w:b/>
                <w:sz w:val="22"/>
                <w:szCs w:val="22"/>
              </w:rPr>
              <w:commentReference w:id="0"/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15</w:t>
            </w:r>
          </w:p>
        </w:tc>
        <w:tc>
          <w:tcPr>
            <w:tcW w:w="1468" w:type="dxa"/>
            <w:vAlign w:val="center"/>
          </w:tcPr>
          <w:p w14:paraId="7E287CCF" w14:textId="72A46FDD" w:rsidR="00943717" w:rsidRPr="006B0F3A" w:rsidRDefault="00943717" w:rsidP="0094371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Base case</w:t>
            </w:r>
          </w:p>
        </w:tc>
        <w:tc>
          <w:tcPr>
            <w:tcW w:w="1505" w:type="dxa"/>
            <w:vAlign w:val="center"/>
          </w:tcPr>
          <w:p w14:paraId="724913B9" w14:textId="107DACBB" w:rsidR="00943717" w:rsidRPr="006B0F3A" w:rsidRDefault="00943717" w:rsidP="00943717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46.1%</w:t>
            </w:r>
          </w:p>
        </w:tc>
        <w:tc>
          <w:tcPr>
            <w:tcW w:w="1506" w:type="dxa"/>
            <w:vAlign w:val="center"/>
          </w:tcPr>
          <w:p w14:paraId="78868A3A" w14:textId="11FD5AB8" w:rsidR="00943717" w:rsidRPr="006B0F3A" w:rsidRDefault="00943717" w:rsidP="00943717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48.9%</w:t>
            </w:r>
          </w:p>
        </w:tc>
        <w:tc>
          <w:tcPr>
            <w:tcW w:w="1506" w:type="dxa"/>
            <w:vAlign w:val="center"/>
          </w:tcPr>
          <w:p w14:paraId="5C71D42C" w14:textId="43BE7BFF" w:rsidR="00943717" w:rsidRPr="006B0F3A" w:rsidRDefault="00943717" w:rsidP="00943717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42.8%</w:t>
            </w:r>
          </w:p>
        </w:tc>
        <w:tc>
          <w:tcPr>
            <w:tcW w:w="1509" w:type="dxa"/>
            <w:vAlign w:val="center"/>
          </w:tcPr>
          <w:p w14:paraId="15E574A1" w14:textId="27DC77D2" w:rsidR="00943717" w:rsidRPr="006B0F3A" w:rsidRDefault="00943717" w:rsidP="00943717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40.6%</w:t>
            </w:r>
          </w:p>
        </w:tc>
      </w:tr>
      <w:tr w:rsidR="00A05C60" w:rsidRPr="006B0F3A" w14:paraId="4C50895C" w14:textId="77777777" w:rsidTr="00B83FBC">
        <w:trPr>
          <w:trHeight w:val="134"/>
        </w:trPr>
        <w:tc>
          <w:tcPr>
            <w:tcW w:w="2214" w:type="dxa"/>
            <w:vMerge/>
            <w:vAlign w:val="center"/>
          </w:tcPr>
          <w:p w14:paraId="1201384B" w14:textId="77777777" w:rsidR="00A05C60" w:rsidRPr="006B0F3A" w:rsidRDefault="00A05C60" w:rsidP="00AB7E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53D95D7A" w14:textId="7C44BC7D" w:rsidR="00A05C60" w:rsidRPr="006B0F3A" w:rsidRDefault="00A05C60" w:rsidP="00AB7E86">
            <w:pPr>
              <w:jc w:val="center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Scenario</w:t>
            </w:r>
          </w:p>
        </w:tc>
        <w:tc>
          <w:tcPr>
            <w:tcW w:w="1505" w:type="dxa"/>
            <w:vAlign w:val="center"/>
          </w:tcPr>
          <w:p w14:paraId="54E3EF0E" w14:textId="7FB1FDC9" w:rsidR="00A05C60" w:rsidRPr="006B0F3A" w:rsidRDefault="000A5D07" w:rsidP="00AB7E86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58.9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06" w:type="dxa"/>
            <w:vAlign w:val="center"/>
          </w:tcPr>
          <w:p w14:paraId="4756CED7" w14:textId="29527FB3" w:rsidR="00A05C60" w:rsidRPr="006B0F3A" w:rsidRDefault="000A5D07" w:rsidP="00AB7E86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62.4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06" w:type="dxa"/>
            <w:vAlign w:val="center"/>
          </w:tcPr>
          <w:p w14:paraId="6849F761" w14:textId="78F5AA4B" w:rsidR="00A05C60" w:rsidRPr="006B0F3A" w:rsidRDefault="00BC1635" w:rsidP="00AB7E86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54.6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09" w:type="dxa"/>
            <w:vAlign w:val="center"/>
          </w:tcPr>
          <w:p w14:paraId="78A425F1" w14:textId="1F1A2101" w:rsidR="00A05C60" w:rsidRPr="006B0F3A" w:rsidRDefault="00BC1635" w:rsidP="00AB7E86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51.8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</w:tr>
      <w:tr w:rsidR="00C62878" w:rsidRPr="006B0F3A" w14:paraId="5ED4BFBB" w14:textId="77777777" w:rsidTr="00B83FBC">
        <w:trPr>
          <w:trHeight w:val="233"/>
        </w:trPr>
        <w:tc>
          <w:tcPr>
            <w:tcW w:w="2214" w:type="dxa"/>
            <w:vMerge w:val="restart"/>
            <w:vAlign w:val="center"/>
          </w:tcPr>
          <w:p w14:paraId="48B25D2C" w14:textId="5677BBAD" w:rsidR="00C62878" w:rsidRPr="006B0F3A" w:rsidRDefault="00C62878" w:rsidP="00C62878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commentRangeStart w:id="1"/>
            <w:r w:rsidRPr="006B0F3A">
              <w:rPr>
                <w:rFonts w:ascii="Times New Roman" w:hAnsi="Times New Roman" w:cs="Times New Roman"/>
                <w:b/>
                <w:bCs/>
              </w:rPr>
              <w:t>All-cause inpatient pneumonia</w:t>
            </w:r>
            <w:commentRangeEnd w:id="1"/>
            <w:r w:rsidRPr="006B0F3A">
              <w:rPr>
                <w:rStyle w:val="CommentReference"/>
                <w:rFonts w:ascii="Times New Roman" w:hAnsi="Times New Roman" w:cs="Times New Roman"/>
                <w:b/>
                <w:sz w:val="22"/>
                <w:szCs w:val="22"/>
              </w:rPr>
              <w:commentReference w:id="1"/>
            </w:r>
            <w:r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16,17</w:t>
            </w:r>
          </w:p>
        </w:tc>
        <w:tc>
          <w:tcPr>
            <w:tcW w:w="1468" w:type="dxa"/>
            <w:vAlign w:val="center"/>
          </w:tcPr>
          <w:p w14:paraId="7DAD3726" w14:textId="0D1B569D" w:rsidR="00C62878" w:rsidRPr="006B0F3A" w:rsidRDefault="00C62878" w:rsidP="00C6287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Base case</w:t>
            </w:r>
          </w:p>
        </w:tc>
        <w:tc>
          <w:tcPr>
            <w:tcW w:w="1505" w:type="dxa"/>
            <w:vAlign w:val="center"/>
          </w:tcPr>
          <w:p w14:paraId="7929A8A8" w14:textId="759CBB3F" w:rsidR="00C62878" w:rsidRPr="006B0F3A" w:rsidRDefault="00C62878" w:rsidP="00C62878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16.4%</w:t>
            </w:r>
          </w:p>
        </w:tc>
        <w:tc>
          <w:tcPr>
            <w:tcW w:w="4521" w:type="dxa"/>
            <w:gridSpan w:val="3"/>
            <w:vAlign w:val="center"/>
          </w:tcPr>
          <w:p w14:paraId="4E383EF9" w14:textId="5940ADEE" w:rsidR="00C62878" w:rsidRPr="006B0F3A" w:rsidRDefault="00C62878" w:rsidP="00C62878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8.3%</w:t>
            </w:r>
          </w:p>
        </w:tc>
      </w:tr>
      <w:tr w:rsidR="00A05C60" w:rsidRPr="006B0F3A" w14:paraId="3BACD217" w14:textId="77777777" w:rsidTr="00B83FBC">
        <w:trPr>
          <w:trHeight w:val="134"/>
        </w:trPr>
        <w:tc>
          <w:tcPr>
            <w:tcW w:w="2214" w:type="dxa"/>
            <w:vMerge/>
            <w:vAlign w:val="center"/>
          </w:tcPr>
          <w:p w14:paraId="22CC4AA4" w14:textId="77777777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12584A07" w14:textId="73FFF866" w:rsidR="00A05C60" w:rsidRPr="006B0F3A" w:rsidRDefault="00BC455A" w:rsidP="00A05C6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Scenario</w:t>
            </w:r>
          </w:p>
        </w:tc>
        <w:tc>
          <w:tcPr>
            <w:tcW w:w="1505" w:type="dxa"/>
            <w:vAlign w:val="center"/>
          </w:tcPr>
          <w:p w14:paraId="601C96DA" w14:textId="77A21DCE" w:rsidR="00A05C60" w:rsidRPr="006B0F3A" w:rsidRDefault="00617610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21.6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21" w:type="dxa"/>
            <w:gridSpan w:val="3"/>
            <w:vAlign w:val="center"/>
          </w:tcPr>
          <w:p w14:paraId="43D41EC2" w14:textId="145ABA19" w:rsidR="00A05C60" w:rsidRPr="006B0F3A" w:rsidRDefault="005701D4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10.6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</w:tr>
      <w:tr w:rsidR="00A05C60" w:rsidRPr="006B0F3A" w14:paraId="0E3910EE" w14:textId="77777777" w:rsidTr="00B83FBC">
        <w:trPr>
          <w:trHeight w:val="250"/>
        </w:trPr>
        <w:tc>
          <w:tcPr>
            <w:tcW w:w="2214" w:type="dxa"/>
            <w:vMerge w:val="restart"/>
            <w:vAlign w:val="center"/>
          </w:tcPr>
          <w:p w14:paraId="70049F7C" w14:textId="435FFE78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commentRangeStart w:id="2"/>
            <w:r w:rsidRPr="006B0F3A">
              <w:rPr>
                <w:rFonts w:ascii="Times New Roman" w:hAnsi="Times New Roman" w:cs="Times New Roman"/>
                <w:b/>
                <w:bCs/>
              </w:rPr>
              <w:t>All-cause outpatient pneumonia</w:t>
            </w:r>
            <w:commentRangeEnd w:id="2"/>
            <w:r w:rsidRPr="006B0F3A">
              <w:rPr>
                <w:rStyle w:val="CommentReference"/>
                <w:rFonts w:ascii="Times New Roman" w:hAnsi="Times New Roman" w:cs="Times New Roman"/>
                <w:b/>
                <w:sz w:val="22"/>
                <w:szCs w:val="22"/>
              </w:rPr>
              <w:commentReference w:id="2"/>
            </w:r>
            <w:r w:rsidR="00EB5997"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16,17</w:t>
            </w:r>
          </w:p>
        </w:tc>
        <w:tc>
          <w:tcPr>
            <w:tcW w:w="1468" w:type="dxa"/>
            <w:vAlign w:val="center"/>
          </w:tcPr>
          <w:p w14:paraId="7C673DCC" w14:textId="174247BD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Base case</w:t>
            </w:r>
          </w:p>
        </w:tc>
        <w:tc>
          <w:tcPr>
            <w:tcW w:w="1505" w:type="dxa"/>
            <w:vAlign w:val="center"/>
          </w:tcPr>
          <w:p w14:paraId="1FBAAEBA" w14:textId="70A8BF18" w:rsidR="00A05C60" w:rsidRPr="006B0F3A" w:rsidRDefault="00C62878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12.5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21" w:type="dxa"/>
            <w:gridSpan w:val="3"/>
            <w:vMerge w:val="restart"/>
            <w:vAlign w:val="center"/>
          </w:tcPr>
          <w:p w14:paraId="57CDD389" w14:textId="77777777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0.0%</w:t>
            </w:r>
          </w:p>
        </w:tc>
      </w:tr>
      <w:tr w:rsidR="00A05C60" w:rsidRPr="006B0F3A" w14:paraId="44DA800B" w14:textId="77777777" w:rsidTr="00B83FBC">
        <w:trPr>
          <w:trHeight w:val="134"/>
        </w:trPr>
        <w:tc>
          <w:tcPr>
            <w:tcW w:w="2214" w:type="dxa"/>
            <w:vMerge/>
            <w:vAlign w:val="center"/>
          </w:tcPr>
          <w:p w14:paraId="3E4B2BFD" w14:textId="77777777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64E36538" w14:textId="3DE95DF6" w:rsidR="00A05C60" w:rsidRPr="006B0F3A" w:rsidRDefault="00BC455A" w:rsidP="00A05C6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Scenario</w:t>
            </w:r>
          </w:p>
        </w:tc>
        <w:tc>
          <w:tcPr>
            <w:tcW w:w="1505" w:type="dxa"/>
            <w:vAlign w:val="center"/>
          </w:tcPr>
          <w:p w14:paraId="02AF0D28" w14:textId="606E55EF" w:rsidR="00A05C60" w:rsidRPr="006B0F3A" w:rsidRDefault="004C62E2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15.9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21" w:type="dxa"/>
            <w:gridSpan w:val="3"/>
            <w:vMerge/>
            <w:vAlign w:val="center"/>
          </w:tcPr>
          <w:p w14:paraId="10987C05" w14:textId="77777777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5C60" w:rsidRPr="006B0F3A" w14:paraId="67FCA4A7" w14:textId="77777777" w:rsidTr="00B83FBC">
        <w:trPr>
          <w:trHeight w:val="250"/>
        </w:trPr>
        <w:tc>
          <w:tcPr>
            <w:tcW w:w="2214" w:type="dxa"/>
            <w:vMerge w:val="restart"/>
            <w:vAlign w:val="center"/>
          </w:tcPr>
          <w:p w14:paraId="0D6F07A2" w14:textId="4F23EAE2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commentRangeStart w:id="3"/>
            <w:r w:rsidRPr="006B0F3A">
              <w:rPr>
                <w:rFonts w:ascii="Times New Roman" w:hAnsi="Times New Roman" w:cs="Times New Roman"/>
                <w:b/>
                <w:bCs/>
              </w:rPr>
              <w:t>All-cause AOM</w:t>
            </w:r>
            <w:commentRangeEnd w:id="3"/>
            <w:r w:rsidRPr="006B0F3A">
              <w:rPr>
                <w:rStyle w:val="CommentReference"/>
                <w:rFonts w:ascii="Times New Roman" w:hAnsi="Times New Roman" w:cs="Times New Roman"/>
                <w:b/>
                <w:sz w:val="22"/>
                <w:szCs w:val="22"/>
              </w:rPr>
              <w:commentReference w:id="3"/>
            </w:r>
            <w:r w:rsidR="00EB5997" w:rsidRPr="006B0F3A">
              <w:rPr>
                <w:rFonts w:ascii="Times New Roman" w:hAnsi="Times New Roman" w:cs="Times New Roman"/>
                <w:b/>
                <w:bCs/>
                <w:vertAlign w:val="superscript"/>
              </w:rPr>
              <w:t>18</w:t>
            </w:r>
          </w:p>
        </w:tc>
        <w:tc>
          <w:tcPr>
            <w:tcW w:w="1468" w:type="dxa"/>
            <w:vAlign w:val="center"/>
          </w:tcPr>
          <w:p w14:paraId="778478F6" w14:textId="5970749E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Base case</w:t>
            </w:r>
          </w:p>
        </w:tc>
        <w:tc>
          <w:tcPr>
            <w:tcW w:w="1505" w:type="dxa"/>
            <w:vAlign w:val="center"/>
          </w:tcPr>
          <w:p w14:paraId="30216E87" w14:textId="6BFA8A92" w:rsidR="00A05C60" w:rsidRPr="006B0F3A" w:rsidRDefault="00C62878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11.1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21" w:type="dxa"/>
            <w:gridSpan w:val="3"/>
            <w:vMerge w:val="restart"/>
            <w:vAlign w:val="center"/>
          </w:tcPr>
          <w:p w14:paraId="0D99FFF2" w14:textId="77777777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0.0%</w:t>
            </w:r>
          </w:p>
        </w:tc>
      </w:tr>
      <w:tr w:rsidR="00A05C60" w:rsidRPr="006B0F3A" w14:paraId="364A21C4" w14:textId="77777777" w:rsidTr="00B83FBC">
        <w:trPr>
          <w:trHeight w:val="134"/>
        </w:trPr>
        <w:tc>
          <w:tcPr>
            <w:tcW w:w="2214" w:type="dxa"/>
            <w:vMerge/>
            <w:vAlign w:val="center"/>
          </w:tcPr>
          <w:p w14:paraId="62458E48" w14:textId="77777777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vAlign w:val="center"/>
          </w:tcPr>
          <w:p w14:paraId="2170446A" w14:textId="3CC6786A" w:rsidR="00A05C60" w:rsidRPr="006B0F3A" w:rsidRDefault="00BC455A" w:rsidP="00A05C6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B0F3A">
              <w:rPr>
                <w:rFonts w:ascii="Times New Roman" w:hAnsi="Times New Roman" w:cs="Times New Roman"/>
                <w:i/>
                <w:iCs/>
              </w:rPr>
              <w:t>Scenario</w:t>
            </w:r>
          </w:p>
        </w:tc>
        <w:tc>
          <w:tcPr>
            <w:tcW w:w="1505" w:type="dxa"/>
            <w:vAlign w:val="center"/>
          </w:tcPr>
          <w:p w14:paraId="6AFD4B54" w14:textId="4F75713A" w:rsidR="00A05C60" w:rsidRPr="006B0F3A" w:rsidRDefault="004C62E2" w:rsidP="00A05C60">
            <w:pPr>
              <w:jc w:val="center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</w:rPr>
              <w:t>14.2</w:t>
            </w:r>
            <w:r w:rsidR="00A05C60" w:rsidRPr="006B0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521" w:type="dxa"/>
            <w:gridSpan w:val="3"/>
            <w:vMerge/>
            <w:vAlign w:val="center"/>
          </w:tcPr>
          <w:p w14:paraId="123FD7E5" w14:textId="77777777" w:rsidR="00A05C60" w:rsidRPr="006B0F3A" w:rsidRDefault="00A05C60" w:rsidP="00A05C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E7425C" w14:textId="1409500A" w:rsidR="0018327A" w:rsidRPr="006B0F3A" w:rsidRDefault="0018327A" w:rsidP="00B1409D">
      <w:pPr>
        <w:tabs>
          <w:tab w:val="left" w:pos="2461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0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8"/>
      </w:tblGrid>
      <w:tr w:rsidR="009B6C09" w:rsidRPr="006B0F3A" w14:paraId="0BF3B3E2" w14:textId="77777777" w:rsidTr="004A676D">
        <w:trPr>
          <w:trHeight w:val="288"/>
        </w:trPr>
        <w:tc>
          <w:tcPr>
            <w:tcW w:w="9464" w:type="dxa"/>
          </w:tcPr>
          <w:p w14:paraId="76F40F16" w14:textId="20B42483" w:rsidR="0018327A" w:rsidRPr="006B0F3A" w:rsidRDefault="0018327A" w:rsidP="00D52556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Figure </w:t>
            </w:r>
            <w:r w:rsidR="00C70529" w:rsidRPr="006B0F3A">
              <w:rPr>
                <w:rFonts w:ascii="Times New Roman" w:hAnsi="Times New Roman" w:cs="Times New Roman"/>
                <w:b/>
                <w:bCs/>
              </w:rPr>
              <w:t>S1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.</w:t>
            </w:r>
            <w:r w:rsidRPr="006B0F3A">
              <w:rPr>
                <w:rFonts w:ascii="Times New Roman" w:hAnsi="Times New Roman" w:cs="Times New Roman"/>
              </w:rPr>
              <w:t xml:space="preserve"> Deterministic sensitivity analysis results for PCV20</w:t>
            </w:r>
            <w:r w:rsidR="00B13AA8" w:rsidRPr="006B0F3A">
              <w:rPr>
                <w:rFonts w:ascii="Times New Roman" w:hAnsi="Times New Roman" w:cs="Times New Roman"/>
              </w:rPr>
              <w:t>-PFE</w:t>
            </w:r>
            <w:r w:rsidRPr="006B0F3A">
              <w:rPr>
                <w:rFonts w:ascii="Times New Roman" w:hAnsi="Times New Roman" w:cs="Times New Roman"/>
              </w:rPr>
              <w:t xml:space="preserve"> 2+1 vs PCV10</w:t>
            </w:r>
            <w:r w:rsidR="00B13AA8" w:rsidRPr="006B0F3A">
              <w:rPr>
                <w:rFonts w:ascii="Times New Roman" w:hAnsi="Times New Roman" w:cs="Times New Roman"/>
              </w:rPr>
              <w:t>-SII</w:t>
            </w:r>
            <w:r w:rsidRPr="006B0F3A">
              <w:rPr>
                <w:rFonts w:ascii="Times New Roman" w:hAnsi="Times New Roman" w:cs="Times New Roman"/>
              </w:rPr>
              <w:t xml:space="preserve"> 3+0</w:t>
            </w:r>
          </w:p>
        </w:tc>
      </w:tr>
      <w:tr w:rsidR="009B6C09" w:rsidRPr="006B0F3A" w14:paraId="3AA17BCD" w14:textId="77777777" w:rsidTr="004A676D">
        <w:trPr>
          <w:trHeight w:val="5239"/>
        </w:trPr>
        <w:tc>
          <w:tcPr>
            <w:tcW w:w="9464" w:type="dxa"/>
          </w:tcPr>
          <w:p w14:paraId="1F48A65E" w14:textId="77777777" w:rsidR="0018327A" w:rsidRPr="006B0F3A" w:rsidRDefault="0018327A" w:rsidP="0018327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B0F3A">
              <w:rPr>
                <w:rFonts w:ascii="Times New Roman" w:hAnsi="Times New Roman" w:cs="Times New Roman"/>
                <w:b/>
                <w:bCs/>
                <w:noProof/>
              </w:rPr>
              <w:t>DSA cost results</w:t>
            </w:r>
          </w:p>
          <w:p w14:paraId="41231FA4" w14:textId="59F69738" w:rsidR="0018327A" w:rsidRPr="006B0F3A" w:rsidRDefault="0018327A" w:rsidP="00D52556">
            <w:pPr>
              <w:pStyle w:val="ListParagraph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7B81B8F5" w14:textId="35D77DD7" w:rsidR="0018327A" w:rsidRPr="006B0F3A" w:rsidRDefault="0048184E" w:rsidP="00D52556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FD39A03" wp14:editId="1BA046EE">
                  <wp:extent cx="6059524" cy="3365500"/>
                  <wp:effectExtent l="0" t="0" r="0" b="6350"/>
                  <wp:docPr id="1749706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1935" cy="33723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6C09" w:rsidRPr="006B0F3A" w14:paraId="433EA779" w14:textId="77777777" w:rsidTr="009B6C09">
        <w:trPr>
          <w:trHeight w:val="4991"/>
        </w:trPr>
        <w:tc>
          <w:tcPr>
            <w:tcW w:w="9464" w:type="dxa"/>
          </w:tcPr>
          <w:p w14:paraId="6017376B" w14:textId="77777777" w:rsidR="0018327A" w:rsidRPr="006B0F3A" w:rsidRDefault="0018327A" w:rsidP="0018327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B0F3A">
              <w:rPr>
                <w:rFonts w:ascii="Times New Roman" w:hAnsi="Times New Roman" w:cs="Times New Roman"/>
                <w:b/>
                <w:bCs/>
                <w:noProof/>
              </w:rPr>
              <w:t>DSA QALY result</w:t>
            </w:r>
          </w:p>
          <w:p w14:paraId="75B5FCCD" w14:textId="77777777" w:rsidR="0018327A" w:rsidRPr="006B0F3A" w:rsidRDefault="0018327A" w:rsidP="00D52556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61B04B1E" w14:textId="6DA2494B" w:rsidR="0018327A" w:rsidRPr="006B0F3A" w:rsidRDefault="009B6C09" w:rsidP="00D5255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B0F3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5831F6" wp14:editId="4F02548D">
                  <wp:extent cx="6097270" cy="3225072"/>
                  <wp:effectExtent l="0" t="0" r="0" b="0"/>
                  <wp:docPr id="8910961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179" cy="323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6DC7CC" w14:textId="77777777" w:rsidR="0018327A" w:rsidRPr="006B0F3A" w:rsidRDefault="0018327A" w:rsidP="00B1409D">
      <w:pPr>
        <w:tabs>
          <w:tab w:val="left" w:pos="2461"/>
        </w:tabs>
        <w:rPr>
          <w:rFonts w:ascii="Times New Roman" w:hAnsi="Times New Roman" w:cs="Times New Roman"/>
        </w:rPr>
      </w:pPr>
    </w:p>
    <w:p w14:paraId="610336C5" w14:textId="77777777" w:rsidR="0018327A" w:rsidRPr="006B0F3A" w:rsidRDefault="0018327A" w:rsidP="00B1409D">
      <w:pPr>
        <w:tabs>
          <w:tab w:val="left" w:pos="2461"/>
        </w:tabs>
        <w:rPr>
          <w:rFonts w:ascii="Times New Roman" w:hAnsi="Times New Roman" w:cs="Times New Roman"/>
        </w:rPr>
      </w:pPr>
    </w:p>
    <w:p w14:paraId="195E3707" w14:textId="77777777" w:rsidR="0018327A" w:rsidRPr="006B0F3A" w:rsidRDefault="0018327A" w:rsidP="00B1409D">
      <w:pPr>
        <w:tabs>
          <w:tab w:val="left" w:pos="2461"/>
        </w:tabs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01"/>
        <w:tblW w:w="95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B13AA8" w:rsidRPr="006B0F3A" w14:paraId="7D9E0D13" w14:textId="77777777" w:rsidTr="004A676D">
        <w:trPr>
          <w:trHeight w:val="288"/>
        </w:trPr>
        <w:tc>
          <w:tcPr>
            <w:tcW w:w="9546" w:type="dxa"/>
          </w:tcPr>
          <w:p w14:paraId="0380C1F9" w14:textId="51136659" w:rsidR="002C4BDC" w:rsidRPr="006B0F3A" w:rsidRDefault="002C4BDC" w:rsidP="00D52556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  <w:r w:rsidR="00C70529" w:rsidRPr="006B0F3A">
              <w:rPr>
                <w:rFonts w:ascii="Times New Roman" w:hAnsi="Times New Roman" w:cs="Times New Roman"/>
                <w:b/>
                <w:bCs/>
              </w:rPr>
              <w:t>S2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.</w:t>
            </w:r>
            <w:r w:rsidRPr="006B0F3A">
              <w:rPr>
                <w:rFonts w:ascii="Times New Roman" w:hAnsi="Times New Roman" w:cs="Times New Roman"/>
              </w:rPr>
              <w:t xml:space="preserve"> Deterministic sensitivity analysis results for PCV20</w:t>
            </w:r>
            <w:r w:rsidR="00B13AA8" w:rsidRPr="006B0F3A">
              <w:rPr>
                <w:rFonts w:ascii="Times New Roman" w:hAnsi="Times New Roman" w:cs="Times New Roman"/>
              </w:rPr>
              <w:t>-PFE</w:t>
            </w:r>
            <w:r w:rsidRPr="006B0F3A">
              <w:rPr>
                <w:rFonts w:ascii="Times New Roman" w:hAnsi="Times New Roman" w:cs="Times New Roman"/>
              </w:rPr>
              <w:t xml:space="preserve"> 3+1 vs PCV10</w:t>
            </w:r>
            <w:r w:rsidR="00B13AA8" w:rsidRPr="006B0F3A">
              <w:rPr>
                <w:rFonts w:ascii="Times New Roman" w:hAnsi="Times New Roman" w:cs="Times New Roman"/>
              </w:rPr>
              <w:t>-SII</w:t>
            </w:r>
            <w:r w:rsidRPr="006B0F3A">
              <w:rPr>
                <w:rFonts w:ascii="Times New Roman" w:hAnsi="Times New Roman" w:cs="Times New Roman"/>
              </w:rPr>
              <w:t xml:space="preserve"> 3+0</w:t>
            </w:r>
          </w:p>
        </w:tc>
      </w:tr>
      <w:tr w:rsidR="00F273DC" w:rsidRPr="006B0F3A" w14:paraId="42FF7268" w14:textId="77777777" w:rsidTr="004A676D">
        <w:trPr>
          <w:trHeight w:val="5239"/>
        </w:trPr>
        <w:tc>
          <w:tcPr>
            <w:tcW w:w="9546" w:type="dxa"/>
          </w:tcPr>
          <w:p w14:paraId="336884C5" w14:textId="77777777" w:rsidR="002C4BDC" w:rsidRPr="006B0F3A" w:rsidRDefault="002C4BDC" w:rsidP="002C4BD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B0F3A">
              <w:rPr>
                <w:rFonts w:ascii="Times New Roman" w:hAnsi="Times New Roman" w:cs="Times New Roman"/>
                <w:b/>
                <w:bCs/>
                <w:noProof/>
              </w:rPr>
              <w:lastRenderedPageBreak/>
              <w:t>DSA cost results</w:t>
            </w:r>
          </w:p>
          <w:p w14:paraId="4BBA3E93" w14:textId="2857775D" w:rsidR="002C4BDC" w:rsidRPr="006B0F3A" w:rsidRDefault="00F273DC" w:rsidP="00D52556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B0F3A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0199D29A" wp14:editId="39A09208">
                  <wp:extent cx="5917565" cy="3360119"/>
                  <wp:effectExtent l="0" t="0" r="6985" b="0"/>
                  <wp:docPr id="46932213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781" cy="3363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AA8" w:rsidRPr="006B0F3A" w14:paraId="47BEE45F" w14:textId="77777777" w:rsidTr="00B13AA8">
        <w:trPr>
          <w:trHeight w:val="4991"/>
        </w:trPr>
        <w:tc>
          <w:tcPr>
            <w:tcW w:w="9546" w:type="dxa"/>
          </w:tcPr>
          <w:p w14:paraId="5CD4D3ED" w14:textId="77777777" w:rsidR="002C4BDC" w:rsidRPr="006B0F3A" w:rsidRDefault="002C4BDC" w:rsidP="002C4BD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B0F3A">
              <w:rPr>
                <w:rFonts w:ascii="Times New Roman" w:hAnsi="Times New Roman" w:cs="Times New Roman"/>
                <w:b/>
                <w:bCs/>
                <w:noProof/>
              </w:rPr>
              <w:t>DSA QALY result</w:t>
            </w:r>
          </w:p>
          <w:p w14:paraId="6BD30443" w14:textId="6EF4F9E0" w:rsidR="002C4BDC" w:rsidRPr="006B0F3A" w:rsidRDefault="002C4BDC" w:rsidP="00D52556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9575E07" w14:textId="1125A18A" w:rsidR="002C4BDC" w:rsidRPr="006B0F3A" w:rsidRDefault="00B13AA8" w:rsidP="00D52556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6B0F3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824438E" wp14:editId="78429A27">
                  <wp:extent cx="5867400" cy="3660152"/>
                  <wp:effectExtent l="0" t="0" r="0" b="0"/>
                  <wp:docPr id="10520586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7079" cy="3666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D6EF6" w14:textId="5FDD5EA3" w:rsidR="0018327A" w:rsidRPr="006B0F3A" w:rsidRDefault="0018327A" w:rsidP="00B1409D">
      <w:pPr>
        <w:tabs>
          <w:tab w:val="left" w:pos="2461"/>
        </w:tabs>
        <w:rPr>
          <w:rFonts w:ascii="Times New Roman" w:hAnsi="Times New Roman" w:cs="Times New Roman"/>
        </w:rPr>
      </w:pPr>
    </w:p>
    <w:p w14:paraId="5D86554A" w14:textId="77777777" w:rsidR="00C70529" w:rsidRPr="006B0F3A" w:rsidRDefault="00C70529" w:rsidP="00C70529">
      <w:pPr>
        <w:rPr>
          <w:rFonts w:ascii="Times New Roman" w:hAnsi="Times New Roman" w:cs="Times New Roman"/>
        </w:rPr>
      </w:pPr>
      <w:r w:rsidRPr="006B0F3A">
        <w:rPr>
          <w:rFonts w:ascii="Times New Roman" w:hAnsi="Times New Roman" w:cs="Times New Roman"/>
          <w:b/>
          <w:bCs/>
        </w:rPr>
        <w:br w:type="page"/>
      </w:r>
    </w:p>
    <w:tbl>
      <w:tblPr>
        <w:tblStyle w:val="TableGrid"/>
        <w:tblpPr w:leftFromText="180" w:rightFromText="180" w:vertAnchor="page" w:horzAnchor="margin" w:tblpY="1992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5"/>
      </w:tblGrid>
      <w:tr w:rsidR="00C70529" w:rsidRPr="006B0F3A" w14:paraId="0A8B8BA7" w14:textId="77777777" w:rsidTr="004A676D">
        <w:trPr>
          <w:trHeight w:val="564"/>
        </w:trPr>
        <w:tc>
          <w:tcPr>
            <w:tcW w:w="9735" w:type="dxa"/>
          </w:tcPr>
          <w:p w14:paraId="0582EB5A" w14:textId="7B989AE7" w:rsidR="00C70529" w:rsidRPr="006B0F3A" w:rsidRDefault="00C70529" w:rsidP="00D52556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Figure </w:t>
            </w:r>
            <w:r w:rsidR="005A723A" w:rsidRPr="006B0F3A">
              <w:rPr>
                <w:rFonts w:ascii="Times New Roman" w:hAnsi="Times New Roman" w:cs="Times New Roman"/>
                <w:b/>
                <w:bCs/>
              </w:rPr>
              <w:t>S3</w:t>
            </w:r>
            <w:r w:rsidRPr="006B0F3A">
              <w:rPr>
                <w:rFonts w:ascii="Times New Roman" w:hAnsi="Times New Roman" w:cs="Times New Roman"/>
                <w:b/>
                <w:bCs/>
              </w:rPr>
              <w:t>.</w:t>
            </w:r>
            <w:r w:rsidRPr="006B0F3A">
              <w:rPr>
                <w:rFonts w:ascii="Times New Roman" w:hAnsi="Times New Roman" w:cs="Times New Roman"/>
              </w:rPr>
              <w:t xml:space="preserve"> Probabilistic sensitivity analysis cost-effectiveness plane for PCV20</w:t>
            </w:r>
            <w:r w:rsidR="00642FE9" w:rsidRPr="006B0F3A">
              <w:rPr>
                <w:rFonts w:ascii="Times New Roman" w:hAnsi="Times New Roman" w:cs="Times New Roman"/>
              </w:rPr>
              <w:t>-PFE</w:t>
            </w:r>
            <w:r w:rsidRPr="006B0F3A">
              <w:rPr>
                <w:rFonts w:ascii="Times New Roman" w:hAnsi="Times New Roman" w:cs="Times New Roman"/>
              </w:rPr>
              <w:t xml:space="preserve"> 2+1 vs PCV10</w:t>
            </w:r>
            <w:r w:rsidR="00642FE9" w:rsidRPr="006B0F3A">
              <w:rPr>
                <w:rFonts w:ascii="Times New Roman" w:hAnsi="Times New Roman" w:cs="Times New Roman"/>
              </w:rPr>
              <w:t>-SII</w:t>
            </w:r>
            <w:r w:rsidRPr="006B0F3A">
              <w:rPr>
                <w:rFonts w:ascii="Times New Roman" w:hAnsi="Times New Roman" w:cs="Times New Roman"/>
              </w:rPr>
              <w:t xml:space="preserve"> 3+0 and PCV20</w:t>
            </w:r>
            <w:r w:rsidR="00B85F20" w:rsidRPr="006B0F3A">
              <w:rPr>
                <w:rFonts w:ascii="Times New Roman" w:hAnsi="Times New Roman" w:cs="Times New Roman"/>
              </w:rPr>
              <w:t>-PFE</w:t>
            </w:r>
            <w:r w:rsidRPr="006B0F3A">
              <w:rPr>
                <w:rFonts w:ascii="Times New Roman" w:hAnsi="Times New Roman" w:cs="Times New Roman"/>
              </w:rPr>
              <w:t xml:space="preserve"> 3+1 vs PCV10</w:t>
            </w:r>
            <w:r w:rsidR="00B85F20" w:rsidRPr="006B0F3A">
              <w:rPr>
                <w:rFonts w:ascii="Times New Roman" w:hAnsi="Times New Roman" w:cs="Times New Roman"/>
              </w:rPr>
              <w:t>-SII</w:t>
            </w:r>
            <w:r w:rsidRPr="006B0F3A">
              <w:rPr>
                <w:rFonts w:ascii="Times New Roman" w:hAnsi="Times New Roman" w:cs="Times New Roman"/>
              </w:rPr>
              <w:t xml:space="preserve"> 3+0</w:t>
            </w:r>
          </w:p>
        </w:tc>
      </w:tr>
      <w:tr w:rsidR="00C70529" w:rsidRPr="006B0F3A" w14:paraId="15020190" w14:textId="77777777" w:rsidTr="004A676D">
        <w:trPr>
          <w:trHeight w:val="5632"/>
        </w:trPr>
        <w:tc>
          <w:tcPr>
            <w:tcW w:w="9735" w:type="dxa"/>
          </w:tcPr>
          <w:p w14:paraId="267942BD" w14:textId="57332A27" w:rsidR="00C70529" w:rsidRPr="006B0F3A" w:rsidRDefault="00B85F20" w:rsidP="00D52556">
            <w:pPr>
              <w:jc w:val="both"/>
              <w:rPr>
                <w:rFonts w:ascii="Times New Roman" w:hAnsi="Times New Roman" w:cs="Times New Roman"/>
              </w:rPr>
            </w:pPr>
            <w:r w:rsidRPr="006B0F3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161574" wp14:editId="5683B203">
                  <wp:extent cx="5750640" cy="3302000"/>
                  <wp:effectExtent l="0" t="0" r="2540" b="0"/>
                  <wp:docPr id="12074787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3351" cy="33150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8AAB14" w14:textId="77777777" w:rsidR="00C70529" w:rsidRPr="006B0F3A" w:rsidRDefault="00C70529" w:rsidP="00C70529">
      <w:pPr>
        <w:jc w:val="both"/>
        <w:rPr>
          <w:rFonts w:ascii="Times New Roman" w:hAnsi="Times New Roman" w:cs="Times New Roman"/>
        </w:rPr>
      </w:pPr>
    </w:p>
    <w:p w14:paraId="4A597327" w14:textId="77777777" w:rsidR="00DD486F" w:rsidRPr="006B0F3A" w:rsidRDefault="00DD486F" w:rsidP="00C70529">
      <w:pPr>
        <w:jc w:val="both"/>
        <w:rPr>
          <w:rFonts w:ascii="Times New Roman" w:hAnsi="Times New Roman" w:cs="Times New Roman"/>
        </w:rPr>
      </w:pPr>
    </w:p>
    <w:p w14:paraId="590A6F73" w14:textId="77777777" w:rsidR="00DD486F" w:rsidRPr="006B0F3A" w:rsidRDefault="00DD486F" w:rsidP="00C70529">
      <w:pPr>
        <w:jc w:val="both"/>
        <w:rPr>
          <w:rFonts w:ascii="Times New Roman" w:hAnsi="Times New Roman" w:cs="Times New Roman"/>
        </w:rPr>
      </w:pPr>
    </w:p>
    <w:tbl>
      <w:tblPr>
        <w:tblStyle w:val="PlainTable1"/>
        <w:tblW w:w="8990" w:type="dxa"/>
        <w:tblLook w:val="0220" w:firstRow="1" w:lastRow="0" w:firstColumn="0" w:lastColumn="0" w:noHBand="1" w:noVBand="0"/>
      </w:tblPr>
      <w:tblGrid>
        <w:gridCol w:w="2990"/>
        <w:gridCol w:w="2999"/>
        <w:gridCol w:w="3001"/>
      </w:tblGrid>
      <w:tr w:rsidR="00C70529" w:rsidRPr="006B0F3A" w14:paraId="3439B73C" w14:textId="77777777" w:rsidTr="00D52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D1E48C" w14:textId="0A81AD76" w:rsidR="00C70529" w:rsidRPr="006B0F3A" w:rsidRDefault="00C70529" w:rsidP="00D52556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it-IT" w:eastAsia="en-GB"/>
                <w14:ligatures w14:val="none"/>
              </w:rPr>
              <w:t xml:space="preserve">Table </w:t>
            </w:r>
            <w:r w:rsidR="005A723A" w:rsidRPr="006B0F3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it-IT" w:eastAsia="en-GB"/>
                <w14:ligatures w14:val="none"/>
              </w:rPr>
              <w:t>S9</w:t>
            </w:r>
            <w:r w:rsidRPr="006B0F3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val="it-IT" w:eastAsia="en-GB"/>
                <w14:ligatures w14:val="none"/>
              </w:rPr>
              <w:t xml:space="preserve">. </w:t>
            </w:r>
            <w:r w:rsidRPr="006B0F3A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24"/>
                <w:lang w:val="it-IT" w:eastAsia="en-GB"/>
                <w14:ligatures w14:val="none"/>
              </w:rPr>
              <w:t>PSA summary of results</w:t>
            </w:r>
          </w:p>
        </w:tc>
      </w:tr>
      <w:tr w:rsidR="00C70529" w:rsidRPr="006B0F3A" w14:paraId="340A436C" w14:textId="77777777" w:rsidTr="00D52556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539D" w14:textId="77777777" w:rsidR="00C70529" w:rsidRPr="006B0F3A" w:rsidRDefault="00C70529" w:rsidP="00D5255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6734" w14:textId="0A512D47" w:rsidR="00C70529" w:rsidRPr="006B0F3A" w:rsidRDefault="00C70529" w:rsidP="00D52556">
            <w:pPr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PCV</w:t>
            </w:r>
            <w:r w:rsidR="00DD486F"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20-PFE</w:t>
            </w: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 xml:space="preserve"> 2+1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266F" w14:textId="716E876A" w:rsidR="00C70529" w:rsidRPr="006B0F3A" w:rsidRDefault="00C70529" w:rsidP="00D5255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PCV</w:t>
            </w:r>
            <w:r w:rsidR="00DD486F"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20-PFE</w:t>
            </w: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 xml:space="preserve"> 3+1</w:t>
            </w:r>
          </w:p>
        </w:tc>
      </w:tr>
      <w:tr w:rsidR="00C70529" w:rsidRPr="006B0F3A" w14:paraId="2D3E8FB1" w14:textId="77777777" w:rsidTr="00D52556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4A93" w14:textId="1A05EEFD" w:rsidR="00C70529" w:rsidRPr="006B0F3A" w:rsidRDefault="00C70529" w:rsidP="00D5255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it-IT" w:eastAsia="en-GB"/>
                <w14:ligatures w14:val="none"/>
              </w:rPr>
              <w:t>Proportion per quadrant Vs SoC :PCV</w:t>
            </w:r>
            <w:r w:rsidR="00DD486F"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it-IT" w:eastAsia="en-GB"/>
                <w14:ligatures w14:val="none"/>
              </w:rPr>
              <w:t xml:space="preserve">10-SII </w:t>
            </w: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it-IT" w:eastAsia="en-GB"/>
                <w14:ligatures w14:val="none"/>
              </w:rPr>
              <w:t>3+0</w:t>
            </w:r>
          </w:p>
        </w:tc>
      </w:tr>
      <w:tr w:rsidR="00C70529" w:rsidRPr="006B0F3A" w14:paraId="579CD872" w14:textId="77777777" w:rsidTr="00D52556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4C2C" w14:textId="77777777" w:rsidR="00C70529" w:rsidRPr="006B0F3A" w:rsidRDefault="00C70529" w:rsidP="00D5255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Less Costly / More Effective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09C7" w14:textId="77777777" w:rsidR="00C70529" w:rsidRPr="006B0F3A" w:rsidRDefault="00C70529" w:rsidP="00D52556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en-GB"/>
                <w14:ligatures w14:val="none"/>
              </w:rPr>
              <w:t>100%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F04F" w14:textId="77777777" w:rsidR="00C70529" w:rsidRPr="006B0F3A" w:rsidRDefault="00C70529" w:rsidP="00D52556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en-GB"/>
                <w14:ligatures w14:val="none"/>
              </w:rPr>
              <w:t>100%</w:t>
            </w:r>
          </w:p>
        </w:tc>
      </w:tr>
      <w:tr w:rsidR="00C70529" w:rsidRPr="006B0F3A" w14:paraId="25080F09" w14:textId="77777777" w:rsidTr="00D52556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6DC6" w14:textId="1F7EA40E" w:rsidR="00C70529" w:rsidRPr="006B0F3A" w:rsidRDefault="00C70529" w:rsidP="00D52556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 xml:space="preserve">QALY results summary Vs SoC: </w:t>
            </w:r>
            <w:r w:rsidR="00DD486F"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it-IT" w:eastAsia="en-GB"/>
                <w14:ligatures w14:val="none"/>
              </w:rPr>
              <w:t>PCV10-SII 3+0</w:t>
            </w:r>
          </w:p>
        </w:tc>
      </w:tr>
      <w:tr w:rsidR="004A676D" w:rsidRPr="006B0F3A" w14:paraId="6386050A" w14:textId="77777777" w:rsidTr="004A676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9866" w14:textId="77777777" w:rsidR="004A676D" w:rsidRPr="006B0F3A" w:rsidRDefault="004A676D" w:rsidP="004A676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Base Values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4983" w14:textId="7A63271E" w:rsidR="004A676D" w:rsidRPr="006B0F3A" w:rsidRDefault="004A676D" w:rsidP="004A676D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156,355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F2DE" w14:textId="6EA550B5" w:rsidR="004A676D" w:rsidRPr="006B0F3A" w:rsidRDefault="004A676D" w:rsidP="004A676D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160,116</w:t>
            </w:r>
          </w:p>
        </w:tc>
      </w:tr>
      <w:tr w:rsidR="004A676D" w:rsidRPr="006B0F3A" w14:paraId="2364D4C7" w14:textId="77777777" w:rsidTr="004A676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3B08" w14:textId="77777777" w:rsidR="004A676D" w:rsidRPr="006B0F3A" w:rsidRDefault="004A676D" w:rsidP="004A676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Mean Values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790C" w14:textId="09433B71" w:rsidR="004A676D" w:rsidRPr="006B0F3A" w:rsidRDefault="004A676D" w:rsidP="004A676D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156,616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A4B7" w14:textId="487457C6" w:rsidR="004A676D" w:rsidRPr="006B0F3A" w:rsidRDefault="004A676D" w:rsidP="004A676D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160,671</w:t>
            </w:r>
          </w:p>
        </w:tc>
      </w:tr>
      <w:tr w:rsidR="00C70529" w:rsidRPr="006B0F3A" w14:paraId="3205E559" w14:textId="77777777" w:rsidTr="00D52556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9707" w14:textId="32E9D2AC" w:rsidR="00C70529" w:rsidRPr="006B0F3A" w:rsidRDefault="00C70529" w:rsidP="00D52556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 xml:space="preserve">Cost results summary Vs SoC: </w:t>
            </w:r>
            <w:r w:rsidR="00DD486F"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it-IT" w:eastAsia="en-GB"/>
                <w14:ligatures w14:val="none"/>
              </w:rPr>
              <w:t>PCV10-SII 3+0</w:t>
            </w:r>
          </w:p>
        </w:tc>
      </w:tr>
      <w:tr w:rsidR="004A676D" w:rsidRPr="006B0F3A" w14:paraId="45F5BF07" w14:textId="77777777" w:rsidTr="004A676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6046" w14:textId="77777777" w:rsidR="004A676D" w:rsidRPr="006B0F3A" w:rsidRDefault="004A676D" w:rsidP="004A676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Base Values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2835" w14:textId="1C2C8CF4" w:rsidR="004A676D" w:rsidRPr="006B0F3A" w:rsidRDefault="004A676D" w:rsidP="004A676D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-538,765,413,162 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5DBB" w14:textId="22A0C562" w:rsidR="004A676D" w:rsidRPr="006B0F3A" w:rsidRDefault="004A676D" w:rsidP="004A676D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-482,527,936,942 ₸</w:t>
            </w:r>
          </w:p>
        </w:tc>
      </w:tr>
      <w:tr w:rsidR="004A676D" w:rsidRPr="006B0F3A" w14:paraId="512A5EAE" w14:textId="77777777" w:rsidTr="004A676D">
        <w:trPr>
          <w:trHeight w:val="3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3F30" w14:textId="77777777" w:rsidR="004A676D" w:rsidRPr="006B0F3A" w:rsidRDefault="004A676D" w:rsidP="004A676D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en-GB"/>
                <w14:ligatures w14:val="none"/>
              </w:rPr>
              <w:t>Mean Values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17DC" w14:textId="742827E8" w:rsidR="004A676D" w:rsidRPr="006B0F3A" w:rsidRDefault="004A676D" w:rsidP="004A676D">
            <w:pPr>
              <w:jc w:val="center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-542,166,843,642 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43D6" w14:textId="659F040D" w:rsidR="004A676D" w:rsidRPr="006B0F3A" w:rsidRDefault="004A676D" w:rsidP="004A676D">
            <w:pPr>
              <w:jc w:val="center"/>
              <w:textAlignment w:val="bottom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6B0F3A">
              <w:rPr>
                <w:rFonts w:ascii="Times New Roman" w:hAnsi="Times New Roman" w:cs="Times New Roman"/>
              </w:rPr>
              <w:t>-486,266,871,028 ₸</w:t>
            </w:r>
          </w:p>
        </w:tc>
      </w:tr>
    </w:tbl>
    <w:p w14:paraId="2FA2D568" w14:textId="77777777" w:rsidR="002C4BDC" w:rsidRPr="006B0F3A" w:rsidRDefault="002C4BDC" w:rsidP="00B1409D">
      <w:pPr>
        <w:tabs>
          <w:tab w:val="left" w:pos="2461"/>
        </w:tabs>
        <w:rPr>
          <w:rFonts w:ascii="Times New Roman" w:hAnsi="Times New Roman" w:cs="Times New Roman"/>
        </w:rPr>
      </w:pPr>
    </w:p>
    <w:p w14:paraId="3186C98E" w14:textId="77777777" w:rsidR="002C4BDC" w:rsidRPr="006B0F3A" w:rsidRDefault="002C4BDC" w:rsidP="00B1409D">
      <w:pPr>
        <w:tabs>
          <w:tab w:val="left" w:pos="2461"/>
        </w:tabs>
        <w:rPr>
          <w:rFonts w:ascii="Times New Roman" w:hAnsi="Times New Roman" w:cs="Times New Roman"/>
        </w:rPr>
      </w:pPr>
    </w:p>
    <w:p w14:paraId="5F7D44FD" w14:textId="77777777" w:rsidR="002C4BDC" w:rsidRPr="006B0F3A" w:rsidRDefault="002C4BDC" w:rsidP="00B1409D">
      <w:pPr>
        <w:tabs>
          <w:tab w:val="left" w:pos="2461"/>
        </w:tabs>
        <w:rPr>
          <w:rFonts w:ascii="Times New Roman" w:hAnsi="Times New Roman" w:cs="Times New Roman"/>
        </w:rPr>
      </w:pPr>
    </w:p>
    <w:p w14:paraId="09161B9A" w14:textId="224D38CA" w:rsidR="00B1409D" w:rsidRPr="006B0F3A" w:rsidRDefault="00B1409D" w:rsidP="00B1409D">
      <w:pPr>
        <w:tabs>
          <w:tab w:val="left" w:pos="2461"/>
        </w:tabs>
        <w:rPr>
          <w:rFonts w:ascii="Times New Roman" w:hAnsi="Times New Roman" w:cs="Times New Roman"/>
        </w:rPr>
        <w:sectPr w:rsidR="00B1409D" w:rsidRPr="006B0F3A" w:rsidSect="0023084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B0F3A">
        <w:rPr>
          <w:rFonts w:ascii="Times New Roman" w:hAnsi="Times New Roman" w:cs="Times New Roman"/>
        </w:rPr>
        <w:tab/>
      </w:r>
    </w:p>
    <w:p w14:paraId="173D7C99" w14:textId="4BECD477" w:rsidR="00066B51" w:rsidRPr="006B0F3A" w:rsidRDefault="00066B51" w:rsidP="00066B51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6B0F3A">
        <w:rPr>
          <w:rFonts w:ascii="Times New Roman" w:hAnsi="Times New Roman" w:cs="Times New Roman"/>
          <w:sz w:val="22"/>
          <w:szCs w:val="22"/>
        </w:rPr>
        <w:lastRenderedPageBreak/>
        <w:t>References</w:t>
      </w:r>
    </w:p>
    <w:p w14:paraId="2CE1AF02" w14:textId="77777777" w:rsidR="00066B51" w:rsidRPr="006B0F3A" w:rsidRDefault="00066B51" w:rsidP="00066B51">
      <w:pPr>
        <w:rPr>
          <w:rFonts w:ascii="Times New Roman" w:hAnsi="Times New Roman" w:cs="Times New Roman"/>
        </w:rPr>
      </w:pPr>
    </w:p>
    <w:p w14:paraId="0FCC9523" w14:textId="4EA64C22" w:rsidR="00A93BC9" w:rsidRPr="006B0F3A" w:rsidRDefault="00A93BC9" w:rsidP="00A93BC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>Bureau of National statistics. Agency for Strategic planning and reforms of the Republic of Kazakhstan. (Date of change: 06.10.2025)</w:t>
      </w:r>
    </w:p>
    <w:p w14:paraId="1D453203" w14:textId="2C4936EB" w:rsidR="007A02B0" w:rsidRPr="006B0F3A" w:rsidRDefault="007A02B0" w:rsidP="007A02B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>United Nations, Department of Economic and Social Affairs, Population Division (2024)-Kazakhstan. </w:t>
      </w:r>
      <w:r w:rsidRPr="006B0F3A">
        <w:rPr>
          <w:rFonts w:ascii="Times New Roman" w:hAnsi="Times New Roman" w:cs="Times New Roman"/>
          <w:i/>
          <w:iCs/>
          <w:kern w:val="0"/>
        </w:rPr>
        <w:t>World Population Prospects 2024, Online Edition</w:t>
      </w:r>
      <w:r w:rsidRPr="006B0F3A">
        <w:rPr>
          <w:rFonts w:ascii="Times New Roman" w:hAnsi="Times New Roman" w:cs="Times New Roman"/>
          <w:kern w:val="0"/>
        </w:rPr>
        <w:t>.</w:t>
      </w:r>
    </w:p>
    <w:p w14:paraId="2686AB68" w14:textId="5B369BD4" w:rsidR="00066B51" w:rsidRPr="006B0F3A" w:rsidRDefault="00066B51" w:rsidP="00066B5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National Reference Centre.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Analýza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epidemiologickej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situácie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a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činnosti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odborov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epidemiológie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v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Slovenskej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republike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za </w:t>
      </w:r>
      <w:proofErr w:type="spellStart"/>
      <w:r w:rsidRPr="006B0F3A">
        <w:rPr>
          <w:rFonts w:ascii="Times New Roman" w:hAnsi="Times New Roman" w:cs="Times New Roman"/>
          <w:i/>
          <w:iCs/>
          <w:kern w:val="0"/>
        </w:rPr>
        <w:t>rok</w:t>
      </w:r>
      <w:proofErr w:type="spellEnd"/>
      <w:r w:rsidRPr="006B0F3A">
        <w:rPr>
          <w:rFonts w:ascii="Times New Roman" w:hAnsi="Times New Roman" w:cs="Times New Roman"/>
          <w:i/>
          <w:iCs/>
          <w:kern w:val="0"/>
        </w:rPr>
        <w:t xml:space="preserve"> 2019</w:t>
      </w:r>
      <w:r w:rsidRPr="006B0F3A">
        <w:rPr>
          <w:rFonts w:ascii="Times New Roman" w:hAnsi="Times New Roman" w:cs="Times New Roman"/>
          <w:kern w:val="0"/>
        </w:rPr>
        <w:t xml:space="preserve">. </w:t>
      </w:r>
      <w:proofErr w:type="gramStart"/>
      <w:r w:rsidRPr="006B0F3A">
        <w:rPr>
          <w:rFonts w:ascii="Times New Roman" w:hAnsi="Times New Roman" w:cs="Times New Roman"/>
          <w:kern w:val="0"/>
        </w:rPr>
        <w:t>2019  30</w:t>
      </w:r>
      <w:proofErr w:type="gramEnd"/>
      <w:r w:rsidRPr="006B0F3A">
        <w:rPr>
          <w:rFonts w:ascii="Times New Roman" w:hAnsi="Times New Roman" w:cs="Times New Roman"/>
          <w:kern w:val="0"/>
        </w:rPr>
        <w:t xml:space="preserve"> June 2023]; Available from: </w:t>
      </w:r>
      <w:hyperlink r:id="rId20" w:history="1">
        <w:r w:rsidR="00F85B96" w:rsidRPr="006B0F3A">
          <w:rPr>
            <w:rStyle w:val="Hyperlink"/>
            <w:rFonts w:ascii="Times New Roman" w:hAnsi="Times New Roman" w:cs="Times New Roman"/>
            <w:kern w:val="0"/>
          </w:rPr>
          <w:t>https://www.uvzsr.sk/documents/d/ruvzbb/vs_2019_nrc_pneumokoky</w:t>
        </w:r>
      </w:hyperlink>
      <w:r w:rsidRPr="006B0F3A">
        <w:rPr>
          <w:rFonts w:ascii="Times New Roman" w:hAnsi="Times New Roman" w:cs="Times New Roman"/>
          <w:kern w:val="0"/>
        </w:rPr>
        <w:t>.</w:t>
      </w:r>
    </w:p>
    <w:p w14:paraId="31EB6545" w14:textId="77777777" w:rsidR="00F85B96" w:rsidRPr="006B0F3A" w:rsidRDefault="00F85B96" w:rsidP="00F85B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6B0F3A">
        <w:rPr>
          <w:rFonts w:ascii="Times New Roman" w:hAnsi="Times New Roman" w:cs="Times New Roman"/>
          <w:kern w:val="0"/>
        </w:rPr>
        <w:t>Melegaro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, A. and W.J. Edmunds, </w:t>
      </w:r>
      <w:r w:rsidRPr="006B0F3A">
        <w:rPr>
          <w:rFonts w:ascii="Times New Roman" w:hAnsi="Times New Roman" w:cs="Times New Roman"/>
          <w:i/>
          <w:iCs/>
          <w:kern w:val="0"/>
        </w:rPr>
        <w:t>Cost-effectiveness analysis of pneumococcal conjugate vaccination in England and Wales.</w:t>
      </w:r>
      <w:r w:rsidRPr="006B0F3A">
        <w:rPr>
          <w:rFonts w:ascii="Times New Roman" w:hAnsi="Times New Roman" w:cs="Times New Roman"/>
          <w:kern w:val="0"/>
        </w:rPr>
        <w:t xml:space="preserve"> Vaccine, 2004. </w:t>
      </w:r>
      <w:r w:rsidRPr="006B0F3A">
        <w:rPr>
          <w:rFonts w:ascii="Times New Roman" w:hAnsi="Times New Roman" w:cs="Times New Roman"/>
          <w:b/>
          <w:bCs/>
          <w:kern w:val="0"/>
        </w:rPr>
        <w:t>22</w:t>
      </w:r>
      <w:r w:rsidRPr="006B0F3A">
        <w:rPr>
          <w:rFonts w:ascii="Times New Roman" w:hAnsi="Times New Roman" w:cs="Times New Roman"/>
          <w:kern w:val="0"/>
        </w:rPr>
        <w:t>(31-32): p. 4203-14.</w:t>
      </w:r>
    </w:p>
    <w:p w14:paraId="2E98C85B" w14:textId="77777777" w:rsidR="00F85B96" w:rsidRPr="006B0F3A" w:rsidRDefault="00F85B96" w:rsidP="00F85B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Rozenbaum, M.H., et al., </w:t>
      </w:r>
      <w:r w:rsidRPr="006B0F3A">
        <w:rPr>
          <w:rFonts w:ascii="Times New Roman" w:hAnsi="Times New Roman" w:cs="Times New Roman"/>
          <w:i/>
          <w:iCs/>
          <w:kern w:val="0"/>
        </w:rPr>
        <w:t>Cost effectiveness of pneumococcal vaccination among Dutch infants: an economic analysis of the seven valent pneumococcal conjugated vaccine and forecast for the 10 valent and 13 valent vaccines.</w:t>
      </w:r>
      <w:r w:rsidRPr="006B0F3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kern w:val="0"/>
        </w:rPr>
        <w:t>Bmj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-British Medical Journal, 2010. </w:t>
      </w:r>
      <w:r w:rsidRPr="006B0F3A">
        <w:rPr>
          <w:rFonts w:ascii="Times New Roman" w:hAnsi="Times New Roman" w:cs="Times New Roman"/>
          <w:b/>
          <w:bCs/>
          <w:kern w:val="0"/>
        </w:rPr>
        <w:t>340</w:t>
      </w:r>
      <w:r w:rsidRPr="006B0F3A">
        <w:rPr>
          <w:rFonts w:ascii="Times New Roman" w:hAnsi="Times New Roman" w:cs="Times New Roman"/>
          <w:kern w:val="0"/>
        </w:rPr>
        <w:t>.</w:t>
      </w:r>
    </w:p>
    <w:p w14:paraId="364B1F0E" w14:textId="77777777" w:rsidR="00F85B96" w:rsidRPr="006B0F3A" w:rsidRDefault="00F85B96" w:rsidP="00F85B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Stoecker, C., et al., </w:t>
      </w:r>
      <w:r w:rsidRPr="006B0F3A">
        <w:rPr>
          <w:rFonts w:ascii="Times New Roman" w:hAnsi="Times New Roman" w:cs="Times New Roman"/>
          <w:i/>
          <w:iCs/>
          <w:kern w:val="0"/>
        </w:rPr>
        <w:t>Cost-effectiveness of using 2 vs 3 primary doses of 13-valent pneumococcal conjugate vaccine.</w:t>
      </w:r>
      <w:r w:rsidRPr="006B0F3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kern w:val="0"/>
        </w:rPr>
        <w:t>Pediatrics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, 2013. </w:t>
      </w:r>
      <w:r w:rsidRPr="006B0F3A">
        <w:rPr>
          <w:rFonts w:ascii="Times New Roman" w:hAnsi="Times New Roman" w:cs="Times New Roman"/>
          <w:b/>
          <w:bCs/>
          <w:kern w:val="0"/>
        </w:rPr>
        <w:t>132</w:t>
      </w:r>
      <w:r w:rsidRPr="006B0F3A">
        <w:rPr>
          <w:rFonts w:ascii="Times New Roman" w:hAnsi="Times New Roman" w:cs="Times New Roman"/>
          <w:kern w:val="0"/>
        </w:rPr>
        <w:t>(2): p. e324-32.</w:t>
      </w:r>
    </w:p>
    <w:p w14:paraId="7AF32750" w14:textId="77777777" w:rsidR="00F85B96" w:rsidRPr="006B0F3A" w:rsidRDefault="00F85B96" w:rsidP="00F85B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Mangen, M.J., et al., </w:t>
      </w:r>
      <w:r w:rsidRPr="006B0F3A">
        <w:rPr>
          <w:rFonts w:ascii="Times New Roman" w:hAnsi="Times New Roman" w:cs="Times New Roman"/>
          <w:i/>
          <w:iCs/>
          <w:kern w:val="0"/>
        </w:rPr>
        <w:t>The impact of community-acquired pneumonia on the health-related quality-of-life in elderly.</w:t>
      </w:r>
      <w:r w:rsidRPr="006B0F3A">
        <w:rPr>
          <w:rFonts w:ascii="Times New Roman" w:hAnsi="Times New Roman" w:cs="Times New Roman"/>
          <w:kern w:val="0"/>
        </w:rPr>
        <w:t xml:space="preserve"> BMC Infect Dis, 2017. </w:t>
      </w:r>
      <w:r w:rsidRPr="006B0F3A">
        <w:rPr>
          <w:rFonts w:ascii="Times New Roman" w:hAnsi="Times New Roman" w:cs="Times New Roman"/>
          <w:b/>
          <w:bCs/>
          <w:kern w:val="0"/>
        </w:rPr>
        <w:t>17</w:t>
      </w:r>
      <w:r w:rsidRPr="006B0F3A">
        <w:rPr>
          <w:rFonts w:ascii="Times New Roman" w:hAnsi="Times New Roman" w:cs="Times New Roman"/>
          <w:kern w:val="0"/>
        </w:rPr>
        <w:t>(1): p. 208.</w:t>
      </w:r>
    </w:p>
    <w:p w14:paraId="5D380FFD" w14:textId="77777777" w:rsidR="00F85B96" w:rsidRPr="006B0F3A" w:rsidRDefault="00F85B96" w:rsidP="00F85B9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Mangen, M.J., et al., </w:t>
      </w:r>
      <w:r w:rsidRPr="006B0F3A">
        <w:rPr>
          <w:rFonts w:ascii="Times New Roman" w:hAnsi="Times New Roman" w:cs="Times New Roman"/>
          <w:i/>
          <w:iCs/>
          <w:kern w:val="0"/>
        </w:rPr>
        <w:t>Cost-effectiveness of adult pneumococcal conjugate vaccination in the Netherlands.</w:t>
      </w:r>
      <w:r w:rsidRPr="006B0F3A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6B0F3A">
        <w:rPr>
          <w:rFonts w:ascii="Times New Roman" w:hAnsi="Times New Roman" w:cs="Times New Roman"/>
          <w:kern w:val="0"/>
        </w:rPr>
        <w:t>Eur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 Respir J, 2015. </w:t>
      </w:r>
      <w:r w:rsidRPr="006B0F3A">
        <w:rPr>
          <w:rFonts w:ascii="Times New Roman" w:hAnsi="Times New Roman" w:cs="Times New Roman"/>
          <w:b/>
          <w:bCs/>
          <w:kern w:val="0"/>
        </w:rPr>
        <w:t>46</w:t>
      </w:r>
      <w:r w:rsidRPr="006B0F3A">
        <w:rPr>
          <w:rFonts w:ascii="Times New Roman" w:hAnsi="Times New Roman" w:cs="Times New Roman"/>
          <w:kern w:val="0"/>
        </w:rPr>
        <w:t>(5): p. 1407-16.</w:t>
      </w:r>
    </w:p>
    <w:p w14:paraId="5B8F7CC6" w14:textId="77777777" w:rsidR="005B42BF" w:rsidRPr="006B0F3A" w:rsidRDefault="005B42BF" w:rsidP="005B42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6B0F3A">
        <w:rPr>
          <w:rFonts w:ascii="Times New Roman" w:hAnsi="Times New Roman" w:cs="Times New Roman"/>
          <w:kern w:val="0"/>
        </w:rPr>
        <w:t>Zrubka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, Z., et al., </w:t>
      </w:r>
      <w:r w:rsidRPr="006B0F3A">
        <w:rPr>
          <w:rFonts w:ascii="Times New Roman" w:hAnsi="Times New Roman" w:cs="Times New Roman"/>
          <w:i/>
          <w:iCs/>
          <w:kern w:val="0"/>
        </w:rPr>
        <w:t>Towards a Central-Eastern European EQ-5D-3L population norm: comparing data from Hungarian, Polish and Slovenian population studies.</w:t>
      </w:r>
      <w:r w:rsidRPr="006B0F3A">
        <w:rPr>
          <w:rFonts w:ascii="Times New Roman" w:hAnsi="Times New Roman" w:cs="Times New Roman"/>
          <w:kern w:val="0"/>
        </w:rPr>
        <w:t xml:space="preserve"> The European Journal of Health Economics, 2019. </w:t>
      </w:r>
      <w:r w:rsidRPr="006B0F3A">
        <w:rPr>
          <w:rFonts w:ascii="Times New Roman" w:hAnsi="Times New Roman" w:cs="Times New Roman"/>
          <w:b/>
          <w:bCs/>
          <w:kern w:val="0"/>
        </w:rPr>
        <w:t>20</w:t>
      </w:r>
      <w:r w:rsidRPr="006B0F3A">
        <w:rPr>
          <w:rFonts w:ascii="Times New Roman" w:hAnsi="Times New Roman" w:cs="Times New Roman"/>
          <w:kern w:val="0"/>
        </w:rPr>
        <w:t>: p. 141-154.</w:t>
      </w:r>
    </w:p>
    <w:p w14:paraId="369BD1CB" w14:textId="25A7EB91" w:rsidR="00CC6780" w:rsidRPr="006B0F3A" w:rsidRDefault="00CC6780" w:rsidP="00B140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>Data provided to Pfizer</w:t>
      </w:r>
      <w:r w:rsidR="00EB5997" w:rsidRPr="006B0F3A">
        <w:rPr>
          <w:rFonts w:ascii="Times New Roman" w:hAnsi="Times New Roman" w:cs="Times New Roman"/>
          <w:kern w:val="0"/>
        </w:rPr>
        <w:t>.</w:t>
      </w:r>
    </w:p>
    <w:p w14:paraId="7566B2FC" w14:textId="11E7CB01" w:rsidR="00EB5997" w:rsidRPr="006B0F3A" w:rsidRDefault="0041490F" w:rsidP="00B140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Savulescu, C., et al., Effectiveness of 10 and 13-valent pneumococcal conjugate vaccines against invasive pneumococcal disease in European children: </w:t>
      </w:r>
      <w:proofErr w:type="spellStart"/>
      <w:r w:rsidRPr="006B0F3A">
        <w:rPr>
          <w:rFonts w:ascii="Times New Roman" w:hAnsi="Times New Roman" w:cs="Times New Roman"/>
          <w:kern w:val="0"/>
        </w:rPr>
        <w:t>SpIDnet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 observational multicentre study. Vaccine, 2022. 40(29): p. 3963-3974.</w:t>
      </w:r>
    </w:p>
    <w:p w14:paraId="7D6F5051" w14:textId="3158881E" w:rsidR="0041490F" w:rsidRPr="006B0F3A" w:rsidRDefault="00F62CDA" w:rsidP="00B140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Hansen, J., et al., Effectiveness of heptavalent pneumococcal conjugate vaccine in children younger than 5 years of age for prevention of pneumonia: updated analysis using World Health Organization standardized interpretation of chest radiographs. </w:t>
      </w:r>
      <w:proofErr w:type="spellStart"/>
      <w:r w:rsidRPr="006B0F3A">
        <w:rPr>
          <w:rFonts w:ascii="Times New Roman" w:hAnsi="Times New Roman" w:cs="Times New Roman"/>
          <w:kern w:val="0"/>
        </w:rPr>
        <w:t>Pediatr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 Infect Dis J, 2006. 25(9): p. 779-81.</w:t>
      </w:r>
    </w:p>
    <w:p w14:paraId="5F35EB85" w14:textId="54577B2B" w:rsidR="00F62CDA" w:rsidRPr="006B0F3A" w:rsidRDefault="001004F4" w:rsidP="00B140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Black, S.B., et al., Effectiveness of heptavalent pneumococcal conjugate vaccine in children younger than five years of age for prevention of pneumonia. </w:t>
      </w:r>
      <w:proofErr w:type="spellStart"/>
      <w:r w:rsidRPr="006B0F3A">
        <w:rPr>
          <w:rFonts w:ascii="Times New Roman" w:hAnsi="Times New Roman" w:cs="Times New Roman"/>
          <w:kern w:val="0"/>
        </w:rPr>
        <w:t>Pediatr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 Infect Dis J, 2002. 21(9): p. 810-5.</w:t>
      </w:r>
    </w:p>
    <w:p w14:paraId="63428135" w14:textId="0DE0E3CC" w:rsidR="001004F4" w:rsidRPr="006B0F3A" w:rsidRDefault="000540B6" w:rsidP="00B140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Black, S., et al., Efficacy, safety and immunogenicity of heptavalent pneumococcal conjugate vaccine in children. Northern California Kaiser Permanente Vaccine Study </w:t>
      </w:r>
      <w:proofErr w:type="spellStart"/>
      <w:r w:rsidRPr="006B0F3A">
        <w:rPr>
          <w:rFonts w:ascii="Times New Roman" w:hAnsi="Times New Roman" w:cs="Times New Roman"/>
          <w:kern w:val="0"/>
        </w:rPr>
        <w:t>Center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 Group. </w:t>
      </w:r>
      <w:proofErr w:type="spellStart"/>
      <w:r w:rsidRPr="006B0F3A">
        <w:rPr>
          <w:rFonts w:ascii="Times New Roman" w:hAnsi="Times New Roman" w:cs="Times New Roman"/>
          <w:kern w:val="0"/>
        </w:rPr>
        <w:t>Pediatr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 Infect Dis J, 2000. 19(3): p. 187-95.</w:t>
      </w:r>
    </w:p>
    <w:p w14:paraId="2E9C0B2D" w14:textId="4C4C6E1A" w:rsidR="000540B6" w:rsidRPr="006B0F3A" w:rsidRDefault="00CD1B00" w:rsidP="00B1409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>Ladhani, S.N., et al., Rapid increase in non-vaccine serotypes causing invasive pneumococcal disease in England and Wales, 2000–17: a prospective national observational cohort study. The Lancet Infectious Diseases, 2018. 18(4): p. 441-451.</w:t>
      </w:r>
    </w:p>
    <w:p w14:paraId="28A18384" w14:textId="7B865FE6" w:rsidR="00F310B3" w:rsidRPr="006B0F3A" w:rsidRDefault="00F310B3" w:rsidP="00F310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>Levy, C., et al., Impact of PCV13 on community-acquired pneumonia by C-reactive protein and procalcitonin levels in children. Vaccine, 2017. 35(37): p. 5058-5064.</w:t>
      </w:r>
    </w:p>
    <w:p w14:paraId="554391BB" w14:textId="3D5944EF" w:rsidR="00CD1B00" w:rsidRPr="006B0F3A" w:rsidRDefault="00F310B3" w:rsidP="00F310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 xml:space="preserve">Rodrigo, C., et al., Impact of infant 13-valent pneumococcal conjugate vaccine on serotypes in adult pneumonia. </w:t>
      </w:r>
      <w:proofErr w:type="spellStart"/>
      <w:r w:rsidRPr="006B0F3A">
        <w:rPr>
          <w:rFonts w:ascii="Times New Roman" w:hAnsi="Times New Roman" w:cs="Times New Roman"/>
          <w:kern w:val="0"/>
        </w:rPr>
        <w:t>Eur</w:t>
      </w:r>
      <w:proofErr w:type="spellEnd"/>
      <w:r w:rsidRPr="006B0F3A">
        <w:rPr>
          <w:rFonts w:ascii="Times New Roman" w:hAnsi="Times New Roman" w:cs="Times New Roman"/>
          <w:kern w:val="0"/>
        </w:rPr>
        <w:t xml:space="preserve"> Respir J, 2015. 45(6): p. 1632-41.</w:t>
      </w:r>
    </w:p>
    <w:p w14:paraId="027D1B64" w14:textId="5036DF34" w:rsidR="00F310B3" w:rsidRPr="006B0F3A" w:rsidRDefault="008D259E" w:rsidP="00F310B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6B0F3A">
        <w:rPr>
          <w:rFonts w:ascii="Times New Roman" w:hAnsi="Times New Roman" w:cs="Times New Roman"/>
          <w:kern w:val="0"/>
        </w:rPr>
        <w:t>Lau, W.C., et al., Impact of pneumococcal conjugate vaccines on childhood otitis media in the United Kingdom. Vaccine, 2015. 33(39): p. 5072-9.</w:t>
      </w:r>
    </w:p>
    <w:p w14:paraId="2492D68A" w14:textId="77777777" w:rsidR="00F85B96" w:rsidRPr="006B0F3A" w:rsidRDefault="00F85B96" w:rsidP="005B42B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kern w:val="0"/>
        </w:rPr>
      </w:pPr>
    </w:p>
    <w:p w14:paraId="7AB2DA9E" w14:textId="0AA7B306" w:rsidR="0030791E" w:rsidRPr="006B0F3A" w:rsidRDefault="0030791E">
      <w:pPr>
        <w:rPr>
          <w:rFonts w:ascii="Times New Roman" w:hAnsi="Times New Roman" w:cs="Times New Roman"/>
        </w:rPr>
      </w:pPr>
    </w:p>
    <w:sectPr w:rsidR="0030791E" w:rsidRPr="006B0F3A" w:rsidSect="00066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ssar, Thea" w:date="2025-10-09T17:18:00Z" w:initials="TN">
    <w:p w14:paraId="54FE312C" w14:textId="77777777" w:rsidR="00943717" w:rsidRDefault="00943717" w:rsidP="00A05C60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 xml:space="preserve">Ladhani, S.N., et al., </w:t>
      </w:r>
      <w:r>
        <w:rPr>
          <w:i/>
          <w:iCs/>
          <w:color w:val="000000"/>
        </w:rPr>
        <w:t>Rapid increase in non-vaccine serotypes causing invasive pneumococcal disease in England and Wales, 2000–17: a prospective national observational cohort study.</w:t>
      </w:r>
      <w:r>
        <w:rPr>
          <w:color w:val="000000"/>
        </w:rPr>
        <w:t xml:space="preserve"> The Lancet Infectious Diseases, 2018. </w:t>
      </w:r>
      <w:r>
        <w:rPr>
          <w:b/>
          <w:bCs/>
          <w:color w:val="000000"/>
        </w:rPr>
        <w:t>18</w:t>
      </w:r>
      <w:r>
        <w:rPr>
          <w:color w:val="000000"/>
        </w:rPr>
        <w:t>(4): p. 441-451.</w:t>
      </w:r>
    </w:p>
  </w:comment>
  <w:comment w:id="1" w:author="Nassar, Thea" w:date="2025-10-09T17:46:00Z" w:initials="TN">
    <w:p w14:paraId="36B13E13" w14:textId="77777777" w:rsidR="00C62878" w:rsidRDefault="00C62878" w:rsidP="00A05C60">
      <w:pPr>
        <w:pStyle w:val="CommentText"/>
        <w:numPr>
          <w:ilvl w:val="0"/>
          <w:numId w:val="5"/>
        </w:numPr>
      </w:pPr>
      <w:r>
        <w:rPr>
          <w:rStyle w:val="CommentReference"/>
        </w:rPr>
        <w:annotationRef/>
      </w:r>
      <w:r>
        <w:rPr>
          <w:color w:val="000000"/>
        </w:rPr>
        <w:t xml:space="preserve">Levy, C., et al., </w:t>
      </w:r>
      <w:r>
        <w:rPr>
          <w:i/>
          <w:iCs/>
          <w:color w:val="000000"/>
        </w:rPr>
        <w:t>Impact of PCV13 on community-acquired pneumonia by C-reactive protein and procalcitonin levels in children.</w:t>
      </w:r>
      <w:r>
        <w:rPr>
          <w:color w:val="000000"/>
        </w:rPr>
        <w:t xml:space="preserve"> Vaccine, 2017. </w:t>
      </w:r>
      <w:r>
        <w:rPr>
          <w:b/>
          <w:bCs/>
          <w:color w:val="000000"/>
        </w:rPr>
        <w:t>35</w:t>
      </w:r>
      <w:r>
        <w:rPr>
          <w:color w:val="000000"/>
        </w:rPr>
        <w:t>(37): p. 5058-5064.</w:t>
      </w:r>
    </w:p>
    <w:p w14:paraId="48A7379E" w14:textId="77777777" w:rsidR="00C62878" w:rsidRDefault="00C62878" w:rsidP="00A05C60">
      <w:pPr>
        <w:pStyle w:val="CommentText"/>
        <w:numPr>
          <w:ilvl w:val="0"/>
          <w:numId w:val="5"/>
        </w:numPr>
      </w:pPr>
      <w:r>
        <w:rPr>
          <w:color w:val="000000"/>
        </w:rPr>
        <w:t xml:space="preserve">Rodrigo, C., et al., </w:t>
      </w:r>
      <w:r>
        <w:rPr>
          <w:i/>
          <w:iCs/>
          <w:color w:val="000000"/>
        </w:rPr>
        <w:t>Impact of infant 13-valent pneumococcal conjugate vaccine on serotypes in adult pneumonia.</w:t>
      </w:r>
      <w:r>
        <w:rPr>
          <w:color w:val="000000"/>
        </w:rPr>
        <w:t xml:space="preserve"> Eur Respir J, 2015. </w:t>
      </w:r>
      <w:r>
        <w:rPr>
          <w:b/>
          <w:bCs/>
          <w:color w:val="000000"/>
        </w:rPr>
        <w:t>45</w:t>
      </w:r>
      <w:r>
        <w:rPr>
          <w:color w:val="000000"/>
        </w:rPr>
        <w:t>(6): p. 1632-41.</w:t>
      </w:r>
    </w:p>
  </w:comment>
  <w:comment w:id="2" w:author="Nassar, Thea" w:date="2025-10-09T17:46:00Z" w:initials="TN">
    <w:p w14:paraId="520D84A2" w14:textId="77777777" w:rsidR="00A05C60" w:rsidRDefault="00A05C60" w:rsidP="00A05C60">
      <w:pPr>
        <w:pStyle w:val="CommentText"/>
        <w:numPr>
          <w:ilvl w:val="0"/>
          <w:numId w:val="5"/>
        </w:numPr>
      </w:pPr>
      <w:r>
        <w:rPr>
          <w:rStyle w:val="CommentReference"/>
        </w:rPr>
        <w:annotationRef/>
      </w:r>
      <w:r>
        <w:rPr>
          <w:color w:val="000000"/>
        </w:rPr>
        <w:t xml:space="preserve">Levy, C., et al., </w:t>
      </w:r>
      <w:r>
        <w:rPr>
          <w:i/>
          <w:iCs/>
          <w:color w:val="000000"/>
        </w:rPr>
        <w:t>Impact of PCV13 on community-acquired pneumonia by C-reactive protein and procalcitonin levels in children.</w:t>
      </w:r>
      <w:r>
        <w:rPr>
          <w:color w:val="000000"/>
        </w:rPr>
        <w:t xml:space="preserve"> Vaccine, 2017. </w:t>
      </w:r>
      <w:r>
        <w:rPr>
          <w:b/>
          <w:bCs/>
          <w:color w:val="000000"/>
        </w:rPr>
        <w:t>35</w:t>
      </w:r>
      <w:r>
        <w:rPr>
          <w:color w:val="000000"/>
        </w:rPr>
        <w:t>(37): p. 5058-5064.</w:t>
      </w:r>
    </w:p>
    <w:p w14:paraId="6BA62BB1" w14:textId="77777777" w:rsidR="00A05C60" w:rsidRDefault="00A05C60" w:rsidP="00A05C60">
      <w:pPr>
        <w:pStyle w:val="CommentText"/>
        <w:numPr>
          <w:ilvl w:val="0"/>
          <w:numId w:val="5"/>
        </w:numPr>
      </w:pPr>
      <w:r>
        <w:rPr>
          <w:color w:val="000000"/>
        </w:rPr>
        <w:t xml:space="preserve">Rodrigo, C., et al., </w:t>
      </w:r>
      <w:r>
        <w:rPr>
          <w:i/>
          <w:iCs/>
          <w:color w:val="000000"/>
        </w:rPr>
        <w:t>Impact of infant 13-valent pneumococcal conjugate vaccine on serotypes in adult pneumonia.</w:t>
      </w:r>
      <w:r>
        <w:rPr>
          <w:color w:val="000000"/>
        </w:rPr>
        <w:t xml:space="preserve"> Eur Respir J, 2015. </w:t>
      </w:r>
      <w:r>
        <w:rPr>
          <w:b/>
          <w:bCs/>
          <w:color w:val="000000"/>
        </w:rPr>
        <w:t>45</w:t>
      </w:r>
      <w:r>
        <w:rPr>
          <w:color w:val="000000"/>
        </w:rPr>
        <w:t>(6): p. 1632-41.</w:t>
      </w:r>
    </w:p>
  </w:comment>
  <w:comment w:id="3" w:author="Nassar, Thea" w:date="2025-10-09T17:47:00Z" w:initials="TN">
    <w:p w14:paraId="60E71445" w14:textId="77777777" w:rsidR="00A05C60" w:rsidRDefault="00A05C60" w:rsidP="00A05C60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 xml:space="preserve">Lau, W.C., et al., </w:t>
      </w:r>
      <w:r>
        <w:rPr>
          <w:i/>
          <w:iCs/>
          <w:color w:val="000000"/>
        </w:rPr>
        <w:t>Impact of pneumococcal conjugate vaccines on childhood otitis media in the United Kingdom.</w:t>
      </w:r>
      <w:r>
        <w:rPr>
          <w:color w:val="000000"/>
        </w:rPr>
        <w:t xml:space="preserve"> Vaccine, 2015. </w:t>
      </w:r>
      <w:r>
        <w:rPr>
          <w:b/>
          <w:bCs/>
          <w:color w:val="000000"/>
        </w:rPr>
        <w:t>33</w:t>
      </w:r>
      <w:r>
        <w:rPr>
          <w:color w:val="000000"/>
        </w:rPr>
        <w:t>(39): p. 5072-9.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FE312C" w15:done="0"/>
  <w15:commentEx w15:paraId="48A7379E" w15:done="0"/>
  <w15:commentEx w15:paraId="6BA62BB1" w15:done="0"/>
  <w15:commentEx w15:paraId="60E714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9C2771" w16cex:dateUtc="2025-10-09T16:18:00Z"/>
  <w16cex:commentExtensible w16cex:durableId="2F9503E8" w16cex:dateUtc="2025-10-09T16:46:00Z"/>
  <w16cex:commentExtensible w16cex:durableId="318A241D" w16cex:dateUtc="2025-10-09T16:46:00Z"/>
  <w16cex:commentExtensible w16cex:durableId="3B770E3F" w16cex:dateUtc="2025-10-09T16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FE312C" w16cid:durableId="549C2771"/>
  <w16cid:commentId w16cid:paraId="48A7379E" w16cid:durableId="2F9503E8"/>
  <w16cid:commentId w16cid:paraId="6BA62BB1" w16cid:durableId="318A241D"/>
  <w16cid:commentId w16cid:paraId="60E71445" w16cid:durableId="3B770E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5023" w14:textId="77777777" w:rsidR="00A059F1" w:rsidRDefault="00A059F1" w:rsidP="00420282">
      <w:pPr>
        <w:spacing w:after="0" w:line="240" w:lineRule="auto"/>
      </w:pPr>
      <w:r>
        <w:separator/>
      </w:r>
    </w:p>
  </w:endnote>
  <w:endnote w:type="continuationSeparator" w:id="0">
    <w:p w14:paraId="33746D5C" w14:textId="77777777" w:rsidR="00A059F1" w:rsidRDefault="00A059F1" w:rsidP="00420282">
      <w:pPr>
        <w:spacing w:after="0" w:line="240" w:lineRule="auto"/>
      </w:pPr>
      <w:r>
        <w:continuationSeparator/>
      </w:r>
    </w:p>
  </w:endnote>
  <w:endnote w:type="continuationNotice" w:id="1">
    <w:p w14:paraId="13A8213C" w14:textId="77777777" w:rsidR="00A059F1" w:rsidRDefault="00A059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031A" w14:textId="77777777" w:rsidR="00A059F1" w:rsidRDefault="00A059F1" w:rsidP="00420282">
      <w:pPr>
        <w:spacing w:after="0" w:line="240" w:lineRule="auto"/>
      </w:pPr>
      <w:r>
        <w:separator/>
      </w:r>
    </w:p>
  </w:footnote>
  <w:footnote w:type="continuationSeparator" w:id="0">
    <w:p w14:paraId="107092D1" w14:textId="77777777" w:rsidR="00A059F1" w:rsidRDefault="00A059F1" w:rsidP="00420282">
      <w:pPr>
        <w:spacing w:after="0" w:line="240" w:lineRule="auto"/>
      </w:pPr>
      <w:r>
        <w:continuationSeparator/>
      </w:r>
    </w:p>
  </w:footnote>
  <w:footnote w:type="continuationNotice" w:id="1">
    <w:p w14:paraId="77A555D3" w14:textId="77777777" w:rsidR="00A059F1" w:rsidRDefault="00A059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22C"/>
    <w:multiLevelType w:val="hybridMultilevel"/>
    <w:tmpl w:val="D4C631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4A70"/>
    <w:multiLevelType w:val="hybridMultilevel"/>
    <w:tmpl w:val="BBD455A4"/>
    <w:lvl w:ilvl="0" w:tplc="35AEC78E">
      <w:start w:val="1"/>
      <w:numFmt w:val="decimal"/>
      <w:lvlText w:val="[%1]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408B2"/>
    <w:multiLevelType w:val="hybridMultilevel"/>
    <w:tmpl w:val="AE742E48"/>
    <w:lvl w:ilvl="0" w:tplc="2B6C2C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A6ACA"/>
    <w:multiLevelType w:val="hybridMultilevel"/>
    <w:tmpl w:val="4E6E4892"/>
    <w:lvl w:ilvl="0" w:tplc="75B2A460">
      <w:start w:val="1"/>
      <w:numFmt w:val="decimal"/>
      <w:lvlText w:val="%1."/>
      <w:lvlJc w:val="left"/>
      <w:pPr>
        <w:ind w:left="720" w:hanging="360"/>
      </w:pPr>
    </w:lvl>
    <w:lvl w:ilvl="1" w:tplc="85E41BE6">
      <w:start w:val="1"/>
      <w:numFmt w:val="decimal"/>
      <w:lvlText w:val="%2."/>
      <w:lvlJc w:val="left"/>
      <w:pPr>
        <w:ind w:left="720" w:hanging="360"/>
      </w:pPr>
    </w:lvl>
    <w:lvl w:ilvl="2" w:tplc="CD4EA456">
      <w:start w:val="1"/>
      <w:numFmt w:val="decimal"/>
      <w:lvlText w:val="%3."/>
      <w:lvlJc w:val="left"/>
      <w:pPr>
        <w:ind w:left="720" w:hanging="360"/>
      </w:pPr>
    </w:lvl>
    <w:lvl w:ilvl="3" w:tplc="E5FA2D68">
      <w:start w:val="1"/>
      <w:numFmt w:val="decimal"/>
      <w:lvlText w:val="%4."/>
      <w:lvlJc w:val="left"/>
      <w:pPr>
        <w:ind w:left="720" w:hanging="360"/>
      </w:pPr>
    </w:lvl>
    <w:lvl w:ilvl="4" w:tplc="6E82DB88">
      <w:start w:val="1"/>
      <w:numFmt w:val="decimal"/>
      <w:lvlText w:val="%5."/>
      <w:lvlJc w:val="left"/>
      <w:pPr>
        <w:ind w:left="720" w:hanging="360"/>
      </w:pPr>
    </w:lvl>
    <w:lvl w:ilvl="5" w:tplc="7F648658">
      <w:start w:val="1"/>
      <w:numFmt w:val="decimal"/>
      <w:lvlText w:val="%6."/>
      <w:lvlJc w:val="left"/>
      <w:pPr>
        <w:ind w:left="720" w:hanging="360"/>
      </w:pPr>
    </w:lvl>
    <w:lvl w:ilvl="6" w:tplc="698807F8">
      <w:start w:val="1"/>
      <w:numFmt w:val="decimal"/>
      <w:lvlText w:val="%7."/>
      <w:lvlJc w:val="left"/>
      <w:pPr>
        <w:ind w:left="720" w:hanging="360"/>
      </w:pPr>
    </w:lvl>
    <w:lvl w:ilvl="7" w:tplc="1B561986">
      <w:start w:val="1"/>
      <w:numFmt w:val="decimal"/>
      <w:lvlText w:val="%8."/>
      <w:lvlJc w:val="left"/>
      <w:pPr>
        <w:ind w:left="720" w:hanging="360"/>
      </w:pPr>
    </w:lvl>
    <w:lvl w:ilvl="8" w:tplc="B034370C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679C233D"/>
    <w:multiLevelType w:val="hybridMultilevel"/>
    <w:tmpl w:val="0A4A07A6"/>
    <w:lvl w:ilvl="0" w:tplc="D7521BFC">
      <w:start w:val="1"/>
      <w:numFmt w:val="decimal"/>
      <w:lvlText w:val="%1."/>
      <w:lvlJc w:val="left"/>
      <w:pPr>
        <w:ind w:left="720" w:hanging="360"/>
      </w:pPr>
    </w:lvl>
    <w:lvl w:ilvl="1" w:tplc="EE3E639E">
      <w:start w:val="1"/>
      <w:numFmt w:val="decimal"/>
      <w:lvlText w:val="%2."/>
      <w:lvlJc w:val="left"/>
      <w:pPr>
        <w:ind w:left="720" w:hanging="360"/>
      </w:pPr>
    </w:lvl>
    <w:lvl w:ilvl="2" w:tplc="34609848">
      <w:start w:val="1"/>
      <w:numFmt w:val="decimal"/>
      <w:lvlText w:val="%3."/>
      <w:lvlJc w:val="left"/>
      <w:pPr>
        <w:ind w:left="720" w:hanging="360"/>
      </w:pPr>
    </w:lvl>
    <w:lvl w:ilvl="3" w:tplc="905C94BE">
      <w:start w:val="1"/>
      <w:numFmt w:val="decimal"/>
      <w:lvlText w:val="%4."/>
      <w:lvlJc w:val="left"/>
      <w:pPr>
        <w:ind w:left="720" w:hanging="360"/>
      </w:pPr>
    </w:lvl>
    <w:lvl w:ilvl="4" w:tplc="AD287642">
      <w:start w:val="1"/>
      <w:numFmt w:val="decimal"/>
      <w:lvlText w:val="%5."/>
      <w:lvlJc w:val="left"/>
      <w:pPr>
        <w:ind w:left="720" w:hanging="360"/>
      </w:pPr>
    </w:lvl>
    <w:lvl w:ilvl="5" w:tplc="49DCCF50">
      <w:start w:val="1"/>
      <w:numFmt w:val="decimal"/>
      <w:lvlText w:val="%6."/>
      <w:lvlJc w:val="left"/>
      <w:pPr>
        <w:ind w:left="720" w:hanging="360"/>
      </w:pPr>
    </w:lvl>
    <w:lvl w:ilvl="6" w:tplc="D9CE3B0E">
      <w:start w:val="1"/>
      <w:numFmt w:val="decimal"/>
      <w:lvlText w:val="%7."/>
      <w:lvlJc w:val="left"/>
      <w:pPr>
        <w:ind w:left="720" w:hanging="360"/>
      </w:pPr>
    </w:lvl>
    <w:lvl w:ilvl="7" w:tplc="ECA04716">
      <w:start w:val="1"/>
      <w:numFmt w:val="decimal"/>
      <w:lvlText w:val="%8."/>
      <w:lvlJc w:val="left"/>
      <w:pPr>
        <w:ind w:left="720" w:hanging="360"/>
      </w:pPr>
    </w:lvl>
    <w:lvl w:ilvl="8" w:tplc="86D64B4C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72242CFA"/>
    <w:multiLevelType w:val="hybridMultilevel"/>
    <w:tmpl w:val="D4C631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700AF"/>
    <w:multiLevelType w:val="hybridMultilevel"/>
    <w:tmpl w:val="539AC42C"/>
    <w:lvl w:ilvl="0" w:tplc="35AEC78E">
      <w:start w:val="1"/>
      <w:numFmt w:val="decimal"/>
      <w:lvlText w:val="[%1]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59049">
    <w:abstractNumId w:val="2"/>
  </w:num>
  <w:num w:numId="2" w16cid:durableId="558982004">
    <w:abstractNumId w:val="1"/>
  </w:num>
  <w:num w:numId="3" w16cid:durableId="1599017465">
    <w:abstractNumId w:val="6"/>
  </w:num>
  <w:num w:numId="4" w16cid:durableId="310868938">
    <w:abstractNumId w:val="3"/>
  </w:num>
  <w:num w:numId="5" w16cid:durableId="223300132">
    <w:abstractNumId w:val="4"/>
  </w:num>
  <w:num w:numId="6" w16cid:durableId="576477851">
    <w:abstractNumId w:val="5"/>
  </w:num>
  <w:num w:numId="7" w16cid:durableId="20397706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ssar, Thea">
    <w15:presenceInfo w15:providerId="AD" w15:userId="S::NASSAT@pfizer.com::9598c9df-27cc-4d57-afd6-32aac97fd0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48"/>
    <w:rsid w:val="000307D3"/>
    <w:rsid w:val="00037D9C"/>
    <w:rsid w:val="00041179"/>
    <w:rsid w:val="000540B6"/>
    <w:rsid w:val="00062686"/>
    <w:rsid w:val="00066AEE"/>
    <w:rsid w:val="00066B51"/>
    <w:rsid w:val="00091E9B"/>
    <w:rsid w:val="000A5D07"/>
    <w:rsid w:val="000C016B"/>
    <w:rsid w:val="000C4685"/>
    <w:rsid w:val="000F0009"/>
    <w:rsid w:val="001004F4"/>
    <w:rsid w:val="00106CB4"/>
    <w:rsid w:val="00111A28"/>
    <w:rsid w:val="001142B4"/>
    <w:rsid w:val="00125A89"/>
    <w:rsid w:val="00130099"/>
    <w:rsid w:val="00141621"/>
    <w:rsid w:val="00147C2F"/>
    <w:rsid w:val="00150448"/>
    <w:rsid w:val="0018327A"/>
    <w:rsid w:val="001A42B7"/>
    <w:rsid w:val="001C6722"/>
    <w:rsid w:val="00204179"/>
    <w:rsid w:val="00224D74"/>
    <w:rsid w:val="0023084D"/>
    <w:rsid w:val="002311DA"/>
    <w:rsid w:val="00271DCF"/>
    <w:rsid w:val="00291006"/>
    <w:rsid w:val="002B4440"/>
    <w:rsid w:val="002B6270"/>
    <w:rsid w:val="002C4BDC"/>
    <w:rsid w:val="002E5B6E"/>
    <w:rsid w:val="003023A5"/>
    <w:rsid w:val="0030791E"/>
    <w:rsid w:val="00313010"/>
    <w:rsid w:val="00317392"/>
    <w:rsid w:val="00317FBE"/>
    <w:rsid w:val="003236F5"/>
    <w:rsid w:val="00336B39"/>
    <w:rsid w:val="00340BBB"/>
    <w:rsid w:val="00370652"/>
    <w:rsid w:val="00373C98"/>
    <w:rsid w:val="003A35F9"/>
    <w:rsid w:val="003B3302"/>
    <w:rsid w:val="003C13D6"/>
    <w:rsid w:val="003C787C"/>
    <w:rsid w:val="003D6406"/>
    <w:rsid w:val="003D66C9"/>
    <w:rsid w:val="003E7122"/>
    <w:rsid w:val="0041490F"/>
    <w:rsid w:val="00420282"/>
    <w:rsid w:val="004544B2"/>
    <w:rsid w:val="00464B4A"/>
    <w:rsid w:val="0048184E"/>
    <w:rsid w:val="004873D3"/>
    <w:rsid w:val="004A36BC"/>
    <w:rsid w:val="004A676D"/>
    <w:rsid w:val="004C62E2"/>
    <w:rsid w:val="004E4880"/>
    <w:rsid w:val="004F086F"/>
    <w:rsid w:val="00501390"/>
    <w:rsid w:val="00505ABF"/>
    <w:rsid w:val="0051576D"/>
    <w:rsid w:val="00521D15"/>
    <w:rsid w:val="0052271E"/>
    <w:rsid w:val="00525AF4"/>
    <w:rsid w:val="00534459"/>
    <w:rsid w:val="00544EB4"/>
    <w:rsid w:val="005455AE"/>
    <w:rsid w:val="005475F0"/>
    <w:rsid w:val="0056145C"/>
    <w:rsid w:val="005701D4"/>
    <w:rsid w:val="00574DF4"/>
    <w:rsid w:val="00581A9A"/>
    <w:rsid w:val="00585842"/>
    <w:rsid w:val="00587471"/>
    <w:rsid w:val="0059604B"/>
    <w:rsid w:val="005A723A"/>
    <w:rsid w:val="005B42BF"/>
    <w:rsid w:val="005D6514"/>
    <w:rsid w:val="005F166A"/>
    <w:rsid w:val="005F578D"/>
    <w:rsid w:val="00617610"/>
    <w:rsid w:val="00630BC2"/>
    <w:rsid w:val="00642FE9"/>
    <w:rsid w:val="00646C59"/>
    <w:rsid w:val="00664BB7"/>
    <w:rsid w:val="00697D30"/>
    <w:rsid w:val="006B0F3A"/>
    <w:rsid w:val="006B6E1B"/>
    <w:rsid w:val="006F2A3B"/>
    <w:rsid w:val="00750E13"/>
    <w:rsid w:val="00760418"/>
    <w:rsid w:val="00781EA1"/>
    <w:rsid w:val="0079648D"/>
    <w:rsid w:val="007A02B0"/>
    <w:rsid w:val="007E63D9"/>
    <w:rsid w:val="007F6588"/>
    <w:rsid w:val="008137EC"/>
    <w:rsid w:val="00816566"/>
    <w:rsid w:val="00840667"/>
    <w:rsid w:val="00841A75"/>
    <w:rsid w:val="00855E8C"/>
    <w:rsid w:val="00865DC5"/>
    <w:rsid w:val="008678C2"/>
    <w:rsid w:val="00871448"/>
    <w:rsid w:val="008949B9"/>
    <w:rsid w:val="00897A00"/>
    <w:rsid w:val="008C1701"/>
    <w:rsid w:val="008D259E"/>
    <w:rsid w:val="008E1125"/>
    <w:rsid w:val="00900EB0"/>
    <w:rsid w:val="00906D2C"/>
    <w:rsid w:val="00911881"/>
    <w:rsid w:val="0092072D"/>
    <w:rsid w:val="00922D5C"/>
    <w:rsid w:val="009249A4"/>
    <w:rsid w:val="00943717"/>
    <w:rsid w:val="009708FB"/>
    <w:rsid w:val="00977FC3"/>
    <w:rsid w:val="00986BA8"/>
    <w:rsid w:val="009A6022"/>
    <w:rsid w:val="009B6C09"/>
    <w:rsid w:val="009C7EC7"/>
    <w:rsid w:val="00A00FD5"/>
    <w:rsid w:val="00A010DF"/>
    <w:rsid w:val="00A059F1"/>
    <w:rsid w:val="00A05C60"/>
    <w:rsid w:val="00A149B6"/>
    <w:rsid w:val="00A14EE9"/>
    <w:rsid w:val="00A21C60"/>
    <w:rsid w:val="00A35712"/>
    <w:rsid w:val="00A44027"/>
    <w:rsid w:val="00A62991"/>
    <w:rsid w:val="00A62B80"/>
    <w:rsid w:val="00A90068"/>
    <w:rsid w:val="00A938CE"/>
    <w:rsid w:val="00A93BC9"/>
    <w:rsid w:val="00AA2B26"/>
    <w:rsid w:val="00AB3179"/>
    <w:rsid w:val="00AD1B47"/>
    <w:rsid w:val="00B1060F"/>
    <w:rsid w:val="00B13AA8"/>
    <w:rsid w:val="00B1409D"/>
    <w:rsid w:val="00B17BBE"/>
    <w:rsid w:val="00B2511C"/>
    <w:rsid w:val="00B26432"/>
    <w:rsid w:val="00B70880"/>
    <w:rsid w:val="00B744E6"/>
    <w:rsid w:val="00B83FBC"/>
    <w:rsid w:val="00B847A9"/>
    <w:rsid w:val="00B85F20"/>
    <w:rsid w:val="00BB6018"/>
    <w:rsid w:val="00BC1635"/>
    <w:rsid w:val="00BC2374"/>
    <w:rsid w:val="00BC455A"/>
    <w:rsid w:val="00BD3B9E"/>
    <w:rsid w:val="00BE0C00"/>
    <w:rsid w:val="00BE6B2C"/>
    <w:rsid w:val="00BE7532"/>
    <w:rsid w:val="00BF557D"/>
    <w:rsid w:val="00C0003E"/>
    <w:rsid w:val="00C40148"/>
    <w:rsid w:val="00C538D1"/>
    <w:rsid w:val="00C62878"/>
    <w:rsid w:val="00C672C5"/>
    <w:rsid w:val="00C70149"/>
    <w:rsid w:val="00C70529"/>
    <w:rsid w:val="00C70A80"/>
    <w:rsid w:val="00CA0C8A"/>
    <w:rsid w:val="00CA7788"/>
    <w:rsid w:val="00CB23F7"/>
    <w:rsid w:val="00CC6780"/>
    <w:rsid w:val="00CC7832"/>
    <w:rsid w:val="00CD1B00"/>
    <w:rsid w:val="00CE2CDC"/>
    <w:rsid w:val="00CE59B5"/>
    <w:rsid w:val="00D04582"/>
    <w:rsid w:val="00D63F82"/>
    <w:rsid w:val="00D66584"/>
    <w:rsid w:val="00D71FDA"/>
    <w:rsid w:val="00D778A2"/>
    <w:rsid w:val="00D830D6"/>
    <w:rsid w:val="00D86926"/>
    <w:rsid w:val="00DA70ED"/>
    <w:rsid w:val="00DC3E9F"/>
    <w:rsid w:val="00DD486F"/>
    <w:rsid w:val="00DF087E"/>
    <w:rsid w:val="00E054F1"/>
    <w:rsid w:val="00E10467"/>
    <w:rsid w:val="00E12424"/>
    <w:rsid w:val="00E12BC4"/>
    <w:rsid w:val="00E43743"/>
    <w:rsid w:val="00E45A1A"/>
    <w:rsid w:val="00E56B42"/>
    <w:rsid w:val="00E855C1"/>
    <w:rsid w:val="00E909CD"/>
    <w:rsid w:val="00EB5997"/>
    <w:rsid w:val="00EC108C"/>
    <w:rsid w:val="00ED0A3A"/>
    <w:rsid w:val="00F12338"/>
    <w:rsid w:val="00F14B6F"/>
    <w:rsid w:val="00F22C04"/>
    <w:rsid w:val="00F26CEE"/>
    <w:rsid w:val="00F273DC"/>
    <w:rsid w:val="00F310B3"/>
    <w:rsid w:val="00F609DF"/>
    <w:rsid w:val="00F60F74"/>
    <w:rsid w:val="00F62CDA"/>
    <w:rsid w:val="00F85B96"/>
    <w:rsid w:val="00F8765D"/>
    <w:rsid w:val="00F964A5"/>
    <w:rsid w:val="00FC7128"/>
    <w:rsid w:val="00FD0C1C"/>
    <w:rsid w:val="00FD2920"/>
    <w:rsid w:val="00FE1B7B"/>
    <w:rsid w:val="00FE7D01"/>
    <w:rsid w:val="00FF29DE"/>
    <w:rsid w:val="2C54ECA4"/>
    <w:rsid w:val="5179D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CE0C"/>
  <w15:chartTrackingRefBased/>
  <w15:docId w15:val="{00C94C9E-D270-4217-B25B-4D76225B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B7"/>
  </w:style>
  <w:style w:type="paragraph" w:styleId="Heading1">
    <w:name w:val="heading 1"/>
    <w:basedOn w:val="Normal"/>
    <w:next w:val="Normal"/>
    <w:link w:val="Heading1Char"/>
    <w:uiPriority w:val="9"/>
    <w:qFormat/>
    <w:rsid w:val="0015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4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D6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514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514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85B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B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282"/>
  </w:style>
  <w:style w:type="paragraph" w:styleId="Footer">
    <w:name w:val="footer"/>
    <w:basedOn w:val="Normal"/>
    <w:link w:val="FooterChar"/>
    <w:uiPriority w:val="99"/>
    <w:unhideWhenUsed/>
    <w:rsid w:val="0042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282"/>
  </w:style>
  <w:style w:type="table" w:styleId="TableGrid">
    <w:name w:val="Table Grid"/>
    <w:basedOn w:val="TableNormal"/>
    <w:uiPriority w:val="39"/>
    <w:rsid w:val="00FF2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36BC"/>
    <w:rPr>
      <w:color w:val="666666"/>
    </w:rPr>
  </w:style>
  <w:style w:type="table" w:styleId="PlainTable1">
    <w:name w:val="Plain Table 1"/>
    <w:basedOn w:val="TableNormal"/>
    <w:uiPriority w:val="41"/>
    <w:rsid w:val="00C705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2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0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uvzsr.sk/documents/d/ruvzbb/vs_2019_nrc_pneumokok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1E0CCA0D26446A044CE747DCBAEDC" ma:contentTypeVersion="17" ma:contentTypeDescription="Create a new document." ma:contentTypeScope="" ma:versionID="0b71db689092044129504d3005ea960f">
  <xsd:schema xmlns:xsd="http://www.w3.org/2001/XMLSchema" xmlns:xs="http://www.w3.org/2001/XMLSchema" xmlns:p="http://schemas.microsoft.com/office/2006/metadata/properties" xmlns:ns2="4ce90c8c-6e01-4316-a1ca-988654923e02" xmlns:ns3="1017dfa7-936e-4d95-bee1-05cc11df04a7" targetNamespace="http://schemas.microsoft.com/office/2006/metadata/properties" ma:root="true" ma:fieldsID="d3ea273412e772fa7c2aec6ae916b56f" ns2:_="" ns3:_="">
    <xsd:import namespace="4ce90c8c-6e01-4316-a1ca-988654923e02"/>
    <xsd:import namespace="1017dfa7-936e-4d95-bee1-05cc11df0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0c8c-6e01-4316-a1ca-988654923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9dd247-5f48-452a-8dc4-ff9a39258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7dfa7-936e-4d95-bee1-05cc11df04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93926c-5be7-47cd-ac5f-2738b01b276a}" ma:internalName="TaxCatchAll" ma:showField="CatchAllData" ma:web="1017dfa7-936e-4d95-bee1-05cc11df0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7dfa7-936e-4d95-bee1-05cc11df04a7" xsi:nil="true"/>
    <lcf76f155ced4ddcb4097134ff3c332f xmlns="4ce90c8c-6e01-4316-a1ca-988654923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C70C82-2F02-4BF3-8267-7FCAF722E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CCEDD-ED59-49E8-811B-3A14A7B3E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90c8c-6e01-4316-a1ca-988654923e02"/>
    <ds:schemaRef ds:uri="1017dfa7-936e-4d95-bee1-05cc11df0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5B2D7C-C206-45AA-9B45-67C78B6222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FB468-6845-46FE-A0D8-D7787C27B8F9}">
  <ds:schemaRefs>
    <ds:schemaRef ds:uri="http://schemas.microsoft.com/office/2006/metadata/properties"/>
    <ds:schemaRef ds:uri="http://schemas.microsoft.com/office/infopath/2007/PartnerControls"/>
    <ds:schemaRef ds:uri="1017dfa7-936e-4d95-bee1-05cc11df04a7"/>
    <ds:schemaRef ds:uri="4ce90c8c-6e01-4316-a1ca-988654923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Nassar, Thea</dc:creator>
  <cp:keywords/>
  <dc:description/>
  <cp:lastModifiedBy>Nassar, Thea</cp:lastModifiedBy>
  <cp:revision>183</cp:revision>
  <dcterms:created xsi:type="dcterms:W3CDTF">2025-02-06T11:23:00Z</dcterms:created>
  <dcterms:modified xsi:type="dcterms:W3CDTF">2025-12-22T15:52:00Z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91b42f-c435-42ca-9531-75a3f42aae3d_Enabled">
    <vt:lpwstr>true</vt:lpwstr>
  </property>
  <property fmtid="{D5CDD505-2E9C-101B-9397-08002B2CF9AE}" pid="3" name="MSIP_Label_4791b42f-c435-42ca-9531-75a3f42aae3d_SetDate">
    <vt:lpwstr>2025-02-06T11:55:43Z</vt:lpwstr>
  </property>
  <property fmtid="{D5CDD505-2E9C-101B-9397-08002B2CF9AE}" pid="4" name="MSIP_Label_4791b42f-c435-42ca-9531-75a3f42aae3d_Method">
    <vt:lpwstr>Privileged</vt:lpwstr>
  </property>
  <property fmtid="{D5CDD505-2E9C-101B-9397-08002B2CF9AE}" pid="5" name="MSIP_Label_4791b42f-c435-42ca-9531-75a3f42aae3d_Name">
    <vt:lpwstr>4791b42f-c435-42ca-9531-75a3f42aae3d</vt:lpwstr>
  </property>
  <property fmtid="{D5CDD505-2E9C-101B-9397-08002B2CF9AE}" pid="6" name="MSIP_Label_4791b42f-c435-42ca-9531-75a3f42aae3d_SiteId">
    <vt:lpwstr>7a916015-20ae-4ad1-9170-eefd915e9272</vt:lpwstr>
  </property>
  <property fmtid="{D5CDD505-2E9C-101B-9397-08002B2CF9AE}" pid="7" name="MSIP_Label_4791b42f-c435-42ca-9531-75a3f42aae3d_ActionId">
    <vt:lpwstr>4c455596-b91b-4979-87dd-5a44c2b1181d</vt:lpwstr>
  </property>
  <property fmtid="{D5CDD505-2E9C-101B-9397-08002B2CF9AE}" pid="8" name="MSIP_Label_4791b42f-c435-42ca-9531-75a3f42aae3d_ContentBits">
    <vt:lpwstr>0</vt:lpwstr>
  </property>
  <property fmtid="{D5CDD505-2E9C-101B-9397-08002B2CF9AE}" pid="9" name="ContentTypeId">
    <vt:lpwstr>0x0101009D21E0CCA0D26446A044CE747DCBAEDC</vt:lpwstr>
  </property>
  <property fmtid="{D5CDD505-2E9C-101B-9397-08002B2CF9AE}" pid="10" name="MediaServiceImageTags">
    <vt:lpwstr/>
  </property>
</Properties>
</file>