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662" w:rsidRDefault="00CF1662" w:rsidP="00CF1662">
      <w:pPr>
        <w:rPr>
          <w:rFonts w:ascii="Arial" w:hAnsi="Arial" w:cs="Arial"/>
          <w:b/>
          <w:bCs/>
          <w:sz w:val="23"/>
          <w:szCs w:val="23"/>
        </w:rPr>
      </w:pPr>
      <w:r w:rsidRPr="002D5571">
        <w:rPr>
          <w:rFonts w:ascii="Arial" w:hAnsi="Arial" w:cs="Arial"/>
          <w:b/>
          <w:bCs/>
          <w:sz w:val="23"/>
          <w:szCs w:val="23"/>
        </w:rPr>
        <w:t>Supplemental Data</w:t>
      </w:r>
    </w:p>
    <w:p w:rsidR="00CF1662" w:rsidRDefault="00CF1662" w:rsidP="00CF1662">
      <w:pPr>
        <w:rPr>
          <w:rFonts w:ascii="Arial" w:hAnsi="Arial" w:cs="Arial"/>
          <w:b/>
          <w:bCs/>
          <w:sz w:val="23"/>
          <w:szCs w:val="23"/>
        </w:rPr>
      </w:pPr>
    </w:p>
    <w:p w:rsidR="00CF1662" w:rsidRPr="002D5571" w:rsidRDefault="009A703B" w:rsidP="00CF166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39427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662" w:rsidRPr="002D5571" w:rsidRDefault="00EA6BC3" w:rsidP="00CF1662">
      <w:pPr>
        <w:rPr>
          <w:rFonts w:ascii="Arial" w:hAnsi="Arial" w:cs="Arial"/>
          <w:sz w:val="22"/>
        </w:rPr>
      </w:pPr>
      <w:r w:rsidRPr="00EA6BC3">
        <w:rPr>
          <w:rFonts w:ascii="Arial" w:hAnsi="Arial" w:cs="Arial"/>
          <w:b/>
          <w:sz w:val="22"/>
        </w:rPr>
        <w:t>Supplementary</w:t>
      </w:r>
      <w:r>
        <w:rPr>
          <w:rFonts w:ascii="Arial" w:hAnsi="Arial" w:cs="Arial"/>
          <w:b/>
          <w:sz w:val="22"/>
        </w:rPr>
        <w:t xml:space="preserve"> </w:t>
      </w:r>
      <w:r w:rsidR="00CF1662" w:rsidRPr="002D5571">
        <w:rPr>
          <w:rFonts w:ascii="Arial" w:hAnsi="Arial" w:cs="Arial"/>
          <w:b/>
          <w:sz w:val="22"/>
        </w:rPr>
        <w:t>Fig</w:t>
      </w:r>
      <w:r>
        <w:rPr>
          <w:rFonts w:ascii="Arial" w:hAnsi="Arial" w:cs="Arial"/>
          <w:b/>
          <w:sz w:val="22"/>
        </w:rPr>
        <w:t>.</w:t>
      </w:r>
      <w:r w:rsidR="00CF1662" w:rsidRPr="002D5571">
        <w:rPr>
          <w:rFonts w:ascii="Arial" w:hAnsi="Arial" w:cs="Arial"/>
          <w:b/>
          <w:sz w:val="22"/>
        </w:rPr>
        <w:t xml:space="preserve"> S1. </w:t>
      </w:r>
      <w:r w:rsidR="00CF7879">
        <w:rPr>
          <w:rFonts w:ascii="Arial" w:hAnsi="Arial" w:cs="Arial"/>
          <w:b/>
          <w:sz w:val="22"/>
        </w:rPr>
        <w:t>CD45</w:t>
      </w:r>
      <w:r w:rsidR="00CF7879" w:rsidRPr="00CF7879">
        <w:rPr>
          <w:rFonts w:ascii="Arial" w:hAnsi="Arial" w:cs="Arial"/>
          <w:b/>
          <w:sz w:val="22"/>
          <w:vertAlign w:val="superscript"/>
        </w:rPr>
        <w:t>+</w:t>
      </w:r>
      <w:r w:rsidR="00CF7879" w:rsidRPr="00CF7879">
        <w:rPr>
          <w:rFonts w:ascii="Arial" w:hAnsi="Arial" w:cs="Arial"/>
          <w:b/>
          <w:sz w:val="22"/>
        </w:rPr>
        <w:t xml:space="preserve"> imm</w:t>
      </w:r>
      <w:r w:rsidR="00CF7879">
        <w:rPr>
          <w:rFonts w:ascii="Arial" w:hAnsi="Arial" w:cs="Arial"/>
          <w:b/>
          <w:sz w:val="22"/>
        </w:rPr>
        <w:t>une cell subclustering by CyTOF</w:t>
      </w:r>
      <w:r w:rsidR="00CF1662" w:rsidRPr="002D5571">
        <w:rPr>
          <w:rFonts w:ascii="Arial" w:hAnsi="Arial" w:cs="Arial"/>
          <w:b/>
          <w:sz w:val="22"/>
        </w:rPr>
        <w:t>.</w:t>
      </w:r>
      <w:r w:rsidR="00CF1662" w:rsidRPr="002D5571">
        <w:rPr>
          <w:rFonts w:ascii="Arial" w:hAnsi="Arial" w:cs="Arial"/>
          <w:sz w:val="22"/>
        </w:rPr>
        <w:t xml:space="preserve"> </w:t>
      </w:r>
      <w:r w:rsidR="00CF1662" w:rsidRPr="004A49C2">
        <w:rPr>
          <w:rFonts w:ascii="Arial" w:hAnsi="Arial" w:cs="Arial"/>
          <w:sz w:val="22"/>
        </w:rPr>
        <w:t xml:space="preserve">Related to </w:t>
      </w:r>
      <w:r w:rsidRPr="00EA6BC3">
        <w:rPr>
          <w:rFonts w:ascii="Arial" w:hAnsi="Arial" w:cs="Arial"/>
          <w:sz w:val="22"/>
        </w:rPr>
        <w:t>Fig.</w:t>
      </w:r>
      <w:bookmarkStart w:id="0" w:name="_GoBack"/>
      <w:bookmarkEnd w:id="0"/>
      <w:r w:rsidR="00CF1662" w:rsidRPr="004A49C2">
        <w:rPr>
          <w:rFonts w:ascii="Arial" w:hAnsi="Arial" w:cs="Arial"/>
          <w:sz w:val="22"/>
        </w:rPr>
        <w:t xml:space="preserve"> 1.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A</w:t>
      </w:r>
      <w:r w:rsidRPr="00CF7879">
        <w:rPr>
          <w:rFonts w:ascii="Arial" w:hAnsi="Arial" w:cs="Arial"/>
          <w:sz w:val="22"/>
        </w:rPr>
        <w:t>) Heatmap showing relative normalized protein expression on every cluster of CD45</w:t>
      </w:r>
      <w:r w:rsidRPr="00EC4FA3">
        <w:rPr>
          <w:rFonts w:ascii="Arial" w:hAnsi="Arial" w:cs="Arial"/>
          <w:sz w:val="22"/>
          <w:vertAlign w:val="superscript"/>
        </w:rPr>
        <w:t>+</w:t>
      </w:r>
      <w:r w:rsidRPr="00CF7879">
        <w:rPr>
          <w:rFonts w:ascii="Arial" w:hAnsi="Arial" w:cs="Arial"/>
          <w:sz w:val="22"/>
        </w:rPr>
        <w:t xml:space="preserve"> cells by CyTOF.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B</w:t>
      </w:r>
      <w:r w:rsidRPr="00CF7879">
        <w:rPr>
          <w:rFonts w:ascii="Arial" w:hAnsi="Arial" w:cs="Arial"/>
          <w:sz w:val="22"/>
        </w:rPr>
        <w:t xml:space="preserve">) Bar plot showing the frequencies of different cell types (n=15). </w:t>
      </w:r>
    </w:p>
    <w:p w:rsidR="00CF1662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C</w:t>
      </w:r>
      <w:r w:rsidRPr="00CF7879">
        <w:rPr>
          <w:rFonts w:ascii="Arial" w:hAnsi="Arial" w:cs="Arial"/>
          <w:sz w:val="22"/>
        </w:rPr>
        <w:t>) Bar plots showing the frequencies of immune cell subsets among the four groups of samples (n=3 N, 4 T1, 4 T2 and 4 T3. Data are presented as mean ± s.e.m. P values were determined by two-tailed Student’s t-test; ns, nonsignificant). (N, normal human thymus; T1, type 1; T2, type 2; T3, type 3; the abbreviations below are consistent here).</w:t>
      </w:r>
    </w:p>
    <w:p w:rsidR="00CF1662" w:rsidRDefault="009A703B" w:rsidP="00CF1662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>
            <wp:extent cx="5274310" cy="37807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662" w:rsidRPr="002D5571" w:rsidRDefault="00EA6BC3" w:rsidP="00CF1662">
      <w:pPr>
        <w:rPr>
          <w:rFonts w:ascii="Arial" w:hAnsi="Arial" w:cs="Arial"/>
          <w:sz w:val="22"/>
        </w:rPr>
      </w:pPr>
      <w:r w:rsidRPr="00EA6BC3">
        <w:rPr>
          <w:rFonts w:ascii="Arial" w:hAnsi="Arial" w:cs="Arial"/>
          <w:b/>
          <w:sz w:val="22"/>
        </w:rPr>
        <w:t>Supplementary</w:t>
      </w:r>
      <w:r>
        <w:rPr>
          <w:rFonts w:ascii="Arial" w:hAnsi="Arial" w:cs="Arial"/>
          <w:b/>
          <w:sz w:val="22"/>
        </w:rPr>
        <w:t xml:space="preserve"> </w:t>
      </w:r>
      <w:r w:rsidRPr="002D5571">
        <w:rPr>
          <w:rFonts w:ascii="Arial" w:hAnsi="Arial" w:cs="Arial"/>
          <w:b/>
          <w:sz w:val="22"/>
        </w:rPr>
        <w:t>Fig</w:t>
      </w:r>
      <w:r>
        <w:rPr>
          <w:rFonts w:ascii="Arial" w:hAnsi="Arial" w:cs="Arial"/>
          <w:b/>
          <w:sz w:val="22"/>
        </w:rPr>
        <w:t>.</w:t>
      </w:r>
      <w:r w:rsidR="00CF1662" w:rsidRPr="002D5571">
        <w:rPr>
          <w:rFonts w:ascii="Arial" w:hAnsi="Arial" w:cs="Arial"/>
          <w:b/>
          <w:sz w:val="22"/>
        </w:rPr>
        <w:t xml:space="preserve"> S2. </w:t>
      </w:r>
      <w:r w:rsidR="00CF7879">
        <w:rPr>
          <w:rFonts w:ascii="Arial" w:hAnsi="Arial" w:cs="Arial"/>
          <w:b/>
          <w:sz w:val="22"/>
        </w:rPr>
        <w:t>CD3</w:t>
      </w:r>
      <w:r w:rsidR="00CF7879" w:rsidRPr="00CF7879">
        <w:rPr>
          <w:rFonts w:ascii="Arial" w:hAnsi="Arial" w:cs="Arial"/>
          <w:b/>
          <w:sz w:val="22"/>
          <w:vertAlign w:val="superscript"/>
        </w:rPr>
        <w:t>+</w:t>
      </w:r>
      <w:r w:rsidR="00CF7879" w:rsidRPr="00CF7879">
        <w:rPr>
          <w:rFonts w:ascii="Arial" w:hAnsi="Arial" w:cs="Arial"/>
          <w:b/>
          <w:sz w:val="22"/>
        </w:rPr>
        <w:t xml:space="preserve"> T cell subclustering by CyTOF.</w:t>
      </w:r>
      <w:r w:rsidR="00CF1662" w:rsidRPr="002D5571">
        <w:rPr>
          <w:rFonts w:ascii="Arial" w:hAnsi="Arial" w:cs="Arial"/>
          <w:b/>
          <w:sz w:val="22"/>
        </w:rPr>
        <w:t xml:space="preserve"> </w:t>
      </w:r>
      <w:r w:rsidR="00CF1662" w:rsidRPr="004A49C2">
        <w:rPr>
          <w:rFonts w:ascii="Arial" w:hAnsi="Arial" w:cs="Arial"/>
          <w:sz w:val="22"/>
        </w:rPr>
        <w:t xml:space="preserve">Related to </w:t>
      </w:r>
      <w:r w:rsidRPr="00EA6BC3">
        <w:rPr>
          <w:rFonts w:ascii="Arial" w:hAnsi="Arial" w:cs="Arial"/>
          <w:sz w:val="22"/>
        </w:rPr>
        <w:t>Fig.</w:t>
      </w:r>
      <w:r w:rsidR="00CF1662" w:rsidRPr="004A49C2">
        <w:rPr>
          <w:rFonts w:ascii="Arial" w:hAnsi="Arial" w:cs="Arial"/>
          <w:sz w:val="22"/>
        </w:rPr>
        <w:t xml:space="preserve"> 2.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A</w:t>
      </w:r>
      <w:r w:rsidRPr="00CF7879">
        <w:rPr>
          <w:rFonts w:ascii="Arial" w:hAnsi="Arial" w:cs="Arial"/>
          <w:sz w:val="22"/>
        </w:rPr>
        <w:t>) t-SNE analysis of CD3</w:t>
      </w:r>
      <w:r w:rsidRPr="00CF7879">
        <w:rPr>
          <w:rFonts w:ascii="Arial" w:hAnsi="Arial" w:cs="Arial"/>
          <w:sz w:val="22"/>
          <w:vertAlign w:val="superscript"/>
        </w:rPr>
        <w:t>+</w:t>
      </w:r>
      <w:r w:rsidRPr="00CF7879">
        <w:rPr>
          <w:rFonts w:ascii="Arial" w:hAnsi="Arial" w:cs="Arial"/>
          <w:sz w:val="22"/>
        </w:rPr>
        <w:t xml:space="preserve"> T cells from tumor colored by relative expression of CyTOF markers (CD45, CD3, CD4, CD8a, CD45RO, CD103, CD69, FOXP3</w:t>
      </w:r>
      <w:r w:rsidR="00EC4FA3">
        <w:rPr>
          <w:rFonts w:ascii="Arial" w:hAnsi="Arial" w:cs="Arial"/>
          <w:sz w:val="22"/>
        </w:rPr>
        <w:t xml:space="preserve"> and</w:t>
      </w:r>
      <w:r w:rsidRPr="00CF7879">
        <w:rPr>
          <w:rFonts w:ascii="Arial" w:hAnsi="Arial" w:cs="Arial"/>
          <w:sz w:val="22"/>
        </w:rPr>
        <w:t xml:space="preserve"> K</w:t>
      </w:r>
      <w:r w:rsidR="00EC4FA3">
        <w:rPr>
          <w:rFonts w:ascii="Arial" w:hAnsi="Arial" w:cs="Arial"/>
          <w:sz w:val="22"/>
        </w:rPr>
        <w:t>I</w:t>
      </w:r>
      <w:r w:rsidRPr="00CF7879">
        <w:rPr>
          <w:rFonts w:ascii="Arial" w:hAnsi="Arial" w:cs="Arial"/>
          <w:sz w:val="22"/>
        </w:rPr>
        <w:t>67).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B</w:t>
      </w:r>
      <w:r w:rsidRPr="00CF7879">
        <w:rPr>
          <w:rFonts w:ascii="Arial" w:hAnsi="Arial" w:cs="Arial"/>
          <w:sz w:val="22"/>
        </w:rPr>
        <w:t>) Heatmap showing relative normalized protein expression on every cluster of CD45</w:t>
      </w:r>
      <w:r w:rsidRPr="00CF7879">
        <w:rPr>
          <w:rFonts w:ascii="Arial" w:hAnsi="Arial" w:cs="Arial"/>
          <w:sz w:val="22"/>
          <w:vertAlign w:val="superscript"/>
        </w:rPr>
        <w:t>+</w:t>
      </w:r>
      <w:r>
        <w:rPr>
          <w:rFonts w:ascii="Arial" w:hAnsi="Arial" w:cs="Arial"/>
          <w:sz w:val="22"/>
        </w:rPr>
        <w:t xml:space="preserve"> </w:t>
      </w:r>
      <w:r w:rsidRPr="00CF7879">
        <w:rPr>
          <w:rFonts w:ascii="Arial" w:hAnsi="Arial" w:cs="Arial"/>
          <w:sz w:val="22"/>
        </w:rPr>
        <w:t>CD3</w:t>
      </w:r>
      <w:r w:rsidRPr="00CF7879">
        <w:rPr>
          <w:rFonts w:ascii="Arial" w:hAnsi="Arial" w:cs="Arial"/>
          <w:sz w:val="22"/>
          <w:vertAlign w:val="superscript"/>
        </w:rPr>
        <w:t>+</w:t>
      </w:r>
      <w:r w:rsidRPr="00CF7879">
        <w:rPr>
          <w:rFonts w:ascii="Arial" w:hAnsi="Arial" w:cs="Arial"/>
          <w:sz w:val="22"/>
        </w:rPr>
        <w:t xml:space="preserve"> T cells by CyTOF.</w:t>
      </w:r>
    </w:p>
    <w:p w:rsidR="00CF1662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C</w:t>
      </w:r>
      <w:r w:rsidRPr="00CF7879">
        <w:rPr>
          <w:rFonts w:ascii="Arial" w:hAnsi="Arial" w:cs="Arial"/>
          <w:sz w:val="22"/>
        </w:rPr>
        <w:t>) Bar plots showing the frequencies of T cell subsets among the four groups of samples (n=3 N, 4 T1, 4 T2 and 4 T3. Data are presented as mean ± s.e.m. P values were determined by two-tailed Student’s t-test; ns, nonsignificant, *P &lt; 0.05).</w:t>
      </w:r>
    </w:p>
    <w:p w:rsidR="00CF1662" w:rsidRDefault="00CF1662" w:rsidP="00CF1662">
      <w:pPr>
        <w:rPr>
          <w:rFonts w:ascii="Arial" w:hAnsi="Arial" w:cs="Arial"/>
          <w:sz w:val="22"/>
        </w:rPr>
      </w:pPr>
    </w:p>
    <w:p w:rsidR="00CF1662" w:rsidRPr="002D5571" w:rsidRDefault="009A703B" w:rsidP="00CF1662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noProof/>
          <w:sz w:val="22"/>
        </w:rPr>
        <w:lastRenderedPageBreak/>
        <w:drawing>
          <wp:inline distT="0" distB="0" distL="0" distR="0">
            <wp:extent cx="5274310" cy="761873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662" w:rsidRPr="002D5571" w:rsidRDefault="00CF1662" w:rsidP="00CF1662">
      <w:pPr>
        <w:rPr>
          <w:rFonts w:ascii="Arial" w:hAnsi="Arial" w:cs="Arial"/>
          <w:sz w:val="22"/>
        </w:rPr>
      </w:pPr>
    </w:p>
    <w:p w:rsidR="00CF1662" w:rsidRPr="002D5571" w:rsidRDefault="00EA6BC3" w:rsidP="00CF1662">
      <w:pPr>
        <w:rPr>
          <w:rFonts w:ascii="Arial" w:hAnsi="Arial" w:cs="Arial"/>
          <w:sz w:val="22"/>
        </w:rPr>
      </w:pPr>
      <w:r w:rsidRPr="00EA6BC3">
        <w:rPr>
          <w:rFonts w:ascii="Arial" w:hAnsi="Arial" w:cs="Arial"/>
          <w:b/>
          <w:sz w:val="22"/>
        </w:rPr>
        <w:t>Supplementary Fig.</w:t>
      </w:r>
      <w:r w:rsidR="00CF1662" w:rsidRPr="002D5571">
        <w:rPr>
          <w:rFonts w:ascii="Arial" w:hAnsi="Arial" w:cs="Arial"/>
          <w:b/>
          <w:sz w:val="22"/>
        </w:rPr>
        <w:t xml:space="preserve"> S3. </w:t>
      </w:r>
      <w:r w:rsidR="00CF7879" w:rsidRPr="00CF7879">
        <w:rPr>
          <w:rFonts w:ascii="Arial" w:hAnsi="Arial" w:cs="Arial"/>
          <w:b/>
          <w:sz w:val="22"/>
        </w:rPr>
        <w:t>scRNA-seq revealed the cell composition of normal thymus and TET samples</w:t>
      </w:r>
      <w:r w:rsidR="00CF1662" w:rsidRPr="002D5571">
        <w:rPr>
          <w:rFonts w:ascii="Arial" w:hAnsi="Arial" w:cs="Arial"/>
          <w:b/>
          <w:sz w:val="22"/>
        </w:rPr>
        <w:t>.</w:t>
      </w:r>
      <w:r w:rsidR="00CF1662" w:rsidRPr="002D5571">
        <w:rPr>
          <w:rFonts w:ascii="Arial" w:hAnsi="Arial" w:cs="Arial"/>
          <w:sz w:val="22"/>
        </w:rPr>
        <w:t xml:space="preserve"> </w:t>
      </w:r>
      <w:r w:rsidR="00CF1662" w:rsidRPr="004A49C2">
        <w:rPr>
          <w:rFonts w:ascii="Arial" w:hAnsi="Arial" w:cs="Arial"/>
          <w:sz w:val="22"/>
        </w:rPr>
        <w:t xml:space="preserve">Related to </w:t>
      </w:r>
      <w:r w:rsidRPr="00EA6BC3">
        <w:rPr>
          <w:rFonts w:ascii="Arial" w:hAnsi="Arial" w:cs="Arial"/>
          <w:sz w:val="22"/>
        </w:rPr>
        <w:t>Fig.</w:t>
      </w:r>
      <w:r w:rsidR="00CF1662" w:rsidRPr="004A49C2">
        <w:rPr>
          <w:rFonts w:ascii="Arial" w:hAnsi="Arial" w:cs="Arial"/>
          <w:sz w:val="22"/>
        </w:rPr>
        <w:t xml:space="preserve"> 3.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A</w:t>
      </w:r>
      <w:r w:rsidRPr="00CF7879">
        <w:rPr>
          <w:rFonts w:ascii="Arial" w:hAnsi="Arial" w:cs="Arial"/>
          <w:sz w:val="22"/>
        </w:rPr>
        <w:t>) UMAP of total cells from normal human thymus (n=1) and TETs samples (n=6), colored by the cell cluster.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lastRenderedPageBreak/>
        <w:t>(</w:t>
      </w:r>
      <w:r w:rsidR="00DA4EB5" w:rsidRPr="00EC4FA3">
        <w:rPr>
          <w:rFonts w:ascii="Arial" w:hAnsi="Arial" w:cs="Arial"/>
          <w:b/>
          <w:sz w:val="22"/>
        </w:rPr>
        <w:t>B</w:t>
      </w:r>
      <w:r w:rsidRPr="00CF7879">
        <w:rPr>
          <w:rFonts w:ascii="Arial" w:hAnsi="Arial" w:cs="Arial"/>
          <w:sz w:val="22"/>
        </w:rPr>
        <w:t xml:space="preserve">) Dot plot for marker genes expression in each cluster of total cells. 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C</w:t>
      </w:r>
      <w:r w:rsidRPr="00CF7879">
        <w:rPr>
          <w:rFonts w:ascii="Arial" w:hAnsi="Arial" w:cs="Arial"/>
          <w:sz w:val="22"/>
        </w:rPr>
        <w:t xml:space="preserve">) UMAP visualization of the major immune cellular composition of normal human thymus (n=1) and TETs samples (n=6), colored by the identified cell type. (VSMC, vascular smooth muscle cells) 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D</w:t>
      </w:r>
      <w:r w:rsidRPr="00CF7879">
        <w:rPr>
          <w:rFonts w:ascii="Arial" w:hAnsi="Arial" w:cs="Arial"/>
          <w:sz w:val="22"/>
        </w:rPr>
        <w:t>) Heatmap and (</w:t>
      </w:r>
      <w:r w:rsidR="00DA4EB5" w:rsidRPr="00EC4FA3">
        <w:rPr>
          <w:rFonts w:ascii="Arial" w:hAnsi="Arial" w:cs="Arial"/>
          <w:b/>
          <w:sz w:val="22"/>
        </w:rPr>
        <w:t>E</w:t>
      </w:r>
      <w:r w:rsidRPr="00CF7879">
        <w:rPr>
          <w:rFonts w:ascii="Arial" w:hAnsi="Arial" w:cs="Arial"/>
          <w:sz w:val="22"/>
        </w:rPr>
        <w:t>) Dot plot presenting the marker genes expression level among the identified cell types.</w:t>
      </w:r>
    </w:p>
    <w:p w:rsidR="00CF7879" w:rsidRPr="00CF7879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F</w:t>
      </w:r>
      <w:r w:rsidRPr="00CF7879">
        <w:rPr>
          <w:rFonts w:ascii="Arial" w:hAnsi="Arial" w:cs="Arial"/>
          <w:sz w:val="22"/>
        </w:rPr>
        <w:t>) Same UMAP plot as (</w:t>
      </w:r>
      <w:r w:rsidR="00DA4EB5" w:rsidRPr="00EC4FA3">
        <w:rPr>
          <w:rFonts w:ascii="Arial" w:hAnsi="Arial" w:cs="Arial"/>
          <w:b/>
          <w:sz w:val="22"/>
        </w:rPr>
        <w:t>C</w:t>
      </w:r>
      <w:r w:rsidRPr="00CF7879">
        <w:rPr>
          <w:rFonts w:ascii="Arial" w:hAnsi="Arial" w:cs="Arial"/>
          <w:sz w:val="22"/>
        </w:rPr>
        <w:t xml:space="preserve">), colored by groups. </w:t>
      </w:r>
    </w:p>
    <w:p w:rsidR="00CF1662" w:rsidRDefault="00CF7879" w:rsidP="00CF7879">
      <w:pPr>
        <w:rPr>
          <w:rFonts w:ascii="Arial" w:hAnsi="Arial" w:cs="Arial"/>
          <w:sz w:val="22"/>
        </w:rPr>
      </w:pPr>
      <w:r w:rsidRPr="00CF7879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G</w:t>
      </w:r>
      <w:r w:rsidRPr="00CF7879">
        <w:rPr>
          <w:rFonts w:ascii="Arial" w:hAnsi="Arial" w:cs="Arial"/>
          <w:sz w:val="22"/>
        </w:rPr>
        <w:t>) Same UMAP plot of the cellular composition from samples of each group, colored by the identified cell type same as (</w:t>
      </w:r>
      <w:r w:rsidR="00DA4EB5" w:rsidRPr="00EC4FA3">
        <w:rPr>
          <w:rFonts w:ascii="Arial" w:hAnsi="Arial" w:cs="Arial"/>
          <w:b/>
          <w:sz w:val="22"/>
        </w:rPr>
        <w:t>C</w:t>
      </w:r>
      <w:r w:rsidRPr="00CF7879">
        <w:rPr>
          <w:rFonts w:ascii="Arial" w:hAnsi="Arial" w:cs="Arial"/>
          <w:sz w:val="22"/>
        </w:rPr>
        <w:t>).</w:t>
      </w:r>
    </w:p>
    <w:p w:rsidR="00CF1662" w:rsidRDefault="00CF1662" w:rsidP="00CF1662">
      <w:pPr>
        <w:rPr>
          <w:rFonts w:ascii="Arial" w:hAnsi="Arial" w:cs="Arial"/>
          <w:sz w:val="22"/>
        </w:rPr>
      </w:pPr>
    </w:p>
    <w:p w:rsidR="00CF1662" w:rsidRDefault="009A703B" w:rsidP="00CF1662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>
            <wp:extent cx="5274310" cy="436308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662" w:rsidRDefault="00EA6BC3" w:rsidP="00CF1662">
      <w:pPr>
        <w:rPr>
          <w:rFonts w:ascii="Arial" w:hAnsi="Arial" w:cs="Arial"/>
          <w:sz w:val="22"/>
        </w:rPr>
      </w:pPr>
      <w:r w:rsidRPr="00EA6BC3">
        <w:rPr>
          <w:rFonts w:ascii="Arial" w:hAnsi="Arial" w:cs="Arial"/>
          <w:b/>
          <w:sz w:val="22"/>
        </w:rPr>
        <w:t>Supplementary Fig.</w:t>
      </w:r>
      <w:r w:rsidR="00CF1662" w:rsidRPr="002D5571">
        <w:rPr>
          <w:rFonts w:ascii="Arial" w:hAnsi="Arial" w:cs="Arial"/>
          <w:b/>
          <w:sz w:val="22"/>
        </w:rPr>
        <w:t xml:space="preserve"> S4. </w:t>
      </w:r>
      <w:r w:rsidR="00E16CDB" w:rsidRPr="00E16CDB">
        <w:rPr>
          <w:rFonts w:ascii="Arial" w:hAnsi="Arial" w:cs="Arial"/>
          <w:b/>
          <w:sz w:val="22"/>
        </w:rPr>
        <w:t xml:space="preserve">T </w:t>
      </w:r>
      <w:r w:rsidR="00E16CDB">
        <w:rPr>
          <w:rFonts w:ascii="Arial" w:hAnsi="Arial" w:cs="Arial"/>
          <w:b/>
          <w:sz w:val="22"/>
        </w:rPr>
        <w:t>cell subclustering by scRNA-seq</w:t>
      </w:r>
      <w:r w:rsidR="00CF1662">
        <w:rPr>
          <w:rFonts w:ascii="Arial" w:hAnsi="Arial" w:cs="Arial"/>
          <w:b/>
          <w:sz w:val="22"/>
        </w:rPr>
        <w:t>.</w:t>
      </w:r>
      <w:r w:rsidR="00CF1662">
        <w:rPr>
          <w:rFonts w:ascii="Arial" w:hAnsi="Arial" w:cs="Arial" w:hint="eastAsia"/>
          <w:sz w:val="22"/>
        </w:rPr>
        <w:t xml:space="preserve"> </w:t>
      </w:r>
      <w:r w:rsidR="00CF1662" w:rsidRPr="004A49C2">
        <w:rPr>
          <w:rFonts w:ascii="Arial" w:hAnsi="Arial" w:cs="Arial"/>
          <w:sz w:val="22"/>
        </w:rPr>
        <w:t xml:space="preserve">Related to </w:t>
      </w:r>
      <w:r w:rsidRPr="00EA6BC3">
        <w:rPr>
          <w:rFonts w:ascii="Arial" w:hAnsi="Arial" w:cs="Arial"/>
          <w:sz w:val="22"/>
        </w:rPr>
        <w:t>Fig.</w:t>
      </w:r>
      <w:r w:rsidR="00CF1662" w:rsidRPr="004A49C2">
        <w:rPr>
          <w:rFonts w:ascii="Arial" w:hAnsi="Arial" w:cs="Arial"/>
          <w:sz w:val="22"/>
        </w:rPr>
        <w:t xml:space="preserve"> 3.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A</w:t>
      </w:r>
      <w:r w:rsidRPr="00E16CDB">
        <w:rPr>
          <w:rFonts w:ascii="Arial" w:hAnsi="Arial" w:cs="Arial"/>
          <w:sz w:val="22"/>
        </w:rPr>
        <w:t xml:space="preserve">) UMAP plot of T cells from normal human thymus (n=1) and TETs samples (n=6), colored by the cell cluster. 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B</w:t>
      </w:r>
      <w:r w:rsidRPr="00E16CDB">
        <w:rPr>
          <w:rFonts w:ascii="Arial" w:hAnsi="Arial" w:cs="Arial"/>
          <w:sz w:val="22"/>
        </w:rPr>
        <w:t xml:space="preserve">) Dot plot for marker genes expression in each cluster of T cells. 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C</w:t>
      </w:r>
      <w:r w:rsidRPr="00E16CDB">
        <w:rPr>
          <w:rFonts w:ascii="Arial" w:hAnsi="Arial" w:cs="Arial"/>
          <w:sz w:val="22"/>
        </w:rPr>
        <w:t>) UMAP plot of DP cells from normal human thymus (n=1) and TETs samples (n=6), colored by the gene expression (MKI67 and CDK1). (DP, double-positive T; P, proliferating; Q, quiescent)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D</w:t>
      </w:r>
      <w:r w:rsidRPr="00E16CDB">
        <w:rPr>
          <w:rFonts w:ascii="Arial" w:hAnsi="Arial" w:cs="Arial"/>
          <w:sz w:val="22"/>
        </w:rPr>
        <w:t>) Violin plots showing expression of the MKI67 and CDK1 genes among different cluster of DP cells.</w:t>
      </w:r>
    </w:p>
    <w:p w:rsidR="00CF1662" w:rsidRPr="000A5C51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E</w:t>
      </w:r>
      <w:r w:rsidRPr="00E16CDB">
        <w:rPr>
          <w:rFonts w:ascii="Arial" w:hAnsi="Arial" w:cs="Arial"/>
          <w:sz w:val="22"/>
        </w:rPr>
        <w:t>) Heatmap showing the normalized expression of marker genes of CD3</w:t>
      </w:r>
      <w:r w:rsidRPr="00EC4FA3">
        <w:rPr>
          <w:rFonts w:ascii="Arial" w:hAnsi="Arial" w:cs="Arial"/>
          <w:sz w:val="22"/>
          <w:vertAlign w:val="superscript"/>
        </w:rPr>
        <w:t>-</w:t>
      </w:r>
      <w:r w:rsidRPr="00E16CDB">
        <w:rPr>
          <w:rFonts w:ascii="Arial" w:hAnsi="Arial" w:cs="Arial"/>
          <w:sz w:val="22"/>
        </w:rPr>
        <w:t xml:space="preserve"> DP cell within two subsets (defined by scRNA-seq) of DP cells.</w:t>
      </w:r>
    </w:p>
    <w:p w:rsidR="00CF1662" w:rsidRDefault="00CF1662" w:rsidP="00CF1662">
      <w:pPr>
        <w:rPr>
          <w:rFonts w:ascii="Arial" w:hAnsi="Arial" w:cs="Arial"/>
          <w:sz w:val="22"/>
        </w:rPr>
      </w:pPr>
    </w:p>
    <w:p w:rsidR="00CF1662" w:rsidRPr="002D5571" w:rsidRDefault="009A703B" w:rsidP="00CF7879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>
            <wp:extent cx="5274310" cy="76187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662" w:rsidRDefault="00EA6BC3" w:rsidP="00CF1662">
      <w:pPr>
        <w:rPr>
          <w:rFonts w:ascii="Arial" w:hAnsi="Arial" w:cs="Arial"/>
          <w:sz w:val="22"/>
        </w:rPr>
      </w:pPr>
      <w:r w:rsidRPr="00EA6BC3">
        <w:rPr>
          <w:rFonts w:ascii="Arial" w:hAnsi="Arial" w:cs="Arial"/>
          <w:b/>
          <w:sz w:val="22"/>
        </w:rPr>
        <w:t>Supplementary Fig.</w:t>
      </w:r>
      <w:r w:rsidR="00CF1662">
        <w:rPr>
          <w:rFonts w:ascii="Arial" w:hAnsi="Arial" w:cs="Arial"/>
          <w:b/>
          <w:sz w:val="22"/>
        </w:rPr>
        <w:t xml:space="preserve"> S5</w:t>
      </w:r>
      <w:r w:rsidR="00CF1662" w:rsidRPr="002D5571">
        <w:rPr>
          <w:rFonts w:ascii="Arial" w:hAnsi="Arial" w:cs="Arial"/>
          <w:b/>
          <w:sz w:val="22"/>
        </w:rPr>
        <w:t xml:space="preserve">. </w:t>
      </w:r>
      <w:r w:rsidR="00E16CDB" w:rsidRPr="00E16CDB">
        <w:rPr>
          <w:rFonts w:ascii="Arial" w:hAnsi="Arial" w:cs="Arial"/>
          <w:b/>
          <w:sz w:val="22"/>
        </w:rPr>
        <w:t>Bias in VJ gene usage and pairing during T cell development</w:t>
      </w:r>
      <w:r w:rsidR="00CF1662" w:rsidRPr="002D5571">
        <w:rPr>
          <w:rFonts w:ascii="Arial" w:hAnsi="Arial" w:cs="Arial"/>
          <w:b/>
          <w:sz w:val="22"/>
        </w:rPr>
        <w:t>.</w:t>
      </w:r>
      <w:r w:rsidR="00CF1662" w:rsidRPr="002D5571">
        <w:rPr>
          <w:rFonts w:ascii="Arial" w:hAnsi="Arial" w:cs="Arial"/>
          <w:sz w:val="22"/>
        </w:rPr>
        <w:t xml:space="preserve"> </w:t>
      </w:r>
      <w:r w:rsidR="00CF1662" w:rsidRPr="004A49C2">
        <w:rPr>
          <w:rFonts w:ascii="Arial" w:hAnsi="Arial" w:cs="Arial"/>
          <w:sz w:val="22"/>
        </w:rPr>
        <w:t xml:space="preserve">Related to </w:t>
      </w:r>
      <w:r w:rsidRPr="00EA6BC3">
        <w:rPr>
          <w:rFonts w:ascii="Arial" w:hAnsi="Arial" w:cs="Arial"/>
          <w:sz w:val="22"/>
        </w:rPr>
        <w:t>Fig.</w:t>
      </w:r>
      <w:r w:rsidR="00CF1662" w:rsidRPr="004A49C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4</w:t>
      </w:r>
      <w:r w:rsidR="00CF1662" w:rsidRPr="004A49C2">
        <w:rPr>
          <w:rFonts w:ascii="Arial" w:hAnsi="Arial" w:cs="Arial"/>
          <w:sz w:val="22"/>
        </w:rPr>
        <w:t>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A</w:t>
      </w:r>
      <w:r w:rsidRPr="00E16CDB">
        <w:rPr>
          <w:rFonts w:ascii="Arial" w:hAnsi="Arial" w:cs="Arial"/>
          <w:sz w:val="22"/>
        </w:rPr>
        <w:t>) Heat map showing the normalized proportion of each TCRβ V and J gene segment present in DP, CD4</w:t>
      </w:r>
      <w:r w:rsidRPr="00EC4FA3">
        <w:rPr>
          <w:rFonts w:ascii="Arial" w:hAnsi="Arial" w:cs="Arial"/>
          <w:sz w:val="22"/>
          <w:vertAlign w:val="superscript"/>
        </w:rPr>
        <w:t>+</w:t>
      </w:r>
      <w:r w:rsidRPr="00E16CDB">
        <w:rPr>
          <w:rFonts w:ascii="Arial" w:hAnsi="Arial" w:cs="Arial"/>
          <w:sz w:val="22"/>
        </w:rPr>
        <w:t xml:space="preserve"> T cells and CD8</w:t>
      </w:r>
      <w:r w:rsidRPr="00EC4FA3">
        <w:rPr>
          <w:rFonts w:ascii="Arial" w:hAnsi="Arial" w:cs="Arial"/>
          <w:sz w:val="22"/>
          <w:vertAlign w:val="superscript"/>
        </w:rPr>
        <w:t>+</w:t>
      </w:r>
      <w:r w:rsidRPr="00E16CDB">
        <w:rPr>
          <w:rFonts w:ascii="Arial" w:hAnsi="Arial" w:cs="Arial"/>
          <w:sz w:val="22"/>
        </w:rPr>
        <w:t xml:space="preserve"> T cells. 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lastRenderedPageBreak/>
        <w:t>(</w:t>
      </w:r>
      <w:r w:rsidR="00DA4EB5" w:rsidRPr="00EC4FA3">
        <w:rPr>
          <w:rFonts w:ascii="Arial" w:hAnsi="Arial" w:cs="Arial"/>
          <w:b/>
          <w:sz w:val="22"/>
        </w:rPr>
        <w:t>B</w:t>
      </w:r>
      <w:r w:rsidRPr="00E16CDB">
        <w:rPr>
          <w:rFonts w:ascii="Arial" w:hAnsi="Arial" w:cs="Arial"/>
          <w:sz w:val="22"/>
        </w:rPr>
        <w:t>) Heat map showing the frequency of V-J gene pairs in TCRβ locus of DP, CD4</w:t>
      </w:r>
      <w:r w:rsidRPr="00EC4FA3">
        <w:rPr>
          <w:rFonts w:ascii="Arial" w:hAnsi="Arial" w:cs="Arial"/>
          <w:sz w:val="22"/>
          <w:vertAlign w:val="superscript"/>
        </w:rPr>
        <w:t>+</w:t>
      </w:r>
      <w:r w:rsidRPr="00E16CDB">
        <w:rPr>
          <w:rFonts w:ascii="Arial" w:hAnsi="Arial" w:cs="Arial"/>
          <w:sz w:val="22"/>
        </w:rPr>
        <w:t xml:space="preserve"> T cells and CD8</w:t>
      </w:r>
      <w:r w:rsidRPr="00EC4FA3">
        <w:rPr>
          <w:rFonts w:ascii="Arial" w:hAnsi="Arial" w:cs="Arial"/>
          <w:sz w:val="22"/>
          <w:vertAlign w:val="superscript"/>
        </w:rPr>
        <w:t>+</w:t>
      </w:r>
      <w:r w:rsidRPr="00E16CDB">
        <w:rPr>
          <w:rFonts w:ascii="Arial" w:hAnsi="Arial" w:cs="Arial"/>
          <w:sz w:val="22"/>
        </w:rPr>
        <w:t xml:space="preserve"> T cells. 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C</w:t>
      </w:r>
      <w:r w:rsidRPr="00E16CDB">
        <w:rPr>
          <w:rFonts w:ascii="Arial" w:hAnsi="Arial" w:cs="Arial"/>
          <w:sz w:val="22"/>
        </w:rPr>
        <w:t>) Same scheme as in (</w:t>
      </w:r>
      <w:r w:rsidR="00DA4EB5" w:rsidRPr="00EC4FA3">
        <w:rPr>
          <w:rFonts w:ascii="Arial" w:hAnsi="Arial" w:cs="Arial"/>
          <w:b/>
          <w:sz w:val="22"/>
        </w:rPr>
        <w:t>A</w:t>
      </w:r>
      <w:r w:rsidRPr="00E16CDB">
        <w:rPr>
          <w:rFonts w:ascii="Arial" w:hAnsi="Arial" w:cs="Arial"/>
          <w:sz w:val="22"/>
        </w:rPr>
        <w:t>) applied to TCRα V and J gene segments.</w:t>
      </w:r>
    </w:p>
    <w:p w:rsidR="00CF1662" w:rsidRPr="002D5571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D</w:t>
      </w:r>
      <w:r w:rsidRPr="00E16CDB">
        <w:rPr>
          <w:rFonts w:ascii="Arial" w:hAnsi="Arial" w:cs="Arial"/>
          <w:sz w:val="22"/>
        </w:rPr>
        <w:t>) Same scheme as in (</w:t>
      </w:r>
      <w:r w:rsidR="00DA4EB5" w:rsidRPr="00EC4FA3">
        <w:rPr>
          <w:rFonts w:ascii="Arial" w:hAnsi="Arial" w:cs="Arial"/>
          <w:b/>
          <w:sz w:val="22"/>
        </w:rPr>
        <w:t>B</w:t>
      </w:r>
      <w:r w:rsidRPr="00E16CDB">
        <w:rPr>
          <w:rFonts w:ascii="Arial" w:hAnsi="Arial" w:cs="Arial"/>
          <w:sz w:val="22"/>
        </w:rPr>
        <w:t>) applied to TCRα V-J gene pairs.</w:t>
      </w:r>
    </w:p>
    <w:p w:rsidR="00CF1662" w:rsidRPr="002D5571" w:rsidRDefault="009A703B" w:rsidP="00CF1662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>
            <wp:extent cx="5274310" cy="7618730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6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662" w:rsidRPr="002D5571" w:rsidRDefault="00EA6BC3" w:rsidP="00CF1662">
      <w:pPr>
        <w:rPr>
          <w:rFonts w:ascii="Arial" w:hAnsi="Arial" w:cs="Arial"/>
          <w:sz w:val="22"/>
        </w:rPr>
      </w:pPr>
      <w:r w:rsidRPr="00EA6BC3">
        <w:rPr>
          <w:rFonts w:ascii="Arial" w:hAnsi="Arial" w:cs="Arial"/>
          <w:b/>
          <w:sz w:val="22"/>
        </w:rPr>
        <w:t>Supplementary Fig.</w:t>
      </w:r>
      <w:r w:rsidR="00CF1662">
        <w:rPr>
          <w:rFonts w:ascii="Arial" w:hAnsi="Arial" w:cs="Arial"/>
          <w:b/>
          <w:sz w:val="22"/>
        </w:rPr>
        <w:t xml:space="preserve"> S6</w:t>
      </w:r>
      <w:r w:rsidR="00CF1662" w:rsidRPr="002D5571">
        <w:rPr>
          <w:rFonts w:ascii="Arial" w:hAnsi="Arial" w:cs="Arial"/>
          <w:b/>
          <w:sz w:val="22"/>
        </w:rPr>
        <w:t xml:space="preserve">. </w:t>
      </w:r>
      <w:r w:rsidR="00E16CDB" w:rsidRPr="00E16CDB">
        <w:rPr>
          <w:rFonts w:ascii="Arial" w:hAnsi="Arial" w:cs="Arial"/>
          <w:b/>
          <w:sz w:val="22"/>
        </w:rPr>
        <w:t xml:space="preserve">Heterogeneity of epithelial cell among different group of </w:t>
      </w:r>
      <w:r w:rsidR="00E16CDB" w:rsidRPr="00E16CDB">
        <w:rPr>
          <w:rFonts w:ascii="Arial" w:hAnsi="Arial" w:cs="Arial"/>
          <w:b/>
          <w:sz w:val="22"/>
        </w:rPr>
        <w:lastRenderedPageBreak/>
        <w:t>TETs</w:t>
      </w:r>
      <w:r w:rsidR="00CF1662" w:rsidRPr="002D5571">
        <w:rPr>
          <w:rFonts w:ascii="Arial" w:hAnsi="Arial" w:cs="Arial"/>
          <w:b/>
          <w:sz w:val="22"/>
        </w:rPr>
        <w:t xml:space="preserve">. </w:t>
      </w:r>
      <w:r w:rsidR="00CF1662" w:rsidRPr="004A49C2">
        <w:rPr>
          <w:rFonts w:ascii="Arial" w:hAnsi="Arial" w:cs="Arial"/>
          <w:sz w:val="22"/>
        </w:rPr>
        <w:t xml:space="preserve">Related to </w:t>
      </w:r>
      <w:r w:rsidRPr="00EA6BC3">
        <w:rPr>
          <w:rFonts w:ascii="Arial" w:hAnsi="Arial" w:cs="Arial"/>
          <w:sz w:val="22"/>
        </w:rPr>
        <w:t>Fig.</w:t>
      </w:r>
      <w:r w:rsidR="00CF1662" w:rsidRPr="004A49C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5</w:t>
      </w:r>
      <w:r w:rsidR="00CF1662" w:rsidRPr="004A49C2">
        <w:rPr>
          <w:rFonts w:ascii="Arial" w:hAnsi="Arial" w:cs="Arial"/>
          <w:sz w:val="22"/>
        </w:rPr>
        <w:t>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A</w:t>
      </w:r>
      <w:r w:rsidRPr="00E16CDB">
        <w:rPr>
          <w:rFonts w:ascii="Arial" w:hAnsi="Arial" w:cs="Arial"/>
          <w:sz w:val="22"/>
        </w:rPr>
        <w:t>) Same UMAP plot as (F</w:t>
      </w:r>
      <w:r w:rsidR="00EC4FA3" w:rsidRPr="00EC4FA3">
        <w:rPr>
          <w:rFonts w:ascii="Arial" w:hAnsi="Arial" w:cs="Arial"/>
          <w:sz w:val="22"/>
        </w:rPr>
        <w:t>igure</w:t>
      </w:r>
      <w:r w:rsidRPr="00E16CDB">
        <w:rPr>
          <w:rFonts w:ascii="Arial" w:hAnsi="Arial" w:cs="Arial"/>
          <w:sz w:val="22"/>
        </w:rPr>
        <w:t xml:space="preserve"> S3</w:t>
      </w:r>
      <w:r w:rsidR="00EC4FA3">
        <w:rPr>
          <w:rFonts w:ascii="Arial" w:hAnsi="Arial" w:cs="Arial"/>
          <w:sz w:val="22"/>
        </w:rPr>
        <w:t>C</w:t>
      </w:r>
      <w:r w:rsidRPr="00E16CDB">
        <w:rPr>
          <w:rFonts w:ascii="Arial" w:hAnsi="Arial" w:cs="Arial"/>
          <w:sz w:val="22"/>
        </w:rPr>
        <w:t>) of the cellular composition from samples of normal thymus, colored by cell types of epithelial cell and other cells.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B</w:t>
      </w:r>
      <w:r w:rsidRPr="00E16CDB">
        <w:rPr>
          <w:rFonts w:ascii="Arial" w:hAnsi="Arial" w:cs="Arial"/>
          <w:sz w:val="22"/>
        </w:rPr>
        <w:t xml:space="preserve">) Violin plots showing protein expression of Ki67 of epithelial cell among groups by CyTOF (n=3 N, 4 T1, 4 T2 and 4 T3. P values were determined by two-tailed Student’s t-test; **P </w:t>
      </w:r>
      <w:r w:rsidR="00DA4EB5">
        <w:rPr>
          <w:rFonts w:ascii="Arial" w:hAnsi="Arial" w:cs="Arial"/>
          <w:sz w:val="22"/>
        </w:rPr>
        <w:t>&lt; 0.01).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C</w:t>
      </w:r>
      <w:r w:rsidRPr="00E16CDB">
        <w:rPr>
          <w:rFonts w:ascii="Arial" w:hAnsi="Arial" w:cs="Arial"/>
          <w:sz w:val="22"/>
        </w:rPr>
        <w:t>) UMAP plot of epithelial cells from normal human thymus (n=1) and TETs samples (n=6</w:t>
      </w:r>
      <w:r w:rsidR="00DA4EB5">
        <w:rPr>
          <w:rFonts w:ascii="Arial" w:hAnsi="Arial" w:cs="Arial"/>
          <w:sz w:val="22"/>
        </w:rPr>
        <w:t>), colored by the cell cluster.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EC4FA3" w:rsidRPr="00EC4FA3">
        <w:rPr>
          <w:rFonts w:ascii="Arial" w:hAnsi="Arial" w:cs="Arial"/>
          <w:b/>
          <w:sz w:val="22"/>
        </w:rPr>
        <w:t>D</w:t>
      </w:r>
      <w:r w:rsidRPr="00E16CDB">
        <w:rPr>
          <w:rFonts w:ascii="Arial" w:hAnsi="Arial" w:cs="Arial"/>
          <w:sz w:val="22"/>
        </w:rPr>
        <w:t>) Dot plot for marker genes expression in ea</w:t>
      </w:r>
      <w:r w:rsidR="00DA4EB5">
        <w:rPr>
          <w:rFonts w:ascii="Arial" w:hAnsi="Arial" w:cs="Arial"/>
          <w:sz w:val="22"/>
        </w:rPr>
        <w:t>ch cluster of epithelial cells.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E</w:t>
      </w:r>
      <w:r w:rsidRPr="00E16CDB">
        <w:rPr>
          <w:rFonts w:ascii="Arial" w:hAnsi="Arial" w:cs="Arial"/>
          <w:sz w:val="22"/>
        </w:rPr>
        <w:t>) Violin plots showing expression level of the genes associated with positive and negative selection functions among different epithelial cell subpopulations.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F</w:t>
      </w:r>
      <w:r w:rsidRPr="00E16CDB">
        <w:rPr>
          <w:rFonts w:ascii="Arial" w:hAnsi="Arial" w:cs="Arial"/>
          <w:sz w:val="22"/>
        </w:rPr>
        <w:t xml:space="preserve">) Heatmap showing the normalized expression of marker genes related to thymic epithelial progenitor cells (TEPCs) within cTEC-like cell, mcTEC-like </w:t>
      </w:r>
      <w:r w:rsidR="00DA4EB5">
        <w:rPr>
          <w:rFonts w:ascii="Arial" w:hAnsi="Arial" w:cs="Arial"/>
          <w:sz w:val="22"/>
        </w:rPr>
        <w:t>cell and KRT14+ mTEC-like cell.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G</w:t>
      </w:r>
      <w:r w:rsidRPr="00E16CDB">
        <w:rPr>
          <w:rFonts w:ascii="Arial" w:hAnsi="Arial" w:cs="Arial"/>
          <w:sz w:val="22"/>
        </w:rPr>
        <w:t>) Dot plots depicting the relative level of expression of selected NF-κB signaling pathway genes of mcTEC-like cell between type 1 and type 2 TETs.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H</w:t>
      </w:r>
      <w:r w:rsidRPr="00E16CDB">
        <w:rPr>
          <w:rFonts w:ascii="Arial" w:hAnsi="Arial" w:cs="Arial"/>
          <w:sz w:val="22"/>
        </w:rPr>
        <w:t>) Representative immunofluorescence (IF) staining images showing EPCAM (red), AIRE (green) and DAPI (nuclei, blue) in TET samples.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I</w:t>
      </w:r>
      <w:r w:rsidRPr="00E16CDB">
        <w:rPr>
          <w:rFonts w:ascii="Arial" w:hAnsi="Arial" w:cs="Arial"/>
          <w:sz w:val="22"/>
        </w:rPr>
        <w:t xml:space="preserve">) Heat map of chemokine interactions among subpopulations of T cell and epithelial cell, where the chemokine is expressed by the epithelial cell type and the cognate receptor by the T cell type. (DN, double-negative T cells; DP, double-positive T cells; </w:t>
      </w:r>
      <w:r w:rsidR="00DA4EB5">
        <w:rPr>
          <w:rFonts w:ascii="Arial" w:hAnsi="Arial" w:cs="Arial"/>
          <w:sz w:val="22"/>
        </w:rPr>
        <w:t>P, proliferating; Q, quiescent).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J</w:t>
      </w:r>
      <w:r w:rsidRPr="00E16CDB">
        <w:rPr>
          <w:rFonts w:ascii="Arial" w:hAnsi="Arial" w:cs="Arial"/>
          <w:sz w:val="22"/>
        </w:rPr>
        <w:t>) KEGG pathway analysis of genes that are significantly (P &lt; 0.01) upregulated in DP cell of type 2 TETs compared to normal thymus. (DP, double-positive T cells; T2, type 2; N, normal thymus)</w:t>
      </w:r>
      <w:r w:rsidR="00DA4EB5">
        <w:rPr>
          <w:rFonts w:ascii="Arial" w:hAnsi="Arial" w:cs="Arial"/>
          <w:sz w:val="22"/>
        </w:rPr>
        <w:t>.</w:t>
      </w:r>
    </w:p>
    <w:p w:rsidR="00CF1662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K</w:t>
      </w:r>
      <w:r w:rsidRPr="00E16CDB">
        <w:rPr>
          <w:rFonts w:ascii="Arial" w:hAnsi="Arial" w:cs="Arial"/>
          <w:sz w:val="22"/>
        </w:rPr>
        <w:t>) Violin plot showing protein expression level of HLA-DR on epithelial cell among groups by CyTOF</w:t>
      </w:r>
      <w:r w:rsidR="00DA4EB5">
        <w:rPr>
          <w:rFonts w:ascii="Arial" w:hAnsi="Arial" w:cs="Arial"/>
          <w:sz w:val="22"/>
        </w:rPr>
        <w:t>.</w:t>
      </w:r>
      <w:r w:rsidRPr="00E16CDB">
        <w:rPr>
          <w:rFonts w:ascii="Arial" w:hAnsi="Arial" w:cs="Arial"/>
          <w:sz w:val="22"/>
        </w:rPr>
        <w:t xml:space="preserve"> (n=3 N, 4 T1, 4 T2 and 4 T3. P values were determined by two-tailed Student’s t-test; *P &lt; 0.01, **P &lt; 0.01 and ***P &lt; 0.001).</w:t>
      </w:r>
    </w:p>
    <w:p w:rsidR="00CF1662" w:rsidRDefault="00CF1662" w:rsidP="00CF1662">
      <w:pPr>
        <w:rPr>
          <w:rFonts w:ascii="Arial" w:hAnsi="Arial" w:cs="Arial"/>
          <w:sz w:val="22"/>
        </w:rPr>
      </w:pPr>
    </w:p>
    <w:p w:rsidR="00CF1662" w:rsidRPr="002D5571" w:rsidRDefault="009A703B" w:rsidP="00CF7879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>
            <wp:extent cx="5274310" cy="210121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7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662" w:rsidRDefault="00EA6BC3" w:rsidP="00CF1662">
      <w:pPr>
        <w:rPr>
          <w:rFonts w:ascii="Arial" w:hAnsi="Arial" w:cs="Arial"/>
          <w:sz w:val="22"/>
        </w:rPr>
      </w:pPr>
      <w:r w:rsidRPr="00EA6BC3">
        <w:rPr>
          <w:rFonts w:ascii="Arial" w:hAnsi="Arial" w:cs="Arial"/>
          <w:b/>
          <w:sz w:val="22"/>
        </w:rPr>
        <w:t>Supplementary Fig.</w:t>
      </w:r>
      <w:r w:rsidR="00CF1662">
        <w:rPr>
          <w:rFonts w:ascii="Arial" w:hAnsi="Arial" w:cs="Arial"/>
          <w:b/>
          <w:sz w:val="22"/>
        </w:rPr>
        <w:t xml:space="preserve"> S7</w:t>
      </w:r>
      <w:r w:rsidR="00CF1662" w:rsidRPr="002D5571">
        <w:rPr>
          <w:rFonts w:ascii="Arial" w:hAnsi="Arial" w:cs="Arial"/>
          <w:b/>
          <w:sz w:val="22"/>
        </w:rPr>
        <w:t xml:space="preserve">. </w:t>
      </w:r>
      <w:r w:rsidR="00E16CDB" w:rsidRPr="00E16CDB">
        <w:rPr>
          <w:rFonts w:ascii="Arial" w:hAnsi="Arial" w:cs="Arial"/>
          <w:b/>
          <w:sz w:val="22"/>
        </w:rPr>
        <w:t>Enrichment and activation of CD8</w:t>
      </w:r>
      <w:r w:rsidR="00E16CDB" w:rsidRPr="00EC4FA3">
        <w:rPr>
          <w:rFonts w:ascii="Arial" w:hAnsi="Arial" w:cs="Arial"/>
          <w:b/>
          <w:sz w:val="22"/>
          <w:vertAlign w:val="superscript"/>
        </w:rPr>
        <w:t>+</w:t>
      </w:r>
      <w:r w:rsidR="00E16CDB" w:rsidRPr="00E16CDB">
        <w:rPr>
          <w:rFonts w:ascii="Arial" w:hAnsi="Arial" w:cs="Arial"/>
          <w:b/>
          <w:sz w:val="22"/>
        </w:rPr>
        <w:t xml:space="preserve"> T</w:t>
      </w:r>
      <w:r w:rsidR="00E16CDB" w:rsidRPr="00EC4FA3">
        <w:rPr>
          <w:rFonts w:ascii="Arial" w:hAnsi="Arial" w:cs="Arial"/>
          <w:b/>
          <w:sz w:val="22"/>
          <w:vertAlign w:val="subscript"/>
        </w:rPr>
        <w:t>RM</w:t>
      </w:r>
      <w:r w:rsidR="00E16CDB" w:rsidRPr="00E16CDB">
        <w:rPr>
          <w:rFonts w:ascii="Arial" w:hAnsi="Arial" w:cs="Arial"/>
          <w:b/>
          <w:sz w:val="22"/>
        </w:rPr>
        <w:t xml:space="preserve"> cells in type 3 TETs.</w:t>
      </w:r>
      <w:r w:rsidR="00CF1662" w:rsidRPr="002D5571">
        <w:rPr>
          <w:rFonts w:ascii="Arial" w:hAnsi="Arial" w:cs="Arial"/>
          <w:sz w:val="22"/>
        </w:rPr>
        <w:t xml:space="preserve"> </w:t>
      </w:r>
      <w:r w:rsidR="00CF1662" w:rsidRPr="004A49C2">
        <w:rPr>
          <w:rFonts w:ascii="Arial" w:hAnsi="Arial" w:cs="Arial"/>
          <w:sz w:val="22"/>
        </w:rPr>
        <w:t xml:space="preserve">Related to </w:t>
      </w:r>
      <w:r w:rsidRPr="00EA6BC3">
        <w:rPr>
          <w:rFonts w:ascii="Arial" w:hAnsi="Arial" w:cs="Arial"/>
          <w:sz w:val="22"/>
        </w:rPr>
        <w:t>Fig.</w:t>
      </w:r>
      <w:r w:rsidR="00CF1662" w:rsidRPr="004A49C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6</w:t>
      </w:r>
      <w:r w:rsidR="00CF1662" w:rsidRPr="004A49C2">
        <w:rPr>
          <w:rFonts w:ascii="Arial" w:hAnsi="Arial" w:cs="Arial"/>
          <w:sz w:val="22"/>
        </w:rPr>
        <w:t xml:space="preserve">. </w:t>
      </w:r>
    </w:p>
    <w:p w:rsidR="00E16CDB" w:rsidRPr="00E16CDB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A</w:t>
      </w:r>
      <w:r w:rsidRPr="00E16CDB">
        <w:rPr>
          <w:rFonts w:ascii="Arial" w:hAnsi="Arial" w:cs="Arial"/>
          <w:sz w:val="22"/>
        </w:rPr>
        <w:t>) Representative flow cytometric plot of CD8</w:t>
      </w:r>
      <w:r w:rsidRPr="00EC4FA3">
        <w:rPr>
          <w:rFonts w:ascii="Arial" w:hAnsi="Arial" w:cs="Arial"/>
          <w:sz w:val="22"/>
          <w:vertAlign w:val="superscript"/>
        </w:rPr>
        <w:t>+</w:t>
      </w:r>
      <w:r w:rsidRPr="00E16CDB">
        <w:rPr>
          <w:rFonts w:ascii="Arial" w:hAnsi="Arial" w:cs="Arial"/>
          <w:sz w:val="22"/>
        </w:rPr>
        <w:t xml:space="preserve"> T</w:t>
      </w:r>
      <w:r w:rsidRPr="00EC4FA3">
        <w:rPr>
          <w:rFonts w:ascii="Arial" w:hAnsi="Arial" w:cs="Arial"/>
          <w:sz w:val="22"/>
          <w:vertAlign w:val="subscript"/>
        </w:rPr>
        <w:t>RM</w:t>
      </w:r>
      <w:r w:rsidRPr="00E16CDB">
        <w:rPr>
          <w:rFonts w:ascii="Arial" w:hAnsi="Arial" w:cs="Arial"/>
          <w:sz w:val="22"/>
        </w:rPr>
        <w:t xml:space="preserve"> (CD69</w:t>
      </w:r>
      <w:r w:rsidRPr="00EC4FA3">
        <w:rPr>
          <w:rFonts w:ascii="Arial" w:hAnsi="Arial" w:cs="Arial"/>
          <w:sz w:val="22"/>
          <w:vertAlign w:val="superscript"/>
        </w:rPr>
        <w:t>+</w:t>
      </w:r>
      <w:r w:rsidR="00EC4FA3">
        <w:rPr>
          <w:rFonts w:ascii="Arial" w:hAnsi="Arial" w:cs="Arial"/>
          <w:sz w:val="22"/>
        </w:rPr>
        <w:t xml:space="preserve"> </w:t>
      </w:r>
      <w:r w:rsidRPr="00E16CDB">
        <w:rPr>
          <w:rFonts w:ascii="Arial" w:hAnsi="Arial" w:cs="Arial"/>
          <w:sz w:val="22"/>
        </w:rPr>
        <w:t>CD103</w:t>
      </w:r>
      <w:r w:rsidRPr="00EC4FA3">
        <w:rPr>
          <w:rFonts w:ascii="Arial" w:hAnsi="Arial" w:cs="Arial"/>
          <w:sz w:val="22"/>
          <w:vertAlign w:val="superscript"/>
        </w:rPr>
        <w:t>+</w:t>
      </w:r>
      <w:r w:rsidR="00EC4FA3">
        <w:rPr>
          <w:rFonts w:ascii="Arial" w:hAnsi="Arial" w:cs="Arial"/>
          <w:sz w:val="22"/>
        </w:rPr>
        <w:t xml:space="preserve"> </w:t>
      </w:r>
      <w:r w:rsidRPr="00E16CDB">
        <w:rPr>
          <w:rFonts w:ascii="Arial" w:hAnsi="Arial" w:cs="Arial"/>
          <w:sz w:val="22"/>
        </w:rPr>
        <w:t>CD8</w:t>
      </w:r>
      <w:r w:rsidRPr="00EC4FA3">
        <w:rPr>
          <w:rFonts w:ascii="Arial" w:hAnsi="Arial" w:cs="Arial"/>
          <w:sz w:val="22"/>
          <w:vertAlign w:val="superscript"/>
        </w:rPr>
        <w:t>+</w:t>
      </w:r>
      <w:r w:rsidRPr="00E16CDB">
        <w:rPr>
          <w:rFonts w:ascii="Arial" w:hAnsi="Arial" w:cs="Arial"/>
          <w:sz w:val="22"/>
        </w:rPr>
        <w:t xml:space="preserve"> T) cells of TETs in three types.</w:t>
      </w:r>
    </w:p>
    <w:p w:rsidR="00CF1662" w:rsidRDefault="00E16CDB" w:rsidP="00E16CDB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lastRenderedPageBreak/>
        <w:t>(</w:t>
      </w:r>
      <w:r w:rsidR="00DA4EB5" w:rsidRPr="00EC4FA3">
        <w:rPr>
          <w:rFonts w:ascii="Arial" w:hAnsi="Arial" w:cs="Arial"/>
          <w:b/>
          <w:sz w:val="22"/>
        </w:rPr>
        <w:t>B</w:t>
      </w:r>
      <w:r w:rsidRPr="00E16CDB">
        <w:rPr>
          <w:rFonts w:ascii="Arial" w:hAnsi="Arial" w:cs="Arial"/>
          <w:sz w:val="22"/>
        </w:rPr>
        <w:t>) Violin plots showing protein expression level of CD38, CD39, Ki67, CD137 and CD101 on CD8</w:t>
      </w:r>
      <w:r w:rsidRPr="00EC4FA3">
        <w:rPr>
          <w:rFonts w:ascii="Arial" w:hAnsi="Arial" w:cs="Arial"/>
          <w:sz w:val="22"/>
          <w:vertAlign w:val="superscript"/>
        </w:rPr>
        <w:t>+</w:t>
      </w:r>
      <w:r w:rsidRPr="00E16CDB">
        <w:rPr>
          <w:rFonts w:ascii="Arial" w:hAnsi="Arial" w:cs="Arial"/>
          <w:sz w:val="22"/>
        </w:rPr>
        <w:t xml:space="preserve"> T</w:t>
      </w:r>
      <w:r w:rsidRPr="00EC4FA3">
        <w:rPr>
          <w:rFonts w:ascii="Arial" w:hAnsi="Arial" w:cs="Arial"/>
          <w:sz w:val="22"/>
          <w:vertAlign w:val="subscript"/>
        </w:rPr>
        <w:t>RM</w:t>
      </w:r>
      <w:r w:rsidRPr="00E16CDB">
        <w:rPr>
          <w:rFonts w:ascii="Arial" w:hAnsi="Arial" w:cs="Arial"/>
          <w:sz w:val="22"/>
        </w:rPr>
        <w:t xml:space="preserve"> cells among groups by CyTOF (n=3 N, 4 T1, 4 T2 and 4 T3. P values were determined by two-tailed Student’s t-test; *P &lt; 0.01 and **P &lt; 0.01).</w:t>
      </w:r>
      <w:r w:rsidR="00CF1662" w:rsidRPr="002D5571">
        <w:rPr>
          <w:rFonts w:ascii="Arial" w:hAnsi="Arial" w:cs="Arial"/>
          <w:sz w:val="22"/>
        </w:rPr>
        <w:t xml:space="preserve"> </w:t>
      </w:r>
    </w:p>
    <w:p w:rsidR="00CF1662" w:rsidRPr="002D5571" w:rsidRDefault="009A703B" w:rsidP="00CF1662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>
            <wp:extent cx="5274310" cy="2888615"/>
            <wp:effectExtent l="0" t="0" r="2540" b="698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 S8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879" w:rsidRDefault="00EA6BC3" w:rsidP="00DA4EB5">
      <w:pPr>
        <w:rPr>
          <w:rFonts w:ascii="Arial" w:hAnsi="Arial" w:cs="Arial"/>
          <w:sz w:val="22"/>
        </w:rPr>
      </w:pPr>
      <w:r w:rsidRPr="00EA6BC3">
        <w:rPr>
          <w:rFonts w:ascii="Arial" w:hAnsi="Arial" w:cs="Arial"/>
          <w:b/>
          <w:sz w:val="22"/>
        </w:rPr>
        <w:t>Supplementary Fig.</w:t>
      </w:r>
      <w:r w:rsidR="00CF7879">
        <w:rPr>
          <w:rFonts w:ascii="Arial" w:hAnsi="Arial" w:cs="Arial"/>
          <w:b/>
          <w:sz w:val="22"/>
        </w:rPr>
        <w:t xml:space="preserve"> S8</w:t>
      </w:r>
      <w:r w:rsidR="00CF7879" w:rsidRPr="002D5571">
        <w:rPr>
          <w:rFonts w:ascii="Arial" w:hAnsi="Arial" w:cs="Arial"/>
          <w:b/>
          <w:sz w:val="22"/>
        </w:rPr>
        <w:t xml:space="preserve">. </w:t>
      </w:r>
      <w:r w:rsidR="00E16CDB" w:rsidRPr="00E16CDB">
        <w:rPr>
          <w:rFonts w:ascii="Arial" w:hAnsi="Arial" w:cs="Arial"/>
          <w:b/>
          <w:sz w:val="22"/>
        </w:rPr>
        <w:t>Prognosis of patients with TETs in the TCGA cohort</w:t>
      </w:r>
      <w:r w:rsidR="00CF7879" w:rsidRPr="002D5571">
        <w:rPr>
          <w:rFonts w:ascii="Arial" w:hAnsi="Arial" w:cs="Arial"/>
          <w:b/>
          <w:sz w:val="22"/>
        </w:rPr>
        <w:t>.</w:t>
      </w:r>
      <w:r w:rsidR="00CF7879" w:rsidRPr="002D5571">
        <w:rPr>
          <w:rFonts w:ascii="Arial" w:hAnsi="Arial" w:cs="Arial"/>
          <w:sz w:val="22"/>
        </w:rPr>
        <w:t xml:space="preserve"> </w:t>
      </w:r>
      <w:r w:rsidR="00CF7879" w:rsidRPr="004A49C2">
        <w:rPr>
          <w:rFonts w:ascii="Arial" w:hAnsi="Arial" w:cs="Arial"/>
          <w:sz w:val="22"/>
        </w:rPr>
        <w:t xml:space="preserve">Related to </w:t>
      </w:r>
      <w:r w:rsidRPr="00EA6BC3">
        <w:rPr>
          <w:rFonts w:ascii="Arial" w:hAnsi="Arial" w:cs="Arial"/>
          <w:sz w:val="22"/>
        </w:rPr>
        <w:t>Fig.</w:t>
      </w:r>
      <w:r w:rsidR="00CF7879" w:rsidRPr="004A49C2">
        <w:rPr>
          <w:rFonts w:ascii="Arial" w:hAnsi="Arial" w:cs="Arial"/>
          <w:sz w:val="22"/>
        </w:rPr>
        <w:t xml:space="preserve"> 7. </w:t>
      </w:r>
    </w:p>
    <w:p w:rsidR="00E16CDB" w:rsidRPr="00E16CDB" w:rsidRDefault="00E16CDB" w:rsidP="00DA4EB5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A</w:t>
      </w:r>
      <w:r w:rsidRPr="00E16CDB">
        <w:rPr>
          <w:rFonts w:ascii="Arial" w:hAnsi="Arial" w:cs="Arial"/>
          <w:sz w:val="22"/>
        </w:rPr>
        <w:t>) Illustration of the TETs subtype classification tree.</w:t>
      </w:r>
    </w:p>
    <w:p w:rsidR="00E16CDB" w:rsidRPr="00E16CDB" w:rsidRDefault="00E16CDB" w:rsidP="00DA4EB5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B</w:t>
      </w:r>
      <w:r w:rsidRPr="00E16CDB">
        <w:rPr>
          <w:rFonts w:ascii="Arial" w:hAnsi="Arial" w:cs="Arial"/>
          <w:sz w:val="22"/>
        </w:rPr>
        <w:t>) Overall survival (OS) examined in each of Masaoka stage of TETs in the TCGA cohort.</w:t>
      </w:r>
    </w:p>
    <w:p w:rsidR="00CF1662" w:rsidRDefault="00E16CDB" w:rsidP="00DA4EB5">
      <w:pPr>
        <w:rPr>
          <w:rFonts w:ascii="Arial" w:hAnsi="Arial" w:cs="Arial"/>
          <w:sz w:val="22"/>
        </w:rPr>
      </w:pPr>
      <w:r w:rsidRPr="00E16CDB">
        <w:rPr>
          <w:rFonts w:ascii="Arial" w:hAnsi="Arial" w:cs="Arial"/>
          <w:sz w:val="22"/>
        </w:rPr>
        <w:t>(</w:t>
      </w:r>
      <w:r w:rsidR="00DA4EB5" w:rsidRPr="00EC4FA3">
        <w:rPr>
          <w:rFonts w:ascii="Arial" w:hAnsi="Arial" w:cs="Arial"/>
          <w:b/>
          <w:sz w:val="22"/>
        </w:rPr>
        <w:t>C</w:t>
      </w:r>
      <w:r w:rsidRPr="00E16CDB">
        <w:rPr>
          <w:rFonts w:ascii="Arial" w:hAnsi="Arial" w:cs="Arial"/>
          <w:sz w:val="22"/>
        </w:rPr>
        <w:t>) Overall survival (OS) examined in each type of WHO classification of TETs in the TCGA cohort.</w:t>
      </w:r>
    </w:p>
    <w:p w:rsidR="00CF7879" w:rsidRPr="002D5571" w:rsidRDefault="00CF7879" w:rsidP="00CF7879">
      <w:pPr>
        <w:jc w:val="left"/>
        <w:rPr>
          <w:rFonts w:ascii="Arial" w:hAnsi="Arial" w:cs="Arial"/>
          <w:sz w:val="22"/>
        </w:rPr>
      </w:pPr>
    </w:p>
    <w:sectPr w:rsidR="00CF7879" w:rsidRPr="002D55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6D44" w:rsidRDefault="00AF6D44" w:rsidP="00CF1662">
      <w:r>
        <w:separator/>
      </w:r>
    </w:p>
  </w:endnote>
  <w:endnote w:type="continuationSeparator" w:id="0">
    <w:p w:rsidR="00AF6D44" w:rsidRDefault="00AF6D44" w:rsidP="00CF1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6D44" w:rsidRDefault="00AF6D44" w:rsidP="00CF1662">
      <w:r>
        <w:separator/>
      </w:r>
    </w:p>
  </w:footnote>
  <w:footnote w:type="continuationSeparator" w:id="0">
    <w:p w:rsidR="00AF6D44" w:rsidRDefault="00AF6D44" w:rsidP="00CF16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DAF"/>
    <w:rsid w:val="000531BB"/>
    <w:rsid w:val="001B4603"/>
    <w:rsid w:val="0021735D"/>
    <w:rsid w:val="00257DAF"/>
    <w:rsid w:val="004A49C2"/>
    <w:rsid w:val="005D09FC"/>
    <w:rsid w:val="00695D71"/>
    <w:rsid w:val="007B0C30"/>
    <w:rsid w:val="009A703B"/>
    <w:rsid w:val="00AF6D44"/>
    <w:rsid w:val="00CF1662"/>
    <w:rsid w:val="00CF7879"/>
    <w:rsid w:val="00DA4EB5"/>
    <w:rsid w:val="00E16CDB"/>
    <w:rsid w:val="00EA6BC3"/>
    <w:rsid w:val="00EC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41BE5E-F6A9-4225-A03B-9EF46DEA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66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6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6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662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CF1662"/>
    <w:rPr>
      <w:noProof/>
      <w:sz w:val="20"/>
    </w:rPr>
  </w:style>
  <w:style w:type="character" w:customStyle="1" w:styleId="EndNoteBibliographyChar">
    <w:name w:val="EndNote Bibliography Char"/>
    <w:link w:val="EndNoteBibliography"/>
    <w:rsid w:val="00CF1662"/>
    <w:rPr>
      <w:rFonts w:ascii="Calibri" w:eastAsia="宋体" w:hAnsi="Calibri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8</Pages>
  <Words>880</Words>
  <Characters>5020</Characters>
  <Application>Microsoft Office Word</Application>
  <DocSecurity>0</DocSecurity>
  <Lines>41</Lines>
  <Paragraphs>11</Paragraphs>
  <ScaleCrop>false</ScaleCrop>
  <Company>Win10NeT.COM</Company>
  <LinksUpToDate>false</LinksUpToDate>
  <CharactersWithSpaces>5889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XiaZaiMa.COM</dc:creator>
  <cp:keywords/>
  <dc:description/>
  <cp:lastModifiedBy>XiaZaiMa.COM</cp:lastModifiedBy>
  <cp:revision>7</cp:revision>
  <dcterms:created xsi:type="dcterms:W3CDTF">2021-08-13T08:49:00Z</dcterms:created>
  <dcterms:modified xsi:type="dcterms:W3CDTF">2021-08-20T00:57:00Z</dcterms:modified>
</cp:coreProperties>
</file>