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5F0" w:rsidRDefault="00B447F5">
      <w:r>
        <w:t>Table 1: Baseline Characteristics</w:t>
      </w:r>
    </w:p>
    <w:p w:rsidR="00B447F5" w:rsidRDefault="00B447F5"/>
    <w:tbl>
      <w:tblPr>
        <w:tblW w:w="0" w:type="auto"/>
        <w:tblLook w:val="04A0" w:firstRow="1" w:lastRow="0" w:firstColumn="1" w:lastColumn="0" w:noHBand="0" w:noVBand="1"/>
      </w:tblPr>
      <w:tblGrid>
        <w:gridCol w:w="2997"/>
        <w:gridCol w:w="3022"/>
        <w:gridCol w:w="2977"/>
      </w:tblGrid>
      <w:tr w:rsidR="00B447F5" w:rsidTr="00B447F5">
        <w:tc>
          <w:tcPr>
            <w:tcW w:w="3120" w:type="dxa"/>
            <w:tcBorders>
              <w:top w:val="single" w:sz="12" w:space="0" w:color="auto"/>
              <w:left w:val="single" w:sz="12" w:space="0" w:color="auto"/>
            </w:tcBorders>
          </w:tcPr>
          <w:p w:rsidR="00B447F5" w:rsidRDefault="00B447F5" w:rsidP="00245331">
            <w:r>
              <w:t>Variable</w:t>
            </w:r>
          </w:p>
          <w:p w:rsidR="00B447F5" w:rsidRDefault="00B447F5" w:rsidP="00245331"/>
        </w:tc>
        <w:tc>
          <w:tcPr>
            <w:tcW w:w="3120" w:type="dxa"/>
            <w:tcBorders>
              <w:top w:val="single" w:sz="12" w:space="0" w:color="auto"/>
            </w:tcBorders>
          </w:tcPr>
          <w:p w:rsidR="00B447F5" w:rsidRDefault="00B447F5" w:rsidP="00245331">
            <w:r>
              <w:t>Category</w:t>
            </w:r>
          </w:p>
        </w:tc>
        <w:tc>
          <w:tcPr>
            <w:tcW w:w="3120" w:type="dxa"/>
            <w:tcBorders>
              <w:top w:val="single" w:sz="12" w:space="0" w:color="auto"/>
              <w:right w:val="single" w:sz="12" w:space="0" w:color="auto"/>
            </w:tcBorders>
          </w:tcPr>
          <w:p w:rsidR="00B447F5" w:rsidRDefault="00B447F5" w:rsidP="00245331">
            <w:r>
              <w:t>n (%)</w:t>
            </w:r>
          </w:p>
        </w:tc>
      </w:tr>
      <w:tr w:rsidR="00B447F5" w:rsidTr="00B447F5">
        <w:tc>
          <w:tcPr>
            <w:tcW w:w="3120" w:type="dxa"/>
            <w:tcBorders>
              <w:left w:val="single" w:sz="12" w:space="0" w:color="auto"/>
            </w:tcBorders>
          </w:tcPr>
          <w:p w:rsidR="00B447F5" w:rsidRDefault="00B447F5" w:rsidP="00245331">
            <w:r>
              <w:t>Gender</w:t>
            </w:r>
          </w:p>
        </w:tc>
        <w:tc>
          <w:tcPr>
            <w:tcW w:w="3120" w:type="dxa"/>
          </w:tcPr>
          <w:p w:rsidR="00B447F5" w:rsidRDefault="00B447F5" w:rsidP="00245331">
            <w:r>
              <w:t>Male</w:t>
            </w:r>
          </w:p>
        </w:tc>
        <w:tc>
          <w:tcPr>
            <w:tcW w:w="3120" w:type="dxa"/>
            <w:tcBorders>
              <w:right w:val="single" w:sz="12" w:space="0" w:color="auto"/>
            </w:tcBorders>
          </w:tcPr>
          <w:p w:rsidR="00B447F5" w:rsidRDefault="00B447F5" w:rsidP="00245331">
            <w:r>
              <w:t>84 (84%)</w:t>
            </w:r>
          </w:p>
        </w:tc>
      </w:tr>
      <w:tr w:rsidR="00B447F5" w:rsidTr="00B447F5">
        <w:tc>
          <w:tcPr>
            <w:tcW w:w="3120" w:type="dxa"/>
            <w:tcBorders>
              <w:left w:val="single" w:sz="12" w:space="0" w:color="auto"/>
            </w:tcBorders>
          </w:tcPr>
          <w:p w:rsidR="00B447F5" w:rsidRDefault="00B447F5" w:rsidP="00245331"/>
        </w:tc>
        <w:tc>
          <w:tcPr>
            <w:tcW w:w="3120" w:type="dxa"/>
          </w:tcPr>
          <w:p w:rsidR="00B447F5" w:rsidRDefault="00B447F5" w:rsidP="00245331">
            <w:r>
              <w:t>Female</w:t>
            </w:r>
          </w:p>
          <w:p w:rsidR="00B447F5" w:rsidRDefault="00B447F5" w:rsidP="00245331"/>
        </w:tc>
        <w:tc>
          <w:tcPr>
            <w:tcW w:w="3120" w:type="dxa"/>
            <w:tcBorders>
              <w:right w:val="single" w:sz="12" w:space="0" w:color="auto"/>
            </w:tcBorders>
          </w:tcPr>
          <w:p w:rsidR="00B447F5" w:rsidRDefault="00B447F5" w:rsidP="00245331">
            <w:r>
              <w:t>16 (16%)</w:t>
            </w:r>
          </w:p>
        </w:tc>
      </w:tr>
      <w:tr w:rsidR="00B447F5" w:rsidTr="00B447F5">
        <w:tc>
          <w:tcPr>
            <w:tcW w:w="3120" w:type="dxa"/>
            <w:tcBorders>
              <w:left w:val="single" w:sz="12" w:space="0" w:color="auto"/>
            </w:tcBorders>
          </w:tcPr>
          <w:p w:rsidR="00B447F5" w:rsidRDefault="00B447F5" w:rsidP="00245331">
            <w:r>
              <w:t>Primary site</w:t>
            </w:r>
          </w:p>
        </w:tc>
        <w:tc>
          <w:tcPr>
            <w:tcW w:w="3120" w:type="dxa"/>
          </w:tcPr>
          <w:p w:rsidR="00B447F5" w:rsidRDefault="00B447F5" w:rsidP="00245331">
            <w:r>
              <w:t>Oral cavity</w:t>
            </w:r>
          </w:p>
        </w:tc>
        <w:tc>
          <w:tcPr>
            <w:tcW w:w="3120" w:type="dxa"/>
            <w:tcBorders>
              <w:right w:val="single" w:sz="12" w:space="0" w:color="auto"/>
            </w:tcBorders>
          </w:tcPr>
          <w:p w:rsidR="00B447F5" w:rsidRDefault="00B447F5" w:rsidP="00245331">
            <w:r>
              <w:t>50 (50%)</w:t>
            </w:r>
          </w:p>
        </w:tc>
      </w:tr>
      <w:tr w:rsidR="00B447F5" w:rsidTr="00B447F5">
        <w:tc>
          <w:tcPr>
            <w:tcW w:w="3120" w:type="dxa"/>
            <w:tcBorders>
              <w:left w:val="single" w:sz="12" w:space="0" w:color="auto"/>
            </w:tcBorders>
          </w:tcPr>
          <w:p w:rsidR="00B447F5" w:rsidRDefault="00B447F5" w:rsidP="00245331"/>
        </w:tc>
        <w:tc>
          <w:tcPr>
            <w:tcW w:w="3120" w:type="dxa"/>
          </w:tcPr>
          <w:p w:rsidR="00B447F5" w:rsidRDefault="00B447F5" w:rsidP="00245331">
            <w:r>
              <w:t>Larynx</w:t>
            </w:r>
          </w:p>
        </w:tc>
        <w:tc>
          <w:tcPr>
            <w:tcW w:w="3120" w:type="dxa"/>
            <w:tcBorders>
              <w:right w:val="single" w:sz="12" w:space="0" w:color="auto"/>
            </w:tcBorders>
          </w:tcPr>
          <w:p w:rsidR="00B447F5" w:rsidRDefault="00B447F5" w:rsidP="00245331">
            <w:r>
              <w:t>15 (15%)</w:t>
            </w:r>
          </w:p>
        </w:tc>
      </w:tr>
      <w:tr w:rsidR="00B447F5" w:rsidTr="00B447F5">
        <w:tc>
          <w:tcPr>
            <w:tcW w:w="3120" w:type="dxa"/>
            <w:tcBorders>
              <w:left w:val="single" w:sz="12" w:space="0" w:color="auto"/>
            </w:tcBorders>
          </w:tcPr>
          <w:p w:rsidR="00B447F5" w:rsidRDefault="00B447F5" w:rsidP="00245331"/>
        </w:tc>
        <w:tc>
          <w:tcPr>
            <w:tcW w:w="3120" w:type="dxa"/>
          </w:tcPr>
          <w:p w:rsidR="00B447F5" w:rsidRDefault="00B447F5" w:rsidP="00245331">
            <w:r>
              <w:t>Oropharynx</w:t>
            </w:r>
          </w:p>
        </w:tc>
        <w:tc>
          <w:tcPr>
            <w:tcW w:w="3120" w:type="dxa"/>
            <w:tcBorders>
              <w:right w:val="single" w:sz="12" w:space="0" w:color="auto"/>
            </w:tcBorders>
          </w:tcPr>
          <w:p w:rsidR="00B447F5" w:rsidRDefault="00B447F5" w:rsidP="00245331">
            <w:r>
              <w:t>13 (13%)</w:t>
            </w:r>
          </w:p>
        </w:tc>
      </w:tr>
      <w:tr w:rsidR="00B447F5" w:rsidTr="00B447F5">
        <w:tc>
          <w:tcPr>
            <w:tcW w:w="3120" w:type="dxa"/>
            <w:tcBorders>
              <w:left w:val="single" w:sz="12" w:space="0" w:color="auto"/>
            </w:tcBorders>
          </w:tcPr>
          <w:p w:rsidR="00B447F5" w:rsidRDefault="00B447F5" w:rsidP="00245331"/>
        </w:tc>
        <w:tc>
          <w:tcPr>
            <w:tcW w:w="3120" w:type="dxa"/>
          </w:tcPr>
          <w:p w:rsidR="00B447F5" w:rsidRDefault="00B447F5" w:rsidP="00245331">
            <w:proofErr w:type="spellStart"/>
            <w:r>
              <w:t>Sinonasal</w:t>
            </w:r>
            <w:proofErr w:type="spellEnd"/>
          </w:p>
        </w:tc>
        <w:tc>
          <w:tcPr>
            <w:tcW w:w="3120" w:type="dxa"/>
            <w:tcBorders>
              <w:right w:val="single" w:sz="12" w:space="0" w:color="auto"/>
            </w:tcBorders>
          </w:tcPr>
          <w:p w:rsidR="00B447F5" w:rsidRDefault="00B447F5" w:rsidP="00245331">
            <w:r>
              <w:t>7 (7%)</w:t>
            </w:r>
          </w:p>
        </w:tc>
      </w:tr>
      <w:tr w:rsidR="00B447F5" w:rsidTr="00B447F5">
        <w:tc>
          <w:tcPr>
            <w:tcW w:w="3120" w:type="dxa"/>
            <w:tcBorders>
              <w:left w:val="single" w:sz="12" w:space="0" w:color="auto"/>
            </w:tcBorders>
          </w:tcPr>
          <w:p w:rsidR="00B447F5" w:rsidRDefault="00B447F5" w:rsidP="00245331"/>
        </w:tc>
        <w:tc>
          <w:tcPr>
            <w:tcW w:w="3120" w:type="dxa"/>
          </w:tcPr>
          <w:p w:rsidR="00B447F5" w:rsidRDefault="00B447F5" w:rsidP="00245331">
            <w:r>
              <w:t>Hypopharynx</w:t>
            </w:r>
          </w:p>
        </w:tc>
        <w:tc>
          <w:tcPr>
            <w:tcW w:w="3120" w:type="dxa"/>
            <w:tcBorders>
              <w:right w:val="single" w:sz="12" w:space="0" w:color="auto"/>
            </w:tcBorders>
          </w:tcPr>
          <w:p w:rsidR="00B447F5" w:rsidRDefault="00B447F5" w:rsidP="00245331">
            <w:r>
              <w:t>6 (6%)</w:t>
            </w:r>
          </w:p>
        </w:tc>
      </w:tr>
      <w:tr w:rsidR="00B447F5" w:rsidTr="00B447F5">
        <w:tc>
          <w:tcPr>
            <w:tcW w:w="3120" w:type="dxa"/>
            <w:tcBorders>
              <w:left w:val="single" w:sz="12" w:space="0" w:color="auto"/>
            </w:tcBorders>
          </w:tcPr>
          <w:p w:rsidR="00B447F5" w:rsidRDefault="00B447F5" w:rsidP="00245331"/>
        </w:tc>
        <w:tc>
          <w:tcPr>
            <w:tcW w:w="3120" w:type="dxa"/>
          </w:tcPr>
          <w:p w:rsidR="00B447F5" w:rsidRDefault="00B447F5" w:rsidP="00245331">
            <w:r>
              <w:t>Nasopharynx</w:t>
            </w:r>
          </w:p>
        </w:tc>
        <w:tc>
          <w:tcPr>
            <w:tcW w:w="3120" w:type="dxa"/>
            <w:tcBorders>
              <w:right w:val="single" w:sz="12" w:space="0" w:color="auto"/>
            </w:tcBorders>
          </w:tcPr>
          <w:p w:rsidR="00B447F5" w:rsidRDefault="00B447F5" w:rsidP="00245331">
            <w:r>
              <w:t>6 (6%)</w:t>
            </w:r>
          </w:p>
        </w:tc>
      </w:tr>
      <w:tr w:rsidR="00B447F5" w:rsidTr="00B447F5">
        <w:tc>
          <w:tcPr>
            <w:tcW w:w="3120" w:type="dxa"/>
            <w:tcBorders>
              <w:left w:val="single" w:sz="12" w:space="0" w:color="auto"/>
            </w:tcBorders>
          </w:tcPr>
          <w:p w:rsidR="00B447F5" w:rsidRDefault="00B447F5" w:rsidP="00245331"/>
        </w:tc>
        <w:tc>
          <w:tcPr>
            <w:tcW w:w="3120" w:type="dxa"/>
          </w:tcPr>
          <w:p w:rsidR="00B447F5" w:rsidRDefault="00B447F5" w:rsidP="00245331">
            <w:r>
              <w:t>Others</w:t>
            </w:r>
          </w:p>
          <w:p w:rsidR="00B447F5" w:rsidRDefault="00B447F5" w:rsidP="00245331"/>
        </w:tc>
        <w:tc>
          <w:tcPr>
            <w:tcW w:w="3120" w:type="dxa"/>
            <w:tcBorders>
              <w:right w:val="single" w:sz="12" w:space="0" w:color="auto"/>
            </w:tcBorders>
          </w:tcPr>
          <w:p w:rsidR="00B447F5" w:rsidRDefault="00B447F5" w:rsidP="00245331">
            <w:r>
              <w:t>3 (3%)</w:t>
            </w:r>
          </w:p>
        </w:tc>
      </w:tr>
      <w:tr w:rsidR="00B447F5" w:rsidTr="00B447F5">
        <w:tc>
          <w:tcPr>
            <w:tcW w:w="3120" w:type="dxa"/>
            <w:tcBorders>
              <w:left w:val="single" w:sz="12" w:space="0" w:color="auto"/>
            </w:tcBorders>
          </w:tcPr>
          <w:p w:rsidR="00B447F5" w:rsidRDefault="00B447F5" w:rsidP="00245331">
            <w:r>
              <w:t>Stage (AJCC 8th)</w:t>
            </w:r>
          </w:p>
        </w:tc>
        <w:tc>
          <w:tcPr>
            <w:tcW w:w="3120" w:type="dxa"/>
          </w:tcPr>
          <w:p w:rsidR="00B447F5" w:rsidRDefault="00B447F5" w:rsidP="00245331">
            <w:r>
              <w:t>IVA</w:t>
            </w:r>
          </w:p>
        </w:tc>
        <w:tc>
          <w:tcPr>
            <w:tcW w:w="3120" w:type="dxa"/>
            <w:tcBorders>
              <w:right w:val="single" w:sz="12" w:space="0" w:color="auto"/>
            </w:tcBorders>
          </w:tcPr>
          <w:p w:rsidR="00B447F5" w:rsidRDefault="00B447F5" w:rsidP="00245331">
            <w:r>
              <w:t>53 (53%)</w:t>
            </w:r>
          </w:p>
        </w:tc>
      </w:tr>
      <w:tr w:rsidR="00B447F5" w:rsidTr="00B447F5">
        <w:tc>
          <w:tcPr>
            <w:tcW w:w="3120" w:type="dxa"/>
            <w:tcBorders>
              <w:left w:val="single" w:sz="12" w:space="0" w:color="auto"/>
            </w:tcBorders>
          </w:tcPr>
          <w:p w:rsidR="00B447F5" w:rsidRDefault="00B447F5" w:rsidP="00245331"/>
        </w:tc>
        <w:tc>
          <w:tcPr>
            <w:tcW w:w="3120" w:type="dxa"/>
          </w:tcPr>
          <w:p w:rsidR="00B447F5" w:rsidRDefault="00B447F5" w:rsidP="00245331">
            <w:r>
              <w:t>III</w:t>
            </w:r>
          </w:p>
        </w:tc>
        <w:tc>
          <w:tcPr>
            <w:tcW w:w="3120" w:type="dxa"/>
            <w:tcBorders>
              <w:right w:val="single" w:sz="12" w:space="0" w:color="auto"/>
            </w:tcBorders>
          </w:tcPr>
          <w:p w:rsidR="00B447F5" w:rsidRDefault="00B447F5" w:rsidP="00245331">
            <w:r>
              <w:t>28 (28%)</w:t>
            </w:r>
          </w:p>
        </w:tc>
      </w:tr>
      <w:tr w:rsidR="00B447F5" w:rsidTr="00B447F5">
        <w:tc>
          <w:tcPr>
            <w:tcW w:w="3120" w:type="dxa"/>
            <w:tcBorders>
              <w:left w:val="single" w:sz="12" w:space="0" w:color="auto"/>
            </w:tcBorders>
          </w:tcPr>
          <w:p w:rsidR="00B447F5" w:rsidRDefault="00B447F5" w:rsidP="00245331"/>
        </w:tc>
        <w:tc>
          <w:tcPr>
            <w:tcW w:w="3120" w:type="dxa"/>
          </w:tcPr>
          <w:p w:rsidR="00B447F5" w:rsidRDefault="00B447F5" w:rsidP="00245331">
            <w:r>
              <w:t>IVB</w:t>
            </w:r>
          </w:p>
        </w:tc>
        <w:tc>
          <w:tcPr>
            <w:tcW w:w="3120" w:type="dxa"/>
            <w:tcBorders>
              <w:right w:val="single" w:sz="12" w:space="0" w:color="auto"/>
            </w:tcBorders>
          </w:tcPr>
          <w:p w:rsidR="00B447F5" w:rsidRDefault="00B447F5" w:rsidP="00245331">
            <w:r>
              <w:t>13 (13%)</w:t>
            </w:r>
          </w:p>
        </w:tc>
      </w:tr>
      <w:tr w:rsidR="00B447F5" w:rsidTr="00B447F5">
        <w:tc>
          <w:tcPr>
            <w:tcW w:w="3120" w:type="dxa"/>
            <w:tcBorders>
              <w:left w:val="single" w:sz="12" w:space="0" w:color="auto"/>
            </w:tcBorders>
          </w:tcPr>
          <w:p w:rsidR="00B447F5" w:rsidRDefault="00B447F5" w:rsidP="00245331"/>
        </w:tc>
        <w:tc>
          <w:tcPr>
            <w:tcW w:w="3120" w:type="dxa"/>
          </w:tcPr>
          <w:p w:rsidR="00B447F5" w:rsidRDefault="00B447F5" w:rsidP="00245331">
            <w:r>
              <w:t>I–II</w:t>
            </w:r>
          </w:p>
          <w:p w:rsidR="00B447F5" w:rsidRDefault="00B447F5" w:rsidP="00245331"/>
        </w:tc>
        <w:tc>
          <w:tcPr>
            <w:tcW w:w="3120" w:type="dxa"/>
            <w:tcBorders>
              <w:right w:val="single" w:sz="12" w:space="0" w:color="auto"/>
            </w:tcBorders>
          </w:tcPr>
          <w:p w:rsidR="00B447F5" w:rsidRDefault="00B447F5" w:rsidP="00245331">
            <w:r>
              <w:t>6 (6%)</w:t>
            </w:r>
          </w:p>
        </w:tc>
      </w:tr>
      <w:tr w:rsidR="00B447F5" w:rsidTr="00B447F5">
        <w:tc>
          <w:tcPr>
            <w:tcW w:w="3120" w:type="dxa"/>
            <w:tcBorders>
              <w:left w:val="single" w:sz="12" w:space="0" w:color="auto"/>
            </w:tcBorders>
          </w:tcPr>
          <w:p w:rsidR="00B447F5" w:rsidRDefault="00B447F5" w:rsidP="00245331">
            <w:r>
              <w:t>Histology</w:t>
            </w:r>
          </w:p>
        </w:tc>
        <w:tc>
          <w:tcPr>
            <w:tcW w:w="3120" w:type="dxa"/>
          </w:tcPr>
          <w:p w:rsidR="00B447F5" w:rsidRDefault="00B447F5" w:rsidP="00245331">
            <w:r>
              <w:t>Squamous cell carcinoma</w:t>
            </w:r>
          </w:p>
        </w:tc>
        <w:tc>
          <w:tcPr>
            <w:tcW w:w="3120" w:type="dxa"/>
            <w:tcBorders>
              <w:right w:val="single" w:sz="12" w:space="0" w:color="auto"/>
            </w:tcBorders>
          </w:tcPr>
          <w:p w:rsidR="00B447F5" w:rsidRDefault="00B447F5" w:rsidP="00245331">
            <w:r>
              <w:t>91 (91%)</w:t>
            </w:r>
          </w:p>
        </w:tc>
      </w:tr>
      <w:tr w:rsidR="00B447F5" w:rsidTr="00B447F5">
        <w:tc>
          <w:tcPr>
            <w:tcW w:w="3120" w:type="dxa"/>
            <w:tcBorders>
              <w:left w:val="single" w:sz="12" w:space="0" w:color="auto"/>
              <w:bottom w:val="single" w:sz="12" w:space="0" w:color="auto"/>
            </w:tcBorders>
          </w:tcPr>
          <w:p w:rsidR="00B447F5" w:rsidRDefault="00B447F5" w:rsidP="00245331"/>
        </w:tc>
        <w:tc>
          <w:tcPr>
            <w:tcW w:w="3120" w:type="dxa"/>
            <w:tcBorders>
              <w:bottom w:val="single" w:sz="12" w:space="0" w:color="auto"/>
            </w:tcBorders>
          </w:tcPr>
          <w:p w:rsidR="00B447F5" w:rsidRDefault="00B447F5" w:rsidP="00245331">
            <w:r>
              <w:t>Others</w:t>
            </w:r>
          </w:p>
        </w:tc>
        <w:tc>
          <w:tcPr>
            <w:tcW w:w="3120" w:type="dxa"/>
            <w:tcBorders>
              <w:bottom w:val="single" w:sz="12" w:space="0" w:color="auto"/>
              <w:right w:val="single" w:sz="12" w:space="0" w:color="auto"/>
            </w:tcBorders>
          </w:tcPr>
          <w:p w:rsidR="00B447F5" w:rsidRDefault="00B447F5" w:rsidP="00245331">
            <w:r>
              <w:t>9 (9%)</w:t>
            </w:r>
          </w:p>
        </w:tc>
      </w:tr>
    </w:tbl>
    <w:p w:rsidR="00B447F5" w:rsidRDefault="00B447F5"/>
    <w:sectPr w:rsidR="00B44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F5"/>
    <w:rsid w:val="000235F0"/>
    <w:rsid w:val="008B74AB"/>
    <w:rsid w:val="00B447F5"/>
    <w:rsid w:val="00F1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66F5D9"/>
  <w15:chartTrackingRefBased/>
  <w15:docId w15:val="{50004370-7CB3-104F-B59D-2AB9A704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Pranav Nair</dc:creator>
  <cp:keywords/>
  <dc:description/>
  <cp:lastModifiedBy>Pranav Nair</cp:lastModifiedBy>
  <cp:revision>2</cp:revision>
  <dcterms:created xsi:type="dcterms:W3CDTF">2026-01-18T05:34:00Z</dcterms:created>
  <dcterms:modified xsi:type="dcterms:W3CDTF">2026-01-18T05:34:00Z</dcterms:modified>
</cp:coreProperties>
</file>