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41"/>
        </w:rPr>
      </w:pPr>
    </w:p>
    <w:p>
      <w:pPr>
        <w:pStyle w:val="BodyText"/>
        <w:spacing w:before="455"/>
        <w:rPr>
          <w:sz w:val="41"/>
        </w:rPr>
      </w:pPr>
    </w:p>
    <w:p>
      <w:pPr>
        <w:pStyle w:val="Heading1"/>
      </w:pPr>
      <w:r>
        <w:rPr>
          <w:w w:val="110"/>
        </w:rPr>
        <w:t>AI</w:t>
      </w:r>
      <w:r>
        <w:rPr>
          <w:spacing w:val="14"/>
          <w:w w:val="110"/>
        </w:rPr>
        <w:t> </w:t>
      </w:r>
      <w:r>
        <w:rPr>
          <w:w w:val="110"/>
        </w:rPr>
        <w:t>Integration</w:t>
      </w:r>
      <w:r>
        <w:rPr>
          <w:spacing w:val="13"/>
          <w:w w:val="110"/>
        </w:rPr>
        <w:t> </w:t>
      </w:r>
      <w:r>
        <w:rPr>
          <w:spacing w:val="-2"/>
          <w:w w:val="110"/>
        </w:rPr>
        <w:t>Statement</w:t>
      </w:r>
    </w:p>
    <w:p>
      <w:pPr>
        <w:spacing w:before="340"/>
        <w:ind w:left="3694" w:right="0" w:firstLine="0"/>
        <w:jc w:val="left"/>
        <w:rPr>
          <w:sz w:val="28"/>
        </w:rPr>
      </w:pPr>
      <w:r>
        <w:rPr>
          <w:w w:val="105"/>
          <w:sz w:val="28"/>
        </w:rPr>
        <w:t>M.L.</w:t>
      </w:r>
      <w:r>
        <w:rPr>
          <w:spacing w:val="19"/>
          <w:w w:val="105"/>
          <w:sz w:val="28"/>
        </w:rPr>
        <w:t> </w:t>
      </w:r>
      <w:r>
        <w:rPr>
          <w:spacing w:val="-2"/>
          <w:w w:val="105"/>
          <w:sz w:val="28"/>
        </w:rPr>
        <w:t>Smith</w:t>
      </w:r>
    </w:p>
    <w:p>
      <w:pPr>
        <w:spacing w:line="266" w:lineRule="auto" w:before="270"/>
        <w:ind w:left="686" w:right="383" w:firstLine="0"/>
        <w:jc w:val="center"/>
        <w:rPr>
          <w:sz w:val="28"/>
        </w:rPr>
      </w:pPr>
      <w:r>
        <w:rPr>
          <w:w w:val="105"/>
          <w:sz w:val="28"/>
        </w:rPr>
        <w:t>Independent Researcher, Cincinnati, Ohio 45226, USA ORCID: 0009-0006-2523-8914</w:t>
      </w:r>
    </w:p>
    <w:p>
      <w:pPr>
        <w:spacing w:line="324" w:lineRule="exact" w:before="0"/>
        <w:ind w:left="686" w:right="387" w:firstLine="0"/>
        <w:jc w:val="center"/>
        <w:rPr>
          <w:rFonts w:ascii="Century"/>
          <w:sz w:val="28"/>
        </w:rPr>
      </w:pPr>
      <w:hyperlink r:id="rId6">
        <w:r>
          <w:rPr>
            <w:rFonts w:ascii="Century"/>
            <w:spacing w:val="-2"/>
            <w:w w:val="105"/>
            <w:sz w:val="28"/>
          </w:rPr>
          <w:t>saint513@icloud.com</w:t>
        </w:r>
      </w:hyperlink>
    </w:p>
    <w:p>
      <w:pPr>
        <w:pStyle w:val="BodyText"/>
        <w:rPr>
          <w:rFonts w:ascii="Century"/>
          <w:sz w:val="28"/>
        </w:rPr>
      </w:pPr>
    </w:p>
    <w:p>
      <w:pPr>
        <w:pStyle w:val="BodyText"/>
        <w:spacing w:before="264"/>
        <w:rPr>
          <w:rFonts w:ascii="Century"/>
          <w:sz w:val="28"/>
        </w:rPr>
      </w:pPr>
    </w:p>
    <w:p>
      <w:pPr>
        <w:pStyle w:val="Heading2"/>
      </w:pPr>
      <w:r>
        <w:rPr>
          <w:w w:val="105"/>
        </w:rPr>
        <w:t>AI</w:t>
      </w:r>
      <w:r>
        <w:rPr>
          <w:spacing w:val="54"/>
          <w:w w:val="105"/>
        </w:rPr>
        <w:t> </w:t>
      </w:r>
      <w:r>
        <w:rPr>
          <w:w w:val="105"/>
        </w:rPr>
        <w:t>Integration</w:t>
      </w:r>
      <w:r>
        <w:rPr>
          <w:spacing w:val="55"/>
          <w:w w:val="105"/>
        </w:rPr>
        <w:t> </w:t>
      </w:r>
      <w:r>
        <w:rPr>
          <w:w w:val="105"/>
        </w:rPr>
        <w:t>in</w:t>
      </w:r>
      <w:r>
        <w:rPr>
          <w:spacing w:val="54"/>
          <w:w w:val="105"/>
        </w:rPr>
        <w:t> </w:t>
      </w:r>
      <w:r>
        <w:rPr>
          <w:spacing w:val="-2"/>
          <w:w w:val="105"/>
        </w:rPr>
        <w:t>Documentation</w:t>
      </w:r>
    </w:p>
    <w:p>
      <w:pPr>
        <w:pStyle w:val="BodyText"/>
        <w:spacing w:line="252" w:lineRule="auto" w:before="211"/>
        <w:ind w:left="517" w:right="214"/>
        <w:jc w:val="both"/>
      </w:pPr>
      <w:r>
        <w:rPr>
          <w:w w:val="105"/>
        </w:rPr>
        <w:t>The research presented in this manuscript benefited from structured integra-tion of artificial intelligence (AI) tools throughout the simulation,</w:t>
      </w:r>
      <w:r>
        <w:rPr>
          <w:w w:val="105"/>
        </w:rPr>
        <w:t> analysis, and</w:t>
      </w:r>
      <w:r>
        <w:rPr>
          <w:spacing w:val="-1"/>
          <w:w w:val="105"/>
        </w:rPr>
        <w:t> </w:t>
      </w:r>
      <w:r>
        <w:rPr>
          <w:w w:val="105"/>
        </w:rPr>
        <w:t>writing</w:t>
      </w:r>
      <w:r>
        <w:rPr>
          <w:spacing w:val="-1"/>
          <w:w w:val="105"/>
        </w:rPr>
        <w:t> </w:t>
      </w:r>
      <w:r>
        <w:rPr>
          <w:w w:val="105"/>
        </w:rPr>
        <w:t>pipeline.</w:t>
      </w:r>
      <w:r>
        <w:rPr>
          <w:w w:val="105"/>
        </w:rPr>
        <w:t> These</w:t>
      </w:r>
      <w:r>
        <w:rPr>
          <w:spacing w:val="-1"/>
          <w:w w:val="105"/>
        </w:rPr>
        <w:t> </w:t>
      </w:r>
      <w:r>
        <w:rPr>
          <w:w w:val="105"/>
        </w:rPr>
        <w:t>tools</w:t>
      </w:r>
      <w:r>
        <w:rPr>
          <w:spacing w:val="-1"/>
          <w:w w:val="105"/>
        </w:rPr>
        <w:t> </w:t>
      </w:r>
      <w:r>
        <w:rPr>
          <w:w w:val="105"/>
        </w:rPr>
        <w:t>were</w:t>
      </w:r>
      <w:r>
        <w:rPr>
          <w:spacing w:val="-1"/>
          <w:w w:val="105"/>
        </w:rPr>
        <w:t> </w:t>
      </w:r>
      <w:r>
        <w:rPr>
          <w:w w:val="105"/>
        </w:rPr>
        <w:t>used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enhance</w:t>
      </w:r>
      <w:r>
        <w:rPr>
          <w:spacing w:val="-1"/>
          <w:w w:val="105"/>
        </w:rPr>
        <w:t> </w:t>
      </w:r>
      <w:r>
        <w:rPr>
          <w:w w:val="105"/>
        </w:rPr>
        <w:t>efficiency, precision, and reproducibility across all stages of development.</w:t>
      </w:r>
    </w:p>
    <w:p>
      <w:pPr>
        <w:pStyle w:val="BodyText"/>
        <w:spacing w:before="86"/>
      </w:pPr>
    </w:p>
    <w:p>
      <w:pPr>
        <w:pStyle w:val="Heading3"/>
      </w:pPr>
      <w:r>
        <w:rPr>
          <w:w w:val="105"/>
        </w:rPr>
        <w:t>Simulation</w:t>
      </w:r>
      <w:r>
        <w:rPr>
          <w:spacing w:val="28"/>
          <w:w w:val="105"/>
        </w:rPr>
        <w:t> </w:t>
      </w:r>
      <w:r>
        <w:rPr>
          <w:spacing w:val="-2"/>
          <w:w w:val="105"/>
        </w:rPr>
        <w:t>Automation</w:t>
      </w:r>
    </w:p>
    <w:p>
      <w:pPr>
        <w:pStyle w:val="BodyText"/>
        <w:spacing w:line="252" w:lineRule="auto" w:before="145"/>
        <w:ind w:left="517" w:right="215"/>
        <w:jc w:val="both"/>
      </w:pPr>
      <w:r>
        <w:rPr>
          <w:w w:val="105"/>
        </w:rPr>
        <w:t>AI-assisted</w:t>
      </w:r>
      <w:r>
        <w:rPr>
          <w:w w:val="105"/>
        </w:rPr>
        <w:t> frameworks</w:t>
      </w:r>
      <w:r>
        <w:rPr>
          <w:w w:val="105"/>
        </w:rPr>
        <w:t> were</w:t>
      </w:r>
      <w:r>
        <w:rPr>
          <w:w w:val="105"/>
        </w:rPr>
        <w:t> deployed</w:t>
      </w:r>
      <w:r>
        <w:rPr>
          <w:w w:val="105"/>
        </w:rPr>
        <w:t> to</w:t>
      </w:r>
      <w:r>
        <w:rPr>
          <w:w w:val="105"/>
        </w:rPr>
        <w:t> automate</w:t>
      </w:r>
      <w:r>
        <w:rPr>
          <w:w w:val="105"/>
        </w:rPr>
        <w:t> parameter</w:t>
      </w:r>
      <w:r>
        <w:rPr>
          <w:w w:val="105"/>
        </w:rPr>
        <w:t> sweeps</w:t>
      </w:r>
      <w:r>
        <w:rPr>
          <w:w w:val="105"/>
        </w:rPr>
        <w:t> for</w:t>
      </w:r>
      <w:r>
        <w:rPr>
          <w:spacing w:val="80"/>
          <w:w w:val="105"/>
        </w:rPr>
        <w:t> </w:t>
      </w:r>
      <w:r>
        <w:rPr>
          <w:w w:val="105"/>
        </w:rPr>
        <w:t>the</w:t>
      </w:r>
      <w:r>
        <w:rPr>
          <w:w w:val="105"/>
        </w:rPr>
        <w:t> generalized</w:t>
      </w:r>
      <w:r>
        <w:rPr>
          <w:w w:val="105"/>
        </w:rPr>
        <w:t> quantum</w:t>
      </w:r>
      <w:r>
        <w:rPr>
          <w:w w:val="105"/>
        </w:rPr>
        <w:t> evolution</w:t>
      </w:r>
      <w:r>
        <w:rPr>
          <w:w w:val="105"/>
        </w:rPr>
        <w:t> model—the</w:t>
      </w:r>
      <w:r>
        <w:rPr>
          <w:w w:val="105"/>
        </w:rPr>
        <w:t> Lawrence</w:t>
      </w:r>
      <w:r>
        <w:rPr>
          <w:w w:val="105"/>
        </w:rPr>
        <w:t> Equation—across phase</w:t>
      </w:r>
      <w:r>
        <w:rPr>
          <w:w w:val="105"/>
        </w:rPr>
        <w:t> deformation</w:t>
      </w:r>
      <w:r>
        <w:rPr>
          <w:w w:val="105"/>
        </w:rPr>
        <w:t> (</w:t>
      </w:r>
      <w:r>
        <w:rPr>
          <w:rFonts w:ascii="Georgia" w:hAnsi="Georgia"/>
          <w:i/>
          <w:w w:val="105"/>
        </w:rPr>
        <w:t>α</w:t>
      </w:r>
      <w:r>
        <w:rPr>
          <w:w w:val="105"/>
        </w:rPr>
        <w:t>)</w:t>
      </w:r>
      <w:r>
        <w:rPr>
          <w:w w:val="105"/>
        </w:rPr>
        <w:t> and</w:t>
      </w:r>
      <w:r>
        <w:rPr>
          <w:w w:val="105"/>
        </w:rPr>
        <w:t> decoherence</w:t>
      </w:r>
      <w:r>
        <w:rPr>
          <w:w w:val="105"/>
        </w:rPr>
        <w:t> strength</w:t>
      </w:r>
      <w:r>
        <w:rPr>
          <w:w w:val="105"/>
        </w:rPr>
        <w:t> (</w:t>
      </w:r>
      <w:r>
        <w:rPr>
          <w:rFonts w:ascii="Georgia" w:hAnsi="Georgia"/>
          <w:i/>
          <w:w w:val="105"/>
        </w:rPr>
        <w:t>γ</w:t>
      </w:r>
      <w:r>
        <w:rPr>
          <w:w w:val="105"/>
        </w:rPr>
        <w:t>).</w:t>
      </w:r>
      <w:r>
        <w:rPr>
          <w:spacing w:val="40"/>
          <w:w w:val="105"/>
        </w:rPr>
        <w:t> </w:t>
      </w:r>
      <w:r>
        <w:rPr>
          <w:w w:val="105"/>
        </w:rPr>
        <w:t>These</w:t>
      </w:r>
      <w:r>
        <w:rPr>
          <w:w w:val="105"/>
        </w:rPr>
        <w:t> tools</w:t>
      </w:r>
      <w:r>
        <w:rPr>
          <w:w w:val="105"/>
        </w:rPr>
        <w:t> enabled efficient</w:t>
      </w:r>
      <w:r>
        <w:rPr>
          <w:spacing w:val="-16"/>
          <w:w w:val="105"/>
        </w:rPr>
        <w:t> </w:t>
      </w:r>
      <w:r>
        <w:rPr>
          <w:w w:val="105"/>
        </w:rPr>
        <w:t>extraction</w:t>
      </w:r>
      <w:r>
        <w:rPr>
          <w:spacing w:val="-11"/>
          <w:w w:val="105"/>
        </w:rPr>
        <w:t> </w:t>
      </w:r>
      <w:r>
        <w:rPr>
          <w:w w:val="105"/>
        </w:rPr>
        <w:t>of collapse time surfaces </w:t>
      </w:r>
      <w:r>
        <w:rPr>
          <w:rFonts w:ascii="Georgia" w:hAnsi="Georgia"/>
          <w:i/>
          <w:w w:val="105"/>
        </w:rPr>
        <w:t>τ</w:t>
      </w:r>
      <w:r>
        <w:rPr>
          <w:rFonts w:ascii="Georgia" w:hAnsi="Georgia"/>
          <w:i/>
          <w:spacing w:val="-16"/>
          <w:w w:val="105"/>
        </w:rPr>
        <w:t> </w:t>
      </w:r>
      <w:r>
        <w:rPr>
          <w:w w:val="105"/>
        </w:rPr>
        <w:t>(</w:t>
      </w:r>
      <w:r>
        <w:rPr>
          <w:rFonts w:ascii="Georgia" w:hAnsi="Georgia"/>
          <w:i/>
          <w:w w:val="105"/>
        </w:rPr>
        <w:t>γ,</w:t>
      </w:r>
      <w:r>
        <w:rPr>
          <w:rFonts w:ascii="Georgia" w:hAnsi="Georgia"/>
          <w:i/>
          <w:spacing w:val="-15"/>
          <w:w w:val="105"/>
        </w:rPr>
        <w:t> </w:t>
      </w:r>
      <w:r>
        <w:rPr>
          <w:rFonts w:ascii="Georgia" w:hAnsi="Georgia"/>
          <w:i/>
          <w:w w:val="105"/>
        </w:rPr>
        <w:t>α</w:t>
      </w:r>
      <w:r>
        <w:rPr>
          <w:w w:val="105"/>
        </w:rPr>
        <w:t>) and the identification of dynamic transition regimes.</w:t>
      </w:r>
      <w:r>
        <w:rPr>
          <w:spacing w:val="40"/>
          <w:w w:val="105"/>
        </w:rPr>
        <w:t> </w:t>
      </w:r>
      <w:r>
        <w:rPr>
          <w:w w:val="105"/>
        </w:rPr>
        <w:t>Feedback-driven exploration guided the search for critical thresholds and structure-forming behaviors in complex quantum </w:t>
      </w:r>
      <w:r>
        <w:rPr>
          <w:spacing w:val="-2"/>
          <w:w w:val="105"/>
        </w:rPr>
        <w:t>systems.</w:t>
      </w:r>
    </w:p>
    <w:p>
      <w:pPr>
        <w:pStyle w:val="BodyText"/>
        <w:spacing w:before="81"/>
      </w:pPr>
    </w:p>
    <w:p>
      <w:pPr>
        <w:pStyle w:val="Heading3"/>
        <w:spacing w:before="1"/>
      </w:pPr>
      <w:r>
        <w:rPr>
          <w:w w:val="105"/>
        </w:rPr>
        <w:t>Documentation</w:t>
      </w:r>
      <w:r>
        <w:rPr>
          <w:spacing w:val="70"/>
          <w:w w:val="105"/>
        </w:rPr>
        <w:t> </w:t>
      </w:r>
      <w:r>
        <w:rPr>
          <w:w w:val="105"/>
        </w:rPr>
        <w:t>and</w:t>
      </w:r>
      <w:r>
        <w:rPr>
          <w:spacing w:val="71"/>
          <w:w w:val="105"/>
        </w:rPr>
        <w:t> </w:t>
      </w:r>
      <w:r>
        <w:rPr>
          <w:spacing w:val="-2"/>
          <w:w w:val="105"/>
        </w:rPr>
        <w:t>Communication</w:t>
      </w:r>
    </w:p>
    <w:p>
      <w:pPr>
        <w:pStyle w:val="BodyText"/>
        <w:spacing w:line="252" w:lineRule="auto" w:before="145"/>
        <w:ind w:left="517" w:right="213"/>
        <w:jc w:val="both"/>
      </w:pPr>
      <w:r>
        <w:rPr>
          <w:w w:val="105"/>
        </w:rPr>
        <w:t>Advanced</w:t>
      </w:r>
      <w:r>
        <w:rPr>
          <w:w w:val="105"/>
        </w:rPr>
        <w:t> large</w:t>
      </w:r>
      <w:r>
        <w:rPr>
          <w:w w:val="105"/>
        </w:rPr>
        <w:t> language</w:t>
      </w:r>
      <w:r>
        <w:rPr>
          <w:w w:val="105"/>
        </w:rPr>
        <w:t> models</w:t>
      </w:r>
      <w:r>
        <w:rPr>
          <w:w w:val="105"/>
        </w:rPr>
        <w:t> (LLMs)</w:t>
      </w:r>
      <w:r>
        <w:rPr>
          <w:w w:val="105"/>
        </w:rPr>
        <w:t> supported</w:t>
      </w:r>
      <w:r>
        <w:rPr>
          <w:w w:val="105"/>
        </w:rPr>
        <w:t> drafting,</w:t>
      </w:r>
      <w:r>
        <w:rPr>
          <w:w w:val="105"/>
        </w:rPr>
        <w:t> structuring, and</w:t>
      </w:r>
      <w:r>
        <w:rPr>
          <w:spacing w:val="-6"/>
          <w:w w:val="105"/>
        </w:rPr>
        <w:t> </w:t>
      </w:r>
      <w:r>
        <w:rPr>
          <w:w w:val="105"/>
        </w:rPr>
        <w:t>polishing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technical</w:t>
      </w:r>
      <w:r>
        <w:rPr>
          <w:spacing w:val="-5"/>
          <w:w w:val="105"/>
        </w:rPr>
        <w:t> </w:t>
      </w:r>
      <w:r>
        <w:rPr>
          <w:w w:val="105"/>
        </w:rPr>
        <w:t>text,</w:t>
      </w:r>
      <w:r>
        <w:rPr>
          <w:spacing w:val="-2"/>
          <w:w w:val="105"/>
        </w:rPr>
        <w:t> </w:t>
      </w:r>
      <w:r>
        <w:rPr>
          <w:w w:val="105"/>
        </w:rPr>
        <w:t>figure</w:t>
      </w:r>
      <w:r>
        <w:rPr>
          <w:spacing w:val="-6"/>
          <w:w w:val="105"/>
        </w:rPr>
        <w:t> </w:t>
      </w:r>
      <w:r>
        <w:rPr>
          <w:w w:val="105"/>
        </w:rPr>
        <w:t>descriptions,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submission</w:t>
      </w:r>
      <w:r>
        <w:rPr>
          <w:spacing w:val="-5"/>
          <w:w w:val="105"/>
        </w:rPr>
        <w:t> </w:t>
      </w:r>
      <w:r>
        <w:rPr>
          <w:w w:val="105"/>
        </w:rPr>
        <w:t>metadata. AI</w:t>
      </w:r>
      <w:r>
        <w:rPr>
          <w:spacing w:val="1"/>
          <w:w w:val="105"/>
        </w:rPr>
        <w:t> </w:t>
      </w:r>
      <w:r>
        <w:rPr>
          <w:w w:val="105"/>
        </w:rPr>
        <w:t>assistance</w:t>
      </w:r>
      <w:r>
        <w:rPr>
          <w:spacing w:val="2"/>
          <w:w w:val="105"/>
        </w:rPr>
        <w:t> </w:t>
      </w:r>
      <w:r>
        <w:rPr>
          <w:w w:val="105"/>
        </w:rPr>
        <w:t>helped</w:t>
      </w:r>
      <w:r>
        <w:rPr>
          <w:spacing w:val="2"/>
          <w:w w:val="105"/>
        </w:rPr>
        <w:t> </w:t>
      </w:r>
      <w:r>
        <w:rPr>
          <w:w w:val="105"/>
        </w:rPr>
        <w:t>streamline</w:t>
      </w:r>
      <w:r>
        <w:rPr>
          <w:spacing w:val="2"/>
          <w:w w:val="105"/>
        </w:rPr>
        <w:t> </w:t>
      </w:r>
      <w:r>
        <w:rPr>
          <w:w w:val="105"/>
        </w:rPr>
        <w:t>LaTeX</w:t>
      </w:r>
      <w:r>
        <w:rPr>
          <w:spacing w:val="1"/>
          <w:w w:val="105"/>
        </w:rPr>
        <w:t> </w:t>
      </w:r>
      <w:r>
        <w:rPr>
          <w:w w:val="105"/>
        </w:rPr>
        <w:t>formatting,</w:t>
      </w:r>
      <w:r>
        <w:rPr>
          <w:spacing w:val="3"/>
          <w:w w:val="105"/>
        </w:rPr>
        <w:t> </w:t>
      </w:r>
      <w:r>
        <w:rPr>
          <w:w w:val="105"/>
        </w:rPr>
        <w:t>enforce</w:t>
      </w:r>
      <w:r>
        <w:rPr>
          <w:spacing w:val="1"/>
          <w:w w:val="105"/>
        </w:rPr>
        <w:t> </w:t>
      </w:r>
      <w:r>
        <w:rPr>
          <w:w w:val="105"/>
        </w:rPr>
        <w:t>consistency,</w:t>
      </w:r>
      <w:r>
        <w:rPr>
          <w:spacing w:val="3"/>
          <w:w w:val="105"/>
        </w:rPr>
        <w:t> </w:t>
      </w:r>
      <w:r>
        <w:rPr>
          <w:spacing w:val="-5"/>
          <w:w w:val="105"/>
        </w:rPr>
        <w:t>and</w:t>
      </w:r>
    </w:p>
    <w:p>
      <w:pPr>
        <w:pStyle w:val="BodyText"/>
        <w:spacing w:after="0" w:line="252" w:lineRule="auto"/>
        <w:jc w:val="both"/>
        <w:sectPr>
          <w:footerReference w:type="default" r:id="rId5"/>
          <w:type w:val="continuous"/>
          <w:pgSz w:w="11910" w:h="16840"/>
          <w:pgMar w:header="0" w:footer="2774" w:top="1920" w:bottom="2960" w:left="1700" w:right="1700"/>
          <w:pgNumType w:start="1"/>
        </w:sectPr>
      </w:pPr>
    </w:p>
    <w:p>
      <w:pPr>
        <w:pStyle w:val="BodyText"/>
      </w:pPr>
    </w:p>
    <w:p>
      <w:pPr>
        <w:pStyle w:val="BodyText"/>
        <w:spacing w:before="41"/>
      </w:pPr>
    </w:p>
    <w:p>
      <w:pPr>
        <w:pStyle w:val="BodyText"/>
        <w:spacing w:line="252" w:lineRule="auto"/>
        <w:ind w:left="517" w:right="214"/>
        <w:jc w:val="both"/>
      </w:pPr>
      <w:r>
        <w:rPr>
          <w:w w:val="105"/>
        </w:rPr>
        <w:t>maintain clarity across all written materials.</w:t>
      </w:r>
      <w:r>
        <w:rPr>
          <w:w w:val="105"/>
        </w:rPr>
        <w:t> Metadata and supporting doc-umentation were generated using structured prompt templates with author </w:t>
      </w:r>
      <w:r>
        <w:rPr>
          <w:spacing w:val="-2"/>
          <w:w w:val="105"/>
        </w:rPr>
        <w:t>supervision.</w:t>
      </w:r>
    </w:p>
    <w:p>
      <w:pPr>
        <w:pStyle w:val="BodyText"/>
        <w:spacing w:before="86"/>
      </w:pPr>
    </w:p>
    <w:p>
      <w:pPr>
        <w:pStyle w:val="Heading3"/>
        <w:jc w:val="both"/>
      </w:pPr>
      <w:r>
        <w:rPr>
          <w:w w:val="105"/>
        </w:rPr>
        <w:t>Scientific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Integrity</w:t>
      </w:r>
    </w:p>
    <w:p>
      <w:pPr>
        <w:pStyle w:val="BodyText"/>
        <w:spacing w:line="252" w:lineRule="auto" w:before="146"/>
        <w:ind w:left="517" w:right="212"/>
        <w:jc w:val="both"/>
      </w:pPr>
      <w:r>
        <w:rPr>
          <w:w w:val="105"/>
        </w:rPr>
        <w:t>All AI-generated content, including simulation code and narrative text, was created under the direct supervision of the author.</w:t>
      </w:r>
      <w:r>
        <w:rPr>
          <w:w w:val="105"/>
        </w:rPr>
        <w:t> Final theoretical claims, interpretations,</w:t>
      </w:r>
      <w:r>
        <w:rPr>
          <w:w w:val="105"/>
        </w:rPr>
        <w:t> and</w:t>
      </w:r>
      <w:r>
        <w:rPr>
          <w:w w:val="105"/>
        </w:rPr>
        <w:t> conclusions</w:t>
      </w:r>
      <w:r>
        <w:rPr>
          <w:w w:val="105"/>
        </w:rPr>
        <w:t> reflect</w:t>
      </w:r>
      <w:r>
        <w:rPr>
          <w:w w:val="105"/>
        </w:rPr>
        <w:t> the</w:t>
      </w:r>
      <w:r>
        <w:rPr>
          <w:w w:val="105"/>
        </w:rPr>
        <w:t> author’s</w:t>
      </w:r>
      <w:r>
        <w:rPr>
          <w:w w:val="105"/>
        </w:rPr>
        <w:t> independent</w:t>
      </w:r>
      <w:r>
        <w:rPr>
          <w:w w:val="105"/>
        </w:rPr>
        <w:t> reasoning and</w:t>
      </w:r>
      <w:r>
        <w:rPr>
          <w:w w:val="105"/>
        </w:rPr>
        <w:t> responsibility.</w:t>
      </w:r>
      <w:r>
        <w:rPr>
          <w:spacing w:val="40"/>
          <w:w w:val="105"/>
        </w:rPr>
        <w:t> </w:t>
      </w:r>
      <w:r>
        <w:rPr>
          <w:w w:val="105"/>
        </w:rPr>
        <w:t>Simulation</w:t>
      </w:r>
      <w:r>
        <w:rPr>
          <w:w w:val="105"/>
        </w:rPr>
        <w:t> data</w:t>
      </w:r>
      <w:r>
        <w:rPr>
          <w:w w:val="105"/>
        </w:rPr>
        <w:t> and</w:t>
      </w:r>
      <w:r>
        <w:rPr>
          <w:w w:val="105"/>
        </w:rPr>
        <w:t> source</w:t>
      </w:r>
      <w:r>
        <w:rPr>
          <w:w w:val="105"/>
        </w:rPr>
        <w:t> code</w:t>
      </w:r>
      <w:r>
        <w:rPr>
          <w:w w:val="105"/>
        </w:rPr>
        <w:t> are</w:t>
      </w:r>
      <w:r>
        <w:rPr>
          <w:w w:val="105"/>
        </w:rPr>
        <w:t> available</w:t>
      </w:r>
      <w:r>
        <w:rPr>
          <w:w w:val="105"/>
        </w:rPr>
        <w:t> upon</w:t>
      </w:r>
      <w:r>
        <w:rPr>
          <w:w w:val="105"/>
        </w:rPr>
        <w:t> re-quest for verification and reproducibility.</w:t>
      </w:r>
    </w:p>
    <w:sectPr>
      <w:pgSz w:w="11910" w:h="16840"/>
      <w:pgMar w:header="0" w:footer="2774" w:top="1920" w:bottom="296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 Antiqua">
    <w:altName w:val="Book Antiqua"/>
    <w:charset w:val="0"/>
    <w:family w:val="roman"/>
    <w:pitch w:val="variable"/>
  </w:font>
  <w:font w:name="Georgia">
    <w:altName w:val="Georgia"/>
    <w:charset w:val="0"/>
    <w:family w:val="roman"/>
    <w:pitch w:val="variable"/>
  </w:font>
  <w:font w:name="Century">
    <w:altName w:val="Century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7632">
              <wp:simplePos x="0" y="0"/>
              <wp:positionH relativeFrom="page">
                <wp:posOffset>3799827</wp:posOffset>
              </wp:positionH>
              <wp:positionV relativeFrom="page">
                <wp:posOffset>8790566</wp:posOffset>
              </wp:positionV>
              <wp:extent cx="163195" cy="1778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319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51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9.199005pt;margin-top:692.170593pt;width:12.85pt;height:14pt;mso-position-horizontal-relative:page;mso-position-vertical-relative:page;z-index:-1575884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51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86" w:right="391"/>
      <w:jc w:val="center"/>
      <w:outlineLvl w:val="1"/>
    </w:pPr>
    <w:rPr>
      <w:rFonts w:ascii="Book Antiqua" w:hAnsi="Book Antiqua" w:eastAsia="Book Antiqua" w:cs="Book Antiqua"/>
      <w:b/>
      <w:bCs/>
      <w:sz w:val="41"/>
      <w:szCs w:val="41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517"/>
      <w:outlineLvl w:val="2"/>
    </w:pPr>
    <w:rPr>
      <w:rFonts w:ascii="Book Antiqua" w:hAnsi="Book Antiqua" w:eastAsia="Book Antiqua" w:cs="Book Antiqua"/>
      <w:b/>
      <w:bCs/>
      <w:sz w:val="34"/>
      <w:szCs w:val="3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517"/>
      <w:outlineLvl w:val="3"/>
    </w:pPr>
    <w:rPr>
      <w:rFonts w:ascii="Book Antiqua" w:hAnsi="Book Antiqua" w:eastAsia="Book Antiqua" w:cs="Book Antiqua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saint513@icloud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2026-01-18T04:37:25Z</dcterms:created>
  <dcterms:modified xsi:type="dcterms:W3CDTF">2026-01-18T04:37:25Z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Creator">
    <vt:lpwstr>TeX</vt:lpwstr>
  </property>
  <property fmtid="{D5CDD505-2E9C-101B-9397-08002B2CF9AE}" pid="4" name="LastSaved">
    <vt:filetime>2026-01-18T00:00:00Z</vt:filetime>
  </property>
  <property fmtid="{D5CDD505-2E9C-101B-9397-08002B2CF9AE}" pid="5" name="PTEX.Fullbanner">
    <vt:lpwstr>This is pdfTeX, Version 3.141592653-2.6-1.40.26 (TeX Live 2024) kpathsea version 6.4.0</vt:lpwstr>
  </property>
  <property fmtid="{D5CDD505-2E9C-101B-9397-08002B2CF9AE}" pid="6" name="Producer">
    <vt:lpwstr>pdfTeX-1.40.26</vt:lpwstr>
  </property>
</Properties>
</file>