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6A51" w14:textId="77803BF5" w:rsidR="00EC0B9B" w:rsidRDefault="00EC0B9B">
      <w:pPr>
        <w:rPr>
          <w:rFonts w:ascii="Calibri" w:hAnsi="Calibri" w:cs="Calibri"/>
          <w:b/>
          <w:bCs/>
          <w:sz w:val="22"/>
          <w:szCs w:val="22"/>
        </w:rPr>
      </w:pPr>
      <w:r w:rsidRPr="00C81D9E">
        <w:rPr>
          <w:rFonts w:ascii="Calibri" w:hAnsi="Calibri" w:cs="Calibri"/>
          <w:b/>
          <w:bCs/>
          <w:sz w:val="22"/>
          <w:szCs w:val="22"/>
        </w:rPr>
        <w:t>Appendix 1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C81D9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C81D9E">
        <w:rPr>
          <w:rFonts w:ascii="Calibri" w:hAnsi="Calibri" w:cs="Calibri"/>
          <w:b/>
          <w:bCs/>
          <w:sz w:val="22"/>
          <w:szCs w:val="22"/>
        </w:rPr>
        <w:t>ata collection summary table</w:t>
      </w:r>
    </w:p>
    <w:p w14:paraId="6018C19B" w14:textId="77777777" w:rsidR="00EC0B9B" w:rsidRDefault="00EC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7305"/>
      </w:tblGrid>
      <w:tr w:rsidR="00CB4F17" w:rsidRPr="00D90E85" w14:paraId="5D928910" w14:textId="77777777" w:rsidTr="004B6855">
        <w:tc>
          <w:tcPr>
            <w:tcW w:w="0" w:type="auto"/>
            <w:shd w:val="clear" w:color="auto" w:fill="000000" w:themeFill="text1"/>
            <w:vAlign w:val="center"/>
            <w:hideMark/>
          </w:tcPr>
          <w:p w14:paraId="74A855FF" w14:textId="77777777" w:rsidR="00EC0B9B" w:rsidRPr="00D90E85" w:rsidRDefault="00EC0B9B" w:rsidP="004B6855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14:paraId="78F802DB" w14:textId="77777777" w:rsidR="00EC0B9B" w:rsidRPr="00D90E85" w:rsidRDefault="00EC0B9B" w:rsidP="004B6855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Data Collected (Source)</w:t>
            </w:r>
          </w:p>
        </w:tc>
      </w:tr>
      <w:tr w:rsidR="00CB4F17" w:rsidRPr="00D90E85" w14:paraId="747E70FF" w14:textId="77777777" w:rsidTr="004B6855">
        <w:tc>
          <w:tcPr>
            <w:tcW w:w="0" w:type="auto"/>
            <w:hideMark/>
          </w:tcPr>
          <w:p w14:paraId="59A10E3E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Demographics</w:t>
            </w:r>
          </w:p>
        </w:tc>
        <w:tc>
          <w:tcPr>
            <w:tcW w:w="0" w:type="auto"/>
            <w:hideMark/>
          </w:tcPr>
          <w:p w14:paraId="12AC3BCA" w14:textId="4D9B770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Age, Sex, BMI, comorbidities (ASA, WHO Performance Status, APU</w:t>
            </w:r>
            <w:r w:rsidR="00CB4F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SORT</w:t>
            </w:r>
            <w:r w:rsidR="00CB4F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v2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Score) (</w:t>
            </w:r>
            <w:r w:rsidR="001F2F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2934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pic</w:t>
            </w:r>
            <w:r w:rsidR="00CB4F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&amp; SORT v2 website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CB4F17" w:rsidRPr="00D90E85" w14:paraId="5A7B5BA2" w14:textId="77777777" w:rsidTr="004B6855">
        <w:tc>
          <w:tcPr>
            <w:tcW w:w="0" w:type="auto"/>
            <w:hideMark/>
          </w:tcPr>
          <w:p w14:paraId="31C1E4D1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</w:rPr>
              <w:t>O</w:t>
            </w:r>
            <w:r w:rsidRPr="00D90E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ncology</w:t>
            </w:r>
          </w:p>
        </w:tc>
        <w:tc>
          <w:tcPr>
            <w:tcW w:w="0" w:type="auto"/>
            <w:hideMark/>
          </w:tcPr>
          <w:p w14:paraId="7673FB44" w14:textId="5D04A4E1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Cancer stage (III &amp; IV), number of neoadjuvant cycles (NACT)</w:t>
            </w:r>
            <w:r w:rsidRPr="00D90E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Time to Adjuvant Chemotherapy (TTAC)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(E</w:t>
            </w:r>
            <w:r w:rsidR="002934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pic)</w:t>
            </w:r>
          </w:p>
        </w:tc>
      </w:tr>
      <w:tr w:rsidR="00CB4F17" w:rsidRPr="00D90E85" w14:paraId="2DBD7F93" w14:textId="77777777" w:rsidTr="004B6855">
        <w:tc>
          <w:tcPr>
            <w:tcW w:w="0" w:type="auto"/>
            <w:hideMark/>
          </w:tcPr>
          <w:p w14:paraId="49774053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Prehabilitation</w:t>
            </w:r>
          </w:p>
        </w:tc>
        <w:tc>
          <w:tcPr>
            <w:tcW w:w="0" w:type="auto"/>
            <w:hideMark/>
          </w:tcPr>
          <w:p w14:paraId="7EEB8E42" w14:textId="2C704049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hAnsi="Calibri" w:cs="Calibri"/>
                <w:sz w:val="22"/>
                <w:szCs w:val="22"/>
              </w:rPr>
              <w:t>Enrolment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status, duration</w:t>
            </w:r>
            <w:r w:rsidRPr="00D90E85">
              <w:rPr>
                <w:rFonts w:ascii="Calibri" w:hAnsi="Calibri" w:cs="Calibri"/>
                <w:sz w:val="22"/>
                <w:szCs w:val="22"/>
              </w:rPr>
              <w:t>, No. of Appointments (Physiotherapy, Nutrition, Psychology, Anaesthetics, MDTs) (E</w:t>
            </w:r>
            <w:r w:rsidR="0029348E">
              <w:rPr>
                <w:rFonts w:ascii="Calibri" w:hAnsi="Calibri" w:cs="Calibri"/>
                <w:sz w:val="22"/>
                <w:szCs w:val="22"/>
              </w:rPr>
              <w:t>pic</w:t>
            </w:r>
            <w:r w:rsidRPr="00D90E8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CB4F17" w:rsidRPr="00D90E85" w14:paraId="79FB86FC" w14:textId="77777777" w:rsidTr="004B6855">
        <w:tc>
          <w:tcPr>
            <w:tcW w:w="0" w:type="auto"/>
            <w:hideMark/>
          </w:tcPr>
          <w:p w14:paraId="59D3FF25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Surgical Data</w:t>
            </w:r>
          </w:p>
        </w:tc>
        <w:tc>
          <w:tcPr>
            <w:tcW w:w="0" w:type="auto"/>
            <w:hideMark/>
          </w:tcPr>
          <w:p w14:paraId="34F018FE" w14:textId="06F9EA54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Type of surgery (CRS, IDS), Peritoneal</w:t>
            </w:r>
            <w:r w:rsidRPr="00D90E85">
              <w:rPr>
                <w:rFonts w:ascii="Calibri" w:hAnsi="Calibri" w:cs="Calibri"/>
                <w:sz w:val="22"/>
                <w:szCs w:val="22"/>
              </w:rPr>
              <w:t xml:space="preserve"> cancer index score (PCI)</w:t>
            </w:r>
            <w:r w:rsidR="00CB4F17">
              <w:rPr>
                <w:rFonts w:ascii="Calibri" w:hAnsi="Calibri" w:cs="Calibri"/>
                <w:sz w:val="22"/>
                <w:szCs w:val="22"/>
              </w:rPr>
              <w:t xml:space="preserve">, Complete Cytoreduction Rate </w:t>
            </w:r>
            <w:r w:rsidRPr="00D90E85">
              <w:rPr>
                <w:rFonts w:ascii="Calibri" w:hAnsi="Calibri" w:cs="Calibri"/>
                <w:sz w:val="22"/>
                <w:szCs w:val="22"/>
              </w:rPr>
              <w:t>(E</w:t>
            </w:r>
            <w:r w:rsidR="0029348E">
              <w:rPr>
                <w:rFonts w:ascii="Calibri" w:hAnsi="Calibri" w:cs="Calibri"/>
                <w:sz w:val="22"/>
                <w:szCs w:val="22"/>
              </w:rPr>
              <w:t>pic</w:t>
            </w:r>
            <w:r w:rsidRPr="00D90E8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CB4F17" w:rsidRPr="00D90E85" w14:paraId="1EBBA4C4" w14:textId="77777777" w:rsidTr="004B6855">
        <w:tc>
          <w:tcPr>
            <w:tcW w:w="0" w:type="auto"/>
            <w:hideMark/>
          </w:tcPr>
          <w:p w14:paraId="41767306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Clinical Outcomes</w:t>
            </w:r>
          </w:p>
        </w:tc>
        <w:tc>
          <w:tcPr>
            <w:tcW w:w="0" w:type="auto"/>
            <w:hideMark/>
          </w:tcPr>
          <w:p w14:paraId="78278238" w14:textId="5545500D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Postoperative complications (Clavien-Dindo Classification</w:t>
            </w:r>
            <w:r w:rsidRPr="00D90E85">
              <w:rPr>
                <w:rFonts w:ascii="Calibri" w:hAnsi="Calibri" w:cs="Calibri"/>
                <w:sz w:val="22"/>
                <w:szCs w:val="22"/>
              </w:rPr>
              <w:t xml:space="preserve"> 30-days post discharge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), </w:t>
            </w:r>
            <w:r w:rsidR="00CB4F17"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CB4F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omprehensive 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CB4F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omplication 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="00CB4F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ndex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Mortality 12 Months. (E</w:t>
            </w:r>
            <w:r w:rsidR="002934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pic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CB4F17" w:rsidRPr="00D90E85" w14:paraId="52D6B52A" w14:textId="77777777" w:rsidTr="004B6855">
        <w:tc>
          <w:tcPr>
            <w:tcW w:w="0" w:type="auto"/>
            <w:hideMark/>
          </w:tcPr>
          <w:p w14:paraId="1FACC7CD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Hospital Stay</w:t>
            </w:r>
          </w:p>
        </w:tc>
        <w:tc>
          <w:tcPr>
            <w:tcW w:w="0" w:type="auto"/>
            <w:hideMark/>
          </w:tcPr>
          <w:p w14:paraId="4279B9B9" w14:textId="17364E44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Length of stay (LOS) hospital &amp; ICU (E</w:t>
            </w:r>
            <w:r w:rsidR="002934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pic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CB4F17" w:rsidRPr="00D90E85" w14:paraId="4D567382" w14:textId="77777777" w:rsidTr="004B6855">
        <w:tc>
          <w:tcPr>
            <w:tcW w:w="0" w:type="auto"/>
            <w:hideMark/>
          </w:tcPr>
          <w:p w14:paraId="11F0E6A0" w14:textId="77777777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Costs</w:t>
            </w:r>
          </w:p>
        </w:tc>
        <w:tc>
          <w:tcPr>
            <w:tcW w:w="0" w:type="auto"/>
            <w:hideMark/>
          </w:tcPr>
          <w:p w14:paraId="61CC3DD9" w14:textId="3C33A281" w:rsidR="00EC0B9B" w:rsidRPr="00D90E85" w:rsidRDefault="00EC0B9B" w:rsidP="004B6855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Prehabilitation program costs</w:t>
            </w:r>
            <w:r w:rsidRPr="00D90E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(Trust PLICS)</w:t>
            </w:r>
            <w:r w:rsidRPr="00D90E8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hospitalisation costs (PLICS)</w:t>
            </w:r>
          </w:p>
          <w:p w14:paraId="736D90BC" w14:textId="21A78215" w:rsidR="00EC0B9B" w:rsidRPr="001F2FFE" w:rsidRDefault="00EC0B9B" w:rsidP="004B6855">
            <w:pPr>
              <w:spacing w:line="48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 w:rsidRPr="00D90E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Telephone Encounters – 25% reduced as per NHS tariffs</w:t>
            </w:r>
            <w:r w:rsidR="001F2FFE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eastAsia="en-GB"/>
              </w:rPr>
              <w:t>16</w:t>
            </w:r>
          </w:p>
        </w:tc>
      </w:tr>
    </w:tbl>
    <w:p w14:paraId="6A02489B" w14:textId="77777777" w:rsidR="00EC0B9B" w:rsidRDefault="00EC0B9B"/>
    <w:p w14:paraId="1875B297" w14:textId="77777777" w:rsidR="00EC0B9B" w:rsidRDefault="00EC0B9B"/>
    <w:p w14:paraId="50487BF9" w14:textId="295F120D" w:rsidR="00EC0B9B" w:rsidRPr="001F2FFE" w:rsidRDefault="00EC0B9B" w:rsidP="001502E4">
      <w:pPr>
        <w:rPr>
          <w:rFonts w:ascii="Calibri" w:hAnsi="Calibri" w:cs="Calibri"/>
          <w:b/>
          <w:bCs/>
          <w:sz w:val="22"/>
          <w:szCs w:val="22"/>
          <w:vertAlign w:val="superscript"/>
        </w:rPr>
      </w:pPr>
      <w:r w:rsidRPr="001502E4">
        <w:rPr>
          <w:rFonts w:ascii="Calibri" w:hAnsi="Calibri" w:cs="Calibri"/>
          <w:b/>
          <w:bCs/>
          <w:sz w:val="22"/>
          <w:szCs w:val="22"/>
        </w:rPr>
        <w:t>Appendix 2</w:t>
      </w:r>
      <w:r w:rsidRPr="001502E4">
        <w:rPr>
          <w:rFonts w:ascii="Calibri" w:hAnsi="Calibri" w:cs="Calibri"/>
          <w:b/>
          <w:bCs/>
          <w:sz w:val="22"/>
          <w:szCs w:val="22"/>
        </w:rPr>
        <w:t>:</w:t>
      </w:r>
      <w:r w:rsidRPr="001502E4">
        <w:rPr>
          <w:rFonts w:ascii="Calibri" w:hAnsi="Calibri" w:cs="Calibri"/>
          <w:b/>
          <w:bCs/>
          <w:sz w:val="22"/>
          <w:szCs w:val="22"/>
        </w:rPr>
        <w:t xml:space="preserve"> Modelled QALY Decrements Downey et al</w:t>
      </w:r>
      <w:r w:rsidRPr="001502E4">
        <w:rPr>
          <w:rFonts w:ascii="Calibri" w:hAnsi="Calibri" w:cs="Calibri"/>
          <w:b/>
          <w:bCs/>
          <w:sz w:val="22"/>
          <w:szCs w:val="22"/>
        </w:rPr>
        <w:t>, 2023</w:t>
      </w:r>
      <w:r w:rsidR="001F2FFE">
        <w:rPr>
          <w:rFonts w:ascii="Calibri" w:hAnsi="Calibri" w:cs="Calibri"/>
          <w:b/>
          <w:bCs/>
          <w:sz w:val="22"/>
          <w:szCs w:val="22"/>
          <w:vertAlign w:val="superscript"/>
        </w:rPr>
        <w:t>6</w:t>
      </w:r>
    </w:p>
    <w:p w14:paraId="1F02B47B" w14:textId="77777777" w:rsidR="00EC0B9B" w:rsidRDefault="00EC0B9B"/>
    <w:tbl>
      <w:tblPr>
        <w:tblStyle w:val="GridTable4"/>
        <w:tblW w:w="9209" w:type="dxa"/>
        <w:tblLook w:val="04A0" w:firstRow="1" w:lastRow="0" w:firstColumn="1" w:lastColumn="0" w:noHBand="0" w:noVBand="1"/>
      </w:tblPr>
      <w:tblGrid>
        <w:gridCol w:w="2160"/>
        <w:gridCol w:w="4044"/>
        <w:gridCol w:w="3005"/>
      </w:tblGrid>
      <w:tr w:rsidR="00EC0B9B" w:rsidRPr="00D90E85" w14:paraId="54C2A77C" w14:textId="77777777" w:rsidTr="004B6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EBB2023" w14:textId="77777777" w:rsidR="00EC0B9B" w:rsidRPr="00D90E85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0E85">
              <w:rPr>
                <w:rFonts w:ascii="Calibri" w:hAnsi="Calibri" w:cs="Calibri"/>
              </w:rPr>
              <w:t>Clavien</w:t>
            </w:r>
            <w:proofErr w:type="spellEnd"/>
            <w:r w:rsidRPr="00D90E85">
              <w:rPr>
                <w:rFonts w:ascii="Calibri" w:hAnsi="Calibri" w:cs="Calibri"/>
              </w:rPr>
              <w:t>–Dindo grade</w:t>
            </w:r>
          </w:p>
        </w:tc>
        <w:tc>
          <w:tcPr>
            <w:tcW w:w="4044" w:type="dxa"/>
            <w:vAlign w:val="center"/>
          </w:tcPr>
          <w:p w14:paraId="5BCCAF90" w14:textId="77777777" w:rsidR="00EC0B9B" w:rsidRPr="00D90E85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Clinical description</w:t>
            </w:r>
          </w:p>
        </w:tc>
        <w:tc>
          <w:tcPr>
            <w:tcW w:w="3005" w:type="dxa"/>
            <w:vAlign w:val="center"/>
          </w:tcPr>
          <w:p w14:paraId="567800C7" w14:textId="77777777" w:rsidR="00EC0B9B" w:rsidRPr="00D90E85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QALY decrement (12 months)</w:t>
            </w:r>
          </w:p>
        </w:tc>
      </w:tr>
      <w:tr w:rsidR="00EC0B9B" w:rsidRPr="00D90E85" w14:paraId="50D05B94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vAlign w:val="center"/>
          </w:tcPr>
          <w:p w14:paraId="4AA02E0B" w14:textId="77777777" w:rsidR="00EC0B9B" w:rsidRPr="00D90E85" w:rsidRDefault="00EC0B9B" w:rsidP="00D66B4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</w:t>
            </w:r>
          </w:p>
        </w:tc>
        <w:tc>
          <w:tcPr>
            <w:tcW w:w="4044" w:type="dxa"/>
            <w:shd w:val="clear" w:color="auto" w:fill="FFFFFF" w:themeFill="background1"/>
            <w:vAlign w:val="center"/>
          </w:tcPr>
          <w:p w14:paraId="7E132858" w14:textId="77777777" w:rsidR="00EC0B9B" w:rsidRPr="00D90E85" w:rsidRDefault="00EC0B9B" w:rsidP="00D66B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No postoperative complication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FFFBBB1" w14:textId="77777777" w:rsidR="00EC0B9B" w:rsidRPr="00D90E85" w:rsidRDefault="00EC0B9B" w:rsidP="00D66B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0.000</w:t>
            </w:r>
          </w:p>
        </w:tc>
      </w:tr>
      <w:tr w:rsidR="00EC0B9B" w:rsidRPr="00D90E85" w14:paraId="0D080E58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vAlign w:val="center"/>
          </w:tcPr>
          <w:p w14:paraId="64561448" w14:textId="77777777" w:rsidR="00EC0B9B" w:rsidRPr="00D90E85" w:rsidRDefault="00EC0B9B" w:rsidP="00D66B4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I</w:t>
            </w:r>
          </w:p>
        </w:tc>
        <w:tc>
          <w:tcPr>
            <w:tcW w:w="4044" w:type="dxa"/>
            <w:shd w:val="clear" w:color="auto" w:fill="FFFFFF" w:themeFill="background1"/>
            <w:vAlign w:val="center"/>
          </w:tcPr>
          <w:p w14:paraId="5554EDFD" w14:textId="77777777" w:rsidR="00EC0B9B" w:rsidRPr="00D90E85" w:rsidRDefault="00EC0B9B" w:rsidP="00D66B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Minor deviation from normal postoperative course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63AE8F7" w14:textId="77777777" w:rsidR="00EC0B9B" w:rsidRPr="00D90E85" w:rsidRDefault="00EC0B9B" w:rsidP="00D66B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0.012</w:t>
            </w:r>
          </w:p>
        </w:tc>
      </w:tr>
      <w:tr w:rsidR="00EC0B9B" w:rsidRPr="00D90E85" w14:paraId="2F93EC81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vAlign w:val="center"/>
          </w:tcPr>
          <w:p w14:paraId="091B0BCE" w14:textId="77777777" w:rsidR="00EC0B9B" w:rsidRPr="00D90E85" w:rsidRDefault="00EC0B9B" w:rsidP="00D66B4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II</w:t>
            </w:r>
          </w:p>
        </w:tc>
        <w:tc>
          <w:tcPr>
            <w:tcW w:w="4044" w:type="dxa"/>
            <w:shd w:val="clear" w:color="auto" w:fill="FFFFFF" w:themeFill="background1"/>
            <w:vAlign w:val="center"/>
          </w:tcPr>
          <w:p w14:paraId="6DA09C66" w14:textId="77777777" w:rsidR="00EC0B9B" w:rsidRPr="00D90E85" w:rsidRDefault="00EC0B9B" w:rsidP="00D66B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Complication requiring pharmacological treatment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459CE898" w14:textId="77777777" w:rsidR="00EC0B9B" w:rsidRPr="00D90E85" w:rsidRDefault="00EC0B9B" w:rsidP="00D66B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0.026</w:t>
            </w:r>
          </w:p>
        </w:tc>
      </w:tr>
      <w:tr w:rsidR="00EC0B9B" w:rsidRPr="00D90E85" w14:paraId="3D214FEB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vAlign w:val="center"/>
          </w:tcPr>
          <w:p w14:paraId="58E4F02C" w14:textId="77777777" w:rsidR="00EC0B9B" w:rsidRPr="00D90E85" w:rsidRDefault="00EC0B9B" w:rsidP="00D66B4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III</w:t>
            </w:r>
          </w:p>
        </w:tc>
        <w:tc>
          <w:tcPr>
            <w:tcW w:w="4044" w:type="dxa"/>
            <w:shd w:val="clear" w:color="auto" w:fill="FFFFFF" w:themeFill="background1"/>
            <w:vAlign w:val="center"/>
          </w:tcPr>
          <w:p w14:paraId="61DEA39F" w14:textId="77777777" w:rsidR="00EC0B9B" w:rsidRPr="00D90E85" w:rsidRDefault="00EC0B9B" w:rsidP="00D66B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Complication requiring surgical, endoscopic or radiological intervention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537EA39" w14:textId="77777777" w:rsidR="00EC0B9B" w:rsidRPr="00D90E85" w:rsidRDefault="00EC0B9B" w:rsidP="00D66B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0.033</w:t>
            </w:r>
          </w:p>
        </w:tc>
      </w:tr>
      <w:tr w:rsidR="00EC0B9B" w:rsidRPr="00D90E85" w14:paraId="5E9D498E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vAlign w:val="center"/>
          </w:tcPr>
          <w:p w14:paraId="4203C196" w14:textId="77777777" w:rsidR="00EC0B9B" w:rsidRPr="00D90E85" w:rsidRDefault="00EC0B9B" w:rsidP="00D66B4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IV</w:t>
            </w:r>
          </w:p>
        </w:tc>
        <w:tc>
          <w:tcPr>
            <w:tcW w:w="4044" w:type="dxa"/>
            <w:shd w:val="clear" w:color="auto" w:fill="FFFFFF" w:themeFill="background1"/>
            <w:vAlign w:val="center"/>
          </w:tcPr>
          <w:p w14:paraId="252681D1" w14:textId="77777777" w:rsidR="00EC0B9B" w:rsidRPr="00D90E85" w:rsidRDefault="00EC0B9B" w:rsidP="00D66B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Life-threatening complication requiring ICU management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14EFF19" w14:textId="77777777" w:rsidR="00EC0B9B" w:rsidRPr="00D90E85" w:rsidRDefault="00EC0B9B" w:rsidP="00D66B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0.086</w:t>
            </w:r>
          </w:p>
        </w:tc>
      </w:tr>
    </w:tbl>
    <w:p w14:paraId="440B07FE" w14:textId="77777777" w:rsidR="00EC0B9B" w:rsidRDefault="00EC0B9B"/>
    <w:p w14:paraId="3C2BC0B2" w14:textId="77777777" w:rsidR="00EC0B9B" w:rsidRDefault="00EC0B9B"/>
    <w:p w14:paraId="4D720740" w14:textId="77777777" w:rsidR="001502E4" w:rsidRDefault="001502E4" w:rsidP="001502E4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Appendix 4: </w:t>
      </w:r>
      <w:r w:rsidRPr="00D90E85">
        <w:rPr>
          <w:rFonts w:ascii="Calibri" w:hAnsi="Calibri" w:cs="Calibri"/>
          <w:b/>
          <w:bCs/>
          <w:sz w:val="22"/>
          <w:szCs w:val="22"/>
        </w:rPr>
        <w:t>Covariate Balance After Propensity Score Weighting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166"/>
      </w:tblGrid>
      <w:tr w:rsidR="001502E4" w:rsidRPr="00D90E85" w14:paraId="3946D0C0" w14:textId="77777777" w:rsidTr="00153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2A8D023C" w14:textId="77777777" w:rsidR="001502E4" w:rsidRPr="00D90E85" w:rsidRDefault="001502E4" w:rsidP="00153E5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Covariate</w:t>
            </w:r>
          </w:p>
        </w:tc>
        <w:tc>
          <w:tcPr>
            <w:tcW w:w="2880" w:type="dxa"/>
            <w:vAlign w:val="center"/>
          </w:tcPr>
          <w:p w14:paraId="7E9B856B" w14:textId="77777777" w:rsidR="001502E4" w:rsidRPr="00D90E85" w:rsidRDefault="001502E4" w:rsidP="00153E5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D90E85">
              <w:rPr>
                <w:rFonts w:ascii="Calibri" w:hAnsi="Calibri" w:cs="Calibri"/>
              </w:rPr>
              <w:t>Standardised</w:t>
            </w:r>
            <w:proofErr w:type="spellEnd"/>
            <w:r w:rsidRPr="00D90E85">
              <w:rPr>
                <w:rFonts w:ascii="Calibri" w:hAnsi="Calibri" w:cs="Calibri"/>
              </w:rPr>
              <w:t xml:space="preserve"> Mean Difference (SMD)</w:t>
            </w:r>
          </w:p>
        </w:tc>
        <w:tc>
          <w:tcPr>
            <w:tcW w:w="3166" w:type="dxa"/>
            <w:vAlign w:val="center"/>
          </w:tcPr>
          <w:p w14:paraId="2F5A60F8" w14:textId="77777777" w:rsidR="001502E4" w:rsidRPr="00D90E85" w:rsidRDefault="001502E4" w:rsidP="00153E5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Interpretation</w:t>
            </w:r>
          </w:p>
        </w:tc>
      </w:tr>
      <w:tr w:rsidR="001502E4" w:rsidRPr="00D90E85" w14:paraId="25750F3B" w14:textId="77777777" w:rsidTr="0015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FFFFF" w:themeFill="background1"/>
            <w:vAlign w:val="center"/>
          </w:tcPr>
          <w:p w14:paraId="6CC33A9A" w14:textId="77777777" w:rsidR="001502E4" w:rsidRPr="00D90E85" w:rsidRDefault="001502E4" w:rsidP="00153E5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Age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8AC1285" w14:textId="77777777" w:rsidR="001502E4" w:rsidRPr="00D90E85" w:rsidRDefault="001502E4" w:rsidP="00153E5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0.15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1C4F3370" w14:textId="77777777" w:rsidR="001502E4" w:rsidRPr="00D90E85" w:rsidRDefault="001502E4" w:rsidP="00153E5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Acceptable balance</w:t>
            </w:r>
          </w:p>
        </w:tc>
      </w:tr>
      <w:tr w:rsidR="001502E4" w:rsidRPr="00D90E85" w14:paraId="5E893C65" w14:textId="77777777" w:rsidTr="00153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FFFFF" w:themeFill="background1"/>
            <w:vAlign w:val="center"/>
          </w:tcPr>
          <w:p w14:paraId="16D5FF1C" w14:textId="77777777" w:rsidR="001502E4" w:rsidRPr="00D90E85" w:rsidRDefault="001502E4" w:rsidP="00153E5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ASA Score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AA8A340" w14:textId="77777777" w:rsidR="001502E4" w:rsidRPr="00D90E85" w:rsidRDefault="001502E4" w:rsidP="00153E5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0.07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228B8C11" w14:textId="77777777" w:rsidR="001502E4" w:rsidRPr="00D90E85" w:rsidRDefault="001502E4" w:rsidP="00153E5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Excellent balance</w:t>
            </w:r>
          </w:p>
        </w:tc>
      </w:tr>
      <w:tr w:rsidR="001502E4" w:rsidRPr="00D90E85" w14:paraId="3953B75D" w14:textId="77777777" w:rsidTr="0015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FFFFF" w:themeFill="background1"/>
            <w:vAlign w:val="center"/>
          </w:tcPr>
          <w:p w14:paraId="51DECED3" w14:textId="77777777" w:rsidR="001502E4" w:rsidRPr="00D90E85" w:rsidRDefault="001502E4" w:rsidP="00153E5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PCI (Disease Extent)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BB15036" w14:textId="77777777" w:rsidR="001502E4" w:rsidRPr="00D90E85" w:rsidRDefault="001502E4" w:rsidP="00153E5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0.01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0C5F2679" w14:textId="77777777" w:rsidR="001502E4" w:rsidRPr="00D90E85" w:rsidRDefault="001502E4" w:rsidP="00153E5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Excellent balance</w:t>
            </w:r>
          </w:p>
        </w:tc>
      </w:tr>
      <w:tr w:rsidR="001502E4" w:rsidRPr="00D90E85" w14:paraId="04DE2D7A" w14:textId="77777777" w:rsidTr="00153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FFFFF" w:themeFill="background1"/>
            <w:vAlign w:val="center"/>
          </w:tcPr>
          <w:p w14:paraId="5BAE4898" w14:textId="77777777" w:rsidR="001502E4" w:rsidRPr="00D90E85" w:rsidRDefault="001502E4" w:rsidP="00153E5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SORT V2 score (Surgical Risk)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823D8F1" w14:textId="77777777" w:rsidR="001502E4" w:rsidRPr="00D90E85" w:rsidRDefault="001502E4" w:rsidP="00153E5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0.03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22467AB5" w14:textId="77777777" w:rsidR="001502E4" w:rsidRPr="00D90E85" w:rsidRDefault="001502E4" w:rsidP="00153E5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Excellent balance</w:t>
            </w:r>
          </w:p>
        </w:tc>
      </w:tr>
    </w:tbl>
    <w:p w14:paraId="5A05840E" w14:textId="77777777" w:rsidR="001502E4" w:rsidRDefault="001502E4" w:rsidP="00EC0B9B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</w:p>
    <w:p w14:paraId="655CDE01" w14:textId="7A02D72B" w:rsidR="00EC0B9B" w:rsidRPr="00D90E85" w:rsidRDefault="00EC0B9B" w:rsidP="00EC0B9B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Appendix 3: </w:t>
      </w:r>
      <w:r w:rsidRPr="00D90E85">
        <w:rPr>
          <w:rFonts w:ascii="Calibri" w:hAnsi="Calibri" w:cs="Calibri"/>
          <w:b/>
          <w:bCs/>
          <w:sz w:val="22"/>
          <w:szCs w:val="22"/>
        </w:rPr>
        <w:t>Clinical Outcomes Before and After Propensity Score Weighting</w:t>
      </w:r>
    </w:p>
    <w:p w14:paraId="2EEADFFA" w14:textId="0F0C4918" w:rsidR="00EC0B9B" w:rsidRDefault="00EC0B9B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1701"/>
        <w:gridCol w:w="1276"/>
      </w:tblGrid>
      <w:tr w:rsidR="00EC0B9B" w:rsidRPr="00D90E85" w14:paraId="717CFB0A" w14:textId="77777777" w:rsidTr="004B6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F153467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Outcome</w:t>
            </w:r>
          </w:p>
        </w:tc>
        <w:tc>
          <w:tcPr>
            <w:tcW w:w="1418" w:type="dxa"/>
          </w:tcPr>
          <w:p w14:paraId="5B881428" w14:textId="77777777" w:rsidR="00EC0B9B" w:rsidRPr="00D90E85" w:rsidRDefault="00EC0B9B" w:rsidP="004B6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PSW Analysis</w:t>
            </w:r>
          </w:p>
        </w:tc>
        <w:tc>
          <w:tcPr>
            <w:tcW w:w="1559" w:type="dxa"/>
          </w:tcPr>
          <w:p w14:paraId="0E7A19FA" w14:textId="77777777" w:rsidR="00EC0B9B" w:rsidRPr="00D90E85" w:rsidRDefault="00EC0B9B" w:rsidP="004B6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MILE</w:t>
            </w:r>
          </w:p>
        </w:tc>
        <w:tc>
          <w:tcPr>
            <w:tcW w:w="1701" w:type="dxa"/>
          </w:tcPr>
          <w:p w14:paraId="7D433E52" w14:textId="77777777" w:rsidR="00EC0B9B" w:rsidRPr="00D90E85" w:rsidRDefault="00EC0B9B" w:rsidP="004B6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Non-MILE</w:t>
            </w:r>
          </w:p>
        </w:tc>
        <w:tc>
          <w:tcPr>
            <w:tcW w:w="1276" w:type="dxa"/>
          </w:tcPr>
          <w:p w14:paraId="17BAB9F7" w14:textId="77777777" w:rsidR="00EC0B9B" w:rsidRPr="00D90E85" w:rsidRDefault="00EC0B9B" w:rsidP="004B6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p-value</w:t>
            </w:r>
          </w:p>
        </w:tc>
      </w:tr>
      <w:tr w:rsidR="00EC0B9B" w:rsidRPr="00D90E85" w14:paraId="6686C800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62B7A551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CCI, median (IQR)</w:t>
            </w:r>
          </w:p>
        </w:tc>
        <w:tc>
          <w:tcPr>
            <w:tcW w:w="1418" w:type="dxa"/>
            <w:shd w:val="clear" w:color="auto" w:fill="FFFFFF" w:themeFill="background1"/>
          </w:tcPr>
          <w:p w14:paraId="3A4E09D7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Before</w:t>
            </w:r>
          </w:p>
        </w:tc>
        <w:tc>
          <w:tcPr>
            <w:tcW w:w="1559" w:type="dxa"/>
            <w:shd w:val="clear" w:color="auto" w:fill="FFFFFF" w:themeFill="background1"/>
          </w:tcPr>
          <w:p w14:paraId="5EDC48C8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20.9 (0–29.6)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10C07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29.6 (22.6–47.9)</w:t>
            </w:r>
          </w:p>
        </w:tc>
        <w:tc>
          <w:tcPr>
            <w:tcW w:w="1276" w:type="dxa"/>
            <w:shd w:val="clear" w:color="auto" w:fill="FFFFFF" w:themeFill="background1"/>
          </w:tcPr>
          <w:p w14:paraId="2B974D8C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&lt;0.001</w:t>
            </w:r>
          </w:p>
        </w:tc>
      </w:tr>
      <w:tr w:rsidR="00EC0B9B" w:rsidRPr="00D90E85" w14:paraId="2DF482FD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5BB3A787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2EC5BB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After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1B6448B0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20.9 (0–29.6)</w:t>
            </w:r>
          </w:p>
        </w:tc>
        <w:tc>
          <w:tcPr>
            <w:tcW w:w="1701" w:type="dxa"/>
            <w:shd w:val="clear" w:color="auto" w:fill="FFFFFF" w:themeFill="background1"/>
          </w:tcPr>
          <w:p w14:paraId="714552CA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29.6 (22.6–47.9)</w:t>
            </w:r>
          </w:p>
        </w:tc>
        <w:tc>
          <w:tcPr>
            <w:tcW w:w="1276" w:type="dxa"/>
            <w:shd w:val="clear" w:color="auto" w:fill="FFFFFF" w:themeFill="background1"/>
          </w:tcPr>
          <w:p w14:paraId="0B85FAD5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0.003</w:t>
            </w:r>
          </w:p>
        </w:tc>
      </w:tr>
      <w:tr w:rsidR="00EC0B9B" w:rsidRPr="00D90E85" w14:paraId="43C8A303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1851F3F0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Grade III–IV complications, %</w:t>
            </w:r>
          </w:p>
        </w:tc>
        <w:tc>
          <w:tcPr>
            <w:tcW w:w="1418" w:type="dxa"/>
            <w:shd w:val="clear" w:color="auto" w:fill="FFFFFF" w:themeFill="background1"/>
          </w:tcPr>
          <w:p w14:paraId="1B07F15E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Before</w:t>
            </w:r>
          </w:p>
        </w:tc>
        <w:tc>
          <w:tcPr>
            <w:tcW w:w="1559" w:type="dxa"/>
            <w:shd w:val="clear" w:color="auto" w:fill="FFFFFF" w:themeFill="background1"/>
          </w:tcPr>
          <w:p w14:paraId="1AC358F3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13.5</w:t>
            </w:r>
          </w:p>
        </w:tc>
        <w:tc>
          <w:tcPr>
            <w:tcW w:w="1701" w:type="dxa"/>
            <w:shd w:val="clear" w:color="auto" w:fill="FFFFFF" w:themeFill="background1"/>
          </w:tcPr>
          <w:p w14:paraId="533825C9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36.1</w:t>
            </w:r>
          </w:p>
        </w:tc>
        <w:tc>
          <w:tcPr>
            <w:tcW w:w="1276" w:type="dxa"/>
            <w:shd w:val="clear" w:color="auto" w:fill="FFFFFF" w:themeFill="background1"/>
          </w:tcPr>
          <w:p w14:paraId="2C0E831C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0.03</w:t>
            </w:r>
          </w:p>
        </w:tc>
      </w:tr>
      <w:tr w:rsidR="00EC0B9B" w:rsidRPr="00D90E85" w14:paraId="21DD5FF9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03227BC4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F2C13A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After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67EBC2A9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13.9</w:t>
            </w:r>
          </w:p>
        </w:tc>
        <w:tc>
          <w:tcPr>
            <w:tcW w:w="1701" w:type="dxa"/>
            <w:shd w:val="clear" w:color="auto" w:fill="FFFFFF" w:themeFill="background1"/>
          </w:tcPr>
          <w:p w14:paraId="5A97B026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33.6</w:t>
            </w:r>
          </w:p>
        </w:tc>
        <w:tc>
          <w:tcPr>
            <w:tcW w:w="1276" w:type="dxa"/>
            <w:shd w:val="clear" w:color="auto" w:fill="FFFFFF" w:themeFill="background1"/>
          </w:tcPr>
          <w:p w14:paraId="084D8B15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0.038</w:t>
            </w:r>
          </w:p>
        </w:tc>
      </w:tr>
      <w:tr w:rsidR="00EC0B9B" w:rsidRPr="00D90E85" w14:paraId="1790631A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44B7A7E7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ICU LOS, median (IQR), days</w:t>
            </w:r>
          </w:p>
        </w:tc>
        <w:tc>
          <w:tcPr>
            <w:tcW w:w="1418" w:type="dxa"/>
            <w:shd w:val="clear" w:color="auto" w:fill="FFFFFF" w:themeFill="background1"/>
          </w:tcPr>
          <w:p w14:paraId="54B11797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Before</w:t>
            </w:r>
          </w:p>
        </w:tc>
        <w:tc>
          <w:tcPr>
            <w:tcW w:w="1559" w:type="dxa"/>
            <w:shd w:val="clear" w:color="auto" w:fill="FFFFFF" w:themeFill="background1"/>
          </w:tcPr>
          <w:p w14:paraId="28E2F16B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 (1–2.5)</w:t>
            </w:r>
          </w:p>
        </w:tc>
        <w:tc>
          <w:tcPr>
            <w:tcW w:w="1701" w:type="dxa"/>
            <w:shd w:val="clear" w:color="auto" w:fill="FFFFFF" w:themeFill="background1"/>
          </w:tcPr>
          <w:p w14:paraId="25546F7D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2 (1–3)</w:t>
            </w:r>
          </w:p>
        </w:tc>
        <w:tc>
          <w:tcPr>
            <w:tcW w:w="1276" w:type="dxa"/>
            <w:shd w:val="clear" w:color="auto" w:fill="FFFFFF" w:themeFill="background1"/>
          </w:tcPr>
          <w:p w14:paraId="3345CB2E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0.02</w:t>
            </w:r>
          </w:p>
        </w:tc>
      </w:tr>
      <w:tr w:rsidR="00EC0B9B" w:rsidRPr="00D90E85" w14:paraId="3D95E47E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1936A98D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13362D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After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39123FC7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 (1–2)</w:t>
            </w:r>
          </w:p>
        </w:tc>
        <w:tc>
          <w:tcPr>
            <w:tcW w:w="1701" w:type="dxa"/>
            <w:shd w:val="clear" w:color="auto" w:fill="FFFFFF" w:themeFill="background1"/>
          </w:tcPr>
          <w:p w14:paraId="0C25908F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2 (1–3)</w:t>
            </w:r>
          </w:p>
        </w:tc>
        <w:tc>
          <w:tcPr>
            <w:tcW w:w="1276" w:type="dxa"/>
            <w:shd w:val="clear" w:color="auto" w:fill="FFFFFF" w:themeFill="background1"/>
          </w:tcPr>
          <w:p w14:paraId="18277A92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0.01</w:t>
            </w:r>
          </w:p>
        </w:tc>
      </w:tr>
      <w:tr w:rsidR="00EC0B9B" w:rsidRPr="00D90E85" w14:paraId="7225870A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3A6B8B1E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Hospital LOS, median (IQR), days</w:t>
            </w:r>
          </w:p>
        </w:tc>
        <w:tc>
          <w:tcPr>
            <w:tcW w:w="1418" w:type="dxa"/>
            <w:shd w:val="clear" w:color="auto" w:fill="FFFFFF" w:themeFill="background1"/>
          </w:tcPr>
          <w:p w14:paraId="4AC4D377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Before</w:t>
            </w:r>
          </w:p>
        </w:tc>
        <w:tc>
          <w:tcPr>
            <w:tcW w:w="1559" w:type="dxa"/>
            <w:shd w:val="clear" w:color="auto" w:fill="FFFFFF" w:themeFill="background1"/>
          </w:tcPr>
          <w:p w14:paraId="7BF166B3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6 (4.5–9)</w:t>
            </w:r>
          </w:p>
        </w:tc>
        <w:tc>
          <w:tcPr>
            <w:tcW w:w="1701" w:type="dxa"/>
            <w:shd w:val="clear" w:color="auto" w:fill="FFFFFF" w:themeFill="background1"/>
          </w:tcPr>
          <w:p w14:paraId="76FDE57F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8 (6–10)</w:t>
            </w:r>
          </w:p>
        </w:tc>
        <w:tc>
          <w:tcPr>
            <w:tcW w:w="1276" w:type="dxa"/>
            <w:shd w:val="clear" w:color="auto" w:fill="FFFFFF" w:themeFill="background1"/>
          </w:tcPr>
          <w:p w14:paraId="055A3EBD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0.03</w:t>
            </w:r>
          </w:p>
        </w:tc>
      </w:tr>
      <w:tr w:rsidR="00EC0B9B" w:rsidRPr="00D90E85" w14:paraId="54061D29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24BA752F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2E4ACB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After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2AF8027F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6 (4–9)</w:t>
            </w:r>
          </w:p>
        </w:tc>
        <w:tc>
          <w:tcPr>
            <w:tcW w:w="1701" w:type="dxa"/>
            <w:shd w:val="clear" w:color="auto" w:fill="FFFFFF" w:themeFill="background1"/>
          </w:tcPr>
          <w:p w14:paraId="0784972F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8 (5–10)</w:t>
            </w:r>
          </w:p>
        </w:tc>
        <w:tc>
          <w:tcPr>
            <w:tcW w:w="1276" w:type="dxa"/>
            <w:shd w:val="clear" w:color="auto" w:fill="FFFFFF" w:themeFill="background1"/>
          </w:tcPr>
          <w:p w14:paraId="04A89FC6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0.04</w:t>
            </w:r>
          </w:p>
        </w:tc>
      </w:tr>
      <w:tr w:rsidR="00EC0B9B" w:rsidRPr="00D90E85" w14:paraId="74BC5996" w14:textId="77777777" w:rsidTr="004B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09998A82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12-month mortality, %</w:t>
            </w:r>
          </w:p>
        </w:tc>
        <w:tc>
          <w:tcPr>
            <w:tcW w:w="1418" w:type="dxa"/>
            <w:shd w:val="clear" w:color="auto" w:fill="FFFFFF" w:themeFill="background1"/>
          </w:tcPr>
          <w:p w14:paraId="6263642F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Before</w:t>
            </w:r>
          </w:p>
        </w:tc>
        <w:tc>
          <w:tcPr>
            <w:tcW w:w="1559" w:type="dxa"/>
            <w:shd w:val="clear" w:color="auto" w:fill="FFFFFF" w:themeFill="background1"/>
          </w:tcPr>
          <w:p w14:paraId="1A073971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13.5</w:t>
            </w:r>
          </w:p>
        </w:tc>
        <w:tc>
          <w:tcPr>
            <w:tcW w:w="1701" w:type="dxa"/>
            <w:shd w:val="clear" w:color="auto" w:fill="FFFFFF" w:themeFill="background1"/>
          </w:tcPr>
          <w:p w14:paraId="223359C7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11.0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07E3D6" w14:textId="77777777" w:rsidR="00EC0B9B" w:rsidRPr="00D90E85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0E85">
              <w:rPr>
                <w:rFonts w:ascii="Calibri" w:hAnsi="Calibri" w:cs="Calibri"/>
                <w:color w:val="000000" w:themeColor="text1"/>
              </w:rPr>
              <w:t>1.0</w:t>
            </w:r>
          </w:p>
        </w:tc>
      </w:tr>
      <w:tr w:rsidR="00EC0B9B" w:rsidRPr="00D90E85" w14:paraId="674CF676" w14:textId="77777777" w:rsidTr="004B6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78C5CF51" w14:textId="77777777" w:rsidR="00EC0B9B" w:rsidRPr="00D90E85" w:rsidRDefault="00EC0B9B" w:rsidP="004B68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AF51FB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After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7BE8F840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14.5</w:t>
            </w:r>
          </w:p>
        </w:tc>
        <w:tc>
          <w:tcPr>
            <w:tcW w:w="1701" w:type="dxa"/>
            <w:shd w:val="clear" w:color="auto" w:fill="FFFFFF" w:themeFill="background1"/>
          </w:tcPr>
          <w:p w14:paraId="3388A8EF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10.8</w:t>
            </w:r>
          </w:p>
        </w:tc>
        <w:tc>
          <w:tcPr>
            <w:tcW w:w="1276" w:type="dxa"/>
            <w:shd w:val="clear" w:color="auto" w:fill="FFFFFF" w:themeFill="background1"/>
          </w:tcPr>
          <w:p w14:paraId="1CC5B211" w14:textId="77777777" w:rsidR="00EC0B9B" w:rsidRPr="00D90E85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0E85">
              <w:rPr>
                <w:rFonts w:ascii="Calibri" w:hAnsi="Calibri" w:cs="Calibri"/>
              </w:rPr>
              <w:t>0.63</w:t>
            </w:r>
          </w:p>
        </w:tc>
      </w:tr>
    </w:tbl>
    <w:p w14:paraId="1FB648D7" w14:textId="77777777" w:rsidR="00EC0B9B" w:rsidRDefault="00EC0B9B"/>
    <w:p w14:paraId="02B211D2" w14:textId="77777777" w:rsidR="00EC0B9B" w:rsidRPr="00D90E85" w:rsidRDefault="00EC0B9B" w:rsidP="00EC0B9B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</w:p>
    <w:p w14:paraId="1C41401A" w14:textId="77777777" w:rsidR="00EC0B9B" w:rsidRDefault="00EC0B9B"/>
    <w:p w14:paraId="12576947" w14:textId="77777777" w:rsidR="00EC0B9B" w:rsidRDefault="00EC0B9B"/>
    <w:p w14:paraId="2E7FE1CD" w14:textId="77777777" w:rsidR="00EC0B9B" w:rsidRDefault="00EC0B9B"/>
    <w:p w14:paraId="3B2EEC78" w14:textId="77777777" w:rsidR="00EC0B9B" w:rsidRDefault="00EC0B9B"/>
    <w:p w14:paraId="4E3F9142" w14:textId="77777777" w:rsidR="00EC0B9B" w:rsidRDefault="00EC0B9B"/>
    <w:p w14:paraId="2CB49E12" w14:textId="77777777" w:rsidR="00EC0B9B" w:rsidRDefault="00EC0B9B" w:rsidP="00EC0B9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C0B9B">
        <w:rPr>
          <w:rFonts w:ascii="Calibri" w:hAnsi="Calibri" w:cs="Calibri"/>
          <w:b/>
          <w:bCs/>
          <w:sz w:val="22"/>
          <w:szCs w:val="22"/>
        </w:rPr>
        <w:lastRenderedPageBreak/>
        <w:t xml:space="preserve">Appendix 5. Two-way deterministic sensitivity analysis </w:t>
      </w:r>
    </w:p>
    <w:p w14:paraId="67668055" w14:textId="77777777" w:rsidR="001502E4" w:rsidRPr="00EC0B9B" w:rsidRDefault="001502E4" w:rsidP="00EC0B9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20E62B" w14:textId="2C0CB017" w:rsidR="00EC0B9B" w:rsidRDefault="00EC0B9B" w:rsidP="00EC0B9B">
      <w:pPr>
        <w:jc w:val="both"/>
        <w:rPr>
          <w:rFonts w:ascii="Calibri" w:hAnsi="Calibri" w:cs="Calibri"/>
          <w:sz w:val="22"/>
          <w:szCs w:val="22"/>
        </w:rPr>
      </w:pPr>
      <w:r w:rsidRPr="00EC0B9B">
        <w:rPr>
          <w:rFonts w:ascii="Calibri" w:hAnsi="Calibri" w:cs="Calibri"/>
          <w:sz w:val="22"/>
          <w:szCs w:val="22"/>
        </w:rPr>
        <w:t xml:space="preserve">Two-way deterministic sensitivity analysis varying per-patient prehabilitation program costs and hospital cost differences (Non-MILE – MILE) by ±30% around base-case values. </w:t>
      </w:r>
      <w:r>
        <w:rPr>
          <w:rFonts w:ascii="Calibri" w:hAnsi="Calibri" w:cs="Calibri"/>
          <w:sz w:val="22"/>
          <w:szCs w:val="22"/>
        </w:rPr>
        <w:t>N</w:t>
      </w:r>
      <w:r w:rsidRPr="00EC0B9B">
        <w:rPr>
          <w:rFonts w:ascii="Calibri" w:hAnsi="Calibri" w:cs="Calibri"/>
          <w:sz w:val="22"/>
          <w:szCs w:val="22"/>
        </w:rPr>
        <w:t>egative values indicate that the MILE program is cost-saving.</w:t>
      </w:r>
    </w:p>
    <w:p w14:paraId="1EE2BDCA" w14:textId="77777777" w:rsidR="001502E4" w:rsidRPr="00EC0B9B" w:rsidRDefault="001502E4" w:rsidP="00EC0B9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623"/>
        <w:gridCol w:w="1257"/>
        <w:gridCol w:w="1440"/>
        <w:gridCol w:w="1440"/>
      </w:tblGrid>
      <w:tr w:rsidR="00EC0B9B" w:rsidRPr="00983C9C" w14:paraId="3DF4EF70" w14:textId="77777777" w:rsidTr="004B6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12AB9FE" w14:textId="77777777" w:rsidR="00EC0B9B" w:rsidRPr="00983C9C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983C9C">
              <w:rPr>
                <w:rFonts w:ascii="Calibri" w:hAnsi="Calibri" w:cs="Calibri"/>
              </w:rPr>
              <w:t>Analysis</w:t>
            </w:r>
          </w:p>
        </w:tc>
        <w:tc>
          <w:tcPr>
            <w:tcW w:w="1440" w:type="dxa"/>
            <w:vAlign w:val="center"/>
          </w:tcPr>
          <w:p w14:paraId="2F2E0BDB" w14:textId="77777777" w:rsidR="00EC0B9B" w:rsidRPr="00983C9C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83C9C">
              <w:rPr>
                <w:rFonts w:ascii="Calibri" w:hAnsi="Calibri" w:cs="Calibri"/>
              </w:rPr>
              <w:t>Hospital cost factor</w:t>
            </w:r>
          </w:p>
        </w:tc>
        <w:tc>
          <w:tcPr>
            <w:tcW w:w="1623" w:type="dxa"/>
            <w:vAlign w:val="center"/>
          </w:tcPr>
          <w:p w14:paraId="1489AE72" w14:textId="77777777" w:rsidR="00EC0B9B" w:rsidRPr="00983C9C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83C9C">
              <w:rPr>
                <w:rFonts w:ascii="Calibri" w:hAnsi="Calibri" w:cs="Calibri"/>
              </w:rPr>
              <w:t>Hospital cost difference (£)</w:t>
            </w:r>
          </w:p>
        </w:tc>
        <w:tc>
          <w:tcPr>
            <w:tcW w:w="1257" w:type="dxa"/>
            <w:vAlign w:val="center"/>
          </w:tcPr>
          <w:p w14:paraId="00F615BF" w14:textId="77777777" w:rsidR="00EC0B9B" w:rsidRPr="00983C9C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83C9C">
              <w:rPr>
                <w:rFonts w:ascii="Calibri" w:hAnsi="Calibri" w:cs="Calibri"/>
              </w:rPr>
              <w:t>Prehab cost factor</w:t>
            </w:r>
          </w:p>
        </w:tc>
        <w:tc>
          <w:tcPr>
            <w:tcW w:w="1440" w:type="dxa"/>
            <w:vAlign w:val="center"/>
          </w:tcPr>
          <w:p w14:paraId="7BACFB0D" w14:textId="77777777" w:rsidR="00EC0B9B" w:rsidRPr="00983C9C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83C9C">
              <w:rPr>
                <w:rFonts w:ascii="Calibri" w:hAnsi="Calibri" w:cs="Calibri"/>
              </w:rPr>
              <w:t>Prehab cost (£)</w:t>
            </w:r>
          </w:p>
        </w:tc>
        <w:tc>
          <w:tcPr>
            <w:tcW w:w="1440" w:type="dxa"/>
            <w:vAlign w:val="center"/>
          </w:tcPr>
          <w:p w14:paraId="36282A8B" w14:textId="77777777" w:rsidR="00EC0B9B" w:rsidRPr="00983C9C" w:rsidRDefault="00EC0B9B" w:rsidP="004B685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83C9C">
              <w:rPr>
                <w:rFonts w:ascii="Calibri" w:hAnsi="Calibri" w:cs="Calibri"/>
              </w:rPr>
              <w:t>Incremental cost (£)</w:t>
            </w:r>
          </w:p>
        </w:tc>
      </w:tr>
      <w:tr w:rsidR="00EC0B9B" w:rsidRPr="00983C9C" w14:paraId="78172AC0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78926676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371C7B6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F075AEC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5,720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3837E65A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38CE3A2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1,144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F05AEFE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–4,575</w:t>
            </w:r>
          </w:p>
        </w:tc>
      </w:tr>
      <w:tr w:rsidR="00EC0B9B" w:rsidRPr="00983C9C" w14:paraId="2CF0ADDE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2BCFF7D8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463E91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7F300F5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5,720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078A7C5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FC91891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1,635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0C05103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–4,085</w:t>
            </w:r>
          </w:p>
        </w:tc>
      </w:tr>
      <w:tr w:rsidR="00EC0B9B" w:rsidRPr="00983C9C" w14:paraId="33341F50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284AE5F5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C64A658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C4E5C9B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5,720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5436999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636CA68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2,126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FFB79E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–3,594</w:t>
            </w:r>
          </w:p>
        </w:tc>
      </w:tr>
      <w:tr w:rsidR="00EC0B9B" w:rsidRPr="00983C9C" w14:paraId="3F8855EE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71A1FDBA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E8FB537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A27E75C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8,171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7E368F3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A3DF26B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1,144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589B8ED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–7,026</w:t>
            </w:r>
          </w:p>
        </w:tc>
      </w:tr>
      <w:tr w:rsidR="00EC0B9B" w:rsidRPr="00983C9C" w14:paraId="33E71842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6C5572A3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51BB5A0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3138FDF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8,171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0832233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1C3BD3F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1,635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D3FCEA4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–6,536</w:t>
            </w:r>
          </w:p>
        </w:tc>
      </w:tr>
      <w:tr w:rsidR="00EC0B9B" w:rsidRPr="00983C9C" w14:paraId="6EF1A679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439A7C09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9539D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FD9AFE6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8,171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D3DD183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79B68F4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2,126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01634BB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–6,046</w:t>
            </w:r>
          </w:p>
        </w:tc>
      </w:tr>
      <w:tr w:rsidR="00EC0B9B" w:rsidRPr="00983C9C" w14:paraId="329E777C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478C672B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05EC3CB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E8A4784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10,622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9E68E10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CE4C013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1,144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EA95E96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–9,478</w:t>
            </w:r>
          </w:p>
        </w:tc>
      </w:tr>
      <w:tr w:rsidR="00EC0B9B" w:rsidRPr="00983C9C" w14:paraId="7A233030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045AA578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48AA2C5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5931F8D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10,622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82E6913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781B354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1,635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5C9648C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–8,987</w:t>
            </w:r>
          </w:p>
        </w:tc>
      </w:tr>
      <w:tr w:rsidR="00EC0B9B" w:rsidRPr="00983C9C" w14:paraId="0F014D67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32FC9FC5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08A057C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A01335F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10,622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B1CAEBC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68395E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2,126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76D812D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–8,497</w:t>
            </w:r>
          </w:p>
        </w:tc>
      </w:tr>
      <w:tr w:rsidR="00EC0B9B" w:rsidRPr="00983C9C" w14:paraId="1EB7CC20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400328C8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4405B9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4407A9D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6,023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50C91F2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47EB1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1,200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13E7F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–4,822</w:t>
            </w:r>
          </w:p>
        </w:tc>
      </w:tr>
      <w:tr w:rsidR="00EC0B9B" w:rsidRPr="00983C9C" w14:paraId="1DEF8D04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0C1E9ABB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D22A6C4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56474D7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6,023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9E30217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4D43015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1,715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B45558B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–4,308</w:t>
            </w:r>
          </w:p>
        </w:tc>
      </w:tr>
      <w:tr w:rsidR="00EC0B9B" w:rsidRPr="00983C9C" w14:paraId="1938D920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0A018BED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61C2C9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97A81F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6,023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BD9D98B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F7B9564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2,230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31F0CBF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–3,793</w:t>
            </w:r>
          </w:p>
        </w:tc>
      </w:tr>
      <w:tr w:rsidR="00EC0B9B" w:rsidRPr="00983C9C" w14:paraId="1B95B12B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34EE5D05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7734BBA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D2D0046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8,604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270783D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FC18AD6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1,200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F802F1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–7,404</w:t>
            </w:r>
          </w:p>
        </w:tc>
      </w:tr>
      <w:tr w:rsidR="00EC0B9B" w:rsidRPr="00983C9C" w14:paraId="23C68FD7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58BA7B63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51C6AB9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E36E1F2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8,604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A86D73C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FBD5DC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1,715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5485A8C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–6,889</w:t>
            </w:r>
          </w:p>
        </w:tc>
      </w:tr>
      <w:tr w:rsidR="00EC0B9B" w:rsidRPr="00983C9C" w14:paraId="56C2DFB5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138902ED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41ED15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E30EDD6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8,604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620EEDA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877FF4E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2,230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E8A3292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–6,374</w:t>
            </w:r>
          </w:p>
        </w:tc>
      </w:tr>
      <w:tr w:rsidR="00EC0B9B" w:rsidRPr="00983C9C" w14:paraId="5AD4C72B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0D0D0656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7B8D414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8ACDE02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11,185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3ACDA4EE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0.7×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3D0CC2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1,200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71F6791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–9,985</w:t>
            </w:r>
          </w:p>
        </w:tc>
      </w:tr>
      <w:tr w:rsidR="00EC0B9B" w:rsidRPr="00983C9C" w14:paraId="7036E90F" w14:textId="77777777" w:rsidTr="00E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2FE99DE1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05A91BD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D95C0B3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11,185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50E5FFB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1.0×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384E890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1,715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CDAC7FB" w14:textId="77777777" w:rsidR="00EC0B9B" w:rsidRPr="00EC0B9B" w:rsidRDefault="00EC0B9B" w:rsidP="004B685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–9,470</w:t>
            </w:r>
          </w:p>
        </w:tc>
      </w:tr>
      <w:tr w:rsidR="00EC0B9B" w:rsidRPr="00983C9C" w14:paraId="789B21BD" w14:textId="77777777" w:rsidTr="00EC0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  <w:vAlign w:val="center"/>
          </w:tcPr>
          <w:p w14:paraId="0597CE7A" w14:textId="77777777" w:rsidR="00EC0B9B" w:rsidRPr="00EC0B9B" w:rsidRDefault="00EC0B9B" w:rsidP="004B685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Median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BD8D2B2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817CF3B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11,185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475D8BD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1.3×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8087705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2,230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7CAC2AC" w14:textId="77777777" w:rsidR="00EC0B9B" w:rsidRPr="00EC0B9B" w:rsidRDefault="00EC0B9B" w:rsidP="004B685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C0B9B">
              <w:rPr>
                <w:rFonts w:ascii="Calibri" w:hAnsi="Calibri" w:cs="Calibri"/>
              </w:rPr>
              <w:t>–8,956</w:t>
            </w:r>
          </w:p>
        </w:tc>
      </w:tr>
    </w:tbl>
    <w:p w14:paraId="726A4705" w14:textId="77777777" w:rsidR="00EC0B9B" w:rsidRPr="00983C9C" w:rsidRDefault="00EC0B9B" w:rsidP="00EC0B9B">
      <w:pPr>
        <w:rPr>
          <w:rFonts w:ascii="Calibri" w:hAnsi="Calibri" w:cs="Calibri"/>
          <w:sz w:val="22"/>
          <w:szCs w:val="22"/>
        </w:rPr>
      </w:pPr>
      <w:r w:rsidRPr="00983C9C">
        <w:rPr>
          <w:rFonts w:ascii="Calibri" w:hAnsi="Calibri" w:cs="Calibri"/>
          <w:sz w:val="22"/>
          <w:szCs w:val="22"/>
        </w:rPr>
        <w:t>Notes: Hospital cost differences represent per-patient surgical admission costs including overheads (Non-MILE – MILE). Prehabilitation programme costs are per-patient costs. Both parameters were varied independently by ±30%.</w:t>
      </w:r>
    </w:p>
    <w:p w14:paraId="67F7E90E" w14:textId="77777777" w:rsidR="00EC0B9B" w:rsidRDefault="00EC0B9B"/>
    <w:p w14:paraId="66874637" w14:textId="77777777" w:rsidR="00D66B4B" w:rsidRDefault="00D66B4B"/>
    <w:p w14:paraId="2C5198E5" w14:textId="6053F05E" w:rsidR="00D66B4B" w:rsidRPr="00D66B4B" w:rsidRDefault="00D66B4B">
      <w:pPr>
        <w:rPr>
          <w:rFonts w:ascii="Calibri" w:hAnsi="Calibri" w:cs="Calibri"/>
          <w:b/>
          <w:bCs/>
          <w:sz w:val="22"/>
          <w:szCs w:val="22"/>
        </w:rPr>
      </w:pPr>
      <w:r w:rsidRPr="00D66B4B">
        <w:rPr>
          <w:rFonts w:ascii="Calibri" w:hAnsi="Calibri" w:cs="Calibri"/>
          <w:b/>
          <w:bCs/>
          <w:sz w:val="22"/>
          <w:szCs w:val="22"/>
        </w:rPr>
        <w:lastRenderedPageBreak/>
        <w:t>Appendix 6</w:t>
      </w:r>
      <w:r>
        <w:rPr>
          <w:rFonts w:ascii="Calibri" w:hAnsi="Calibri" w:cs="Calibri"/>
          <w:b/>
          <w:bCs/>
          <w:sz w:val="22"/>
          <w:szCs w:val="22"/>
        </w:rPr>
        <w:t xml:space="preserve">: Probabilistic Sensitivity </w:t>
      </w:r>
      <w:r w:rsidR="0068591A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nalysis for Net Monetary and Net Health Benefits.</w:t>
      </w:r>
    </w:p>
    <w:p w14:paraId="3076892B" w14:textId="77777777" w:rsidR="00D66B4B" w:rsidRPr="00D66B4B" w:rsidRDefault="00D66B4B">
      <w:pPr>
        <w:rPr>
          <w:rFonts w:ascii="Calibri" w:hAnsi="Calibri" w:cs="Calibri"/>
          <w:b/>
          <w:bCs/>
          <w:sz w:val="22"/>
          <w:szCs w:val="22"/>
        </w:rPr>
      </w:pPr>
    </w:p>
    <w:p w14:paraId="27655AAA" w14:textId="1CA76540" w:rsidR="00D66B4B" w:rsidRPr="00D66B4B" w:rsidRDefault="00D66B4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D66B4B">
        <w:rPr>
          <w:rFonts w:ascii="Calibri" w:hAnsi="Calibri" w:cs="Calibri"/>
          <w:b/>
          <w:bCs/>
          <w:sz w:val="22"/>
          <w:szCs w:val="22"/>
          <w:u w:val="single"/>
        </w:rPr>
        <w:t>Net Monetary Benefit</w:t>
      </w:r>
    </w:p>
    <w:p w14:paraId="3C74DBDE" w14:textId="77777777" w:rsidR="00D66B4B" w:rsidRPr="00D66B4B" w:rsidRDefault="00D66B4B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83"/>
        <w:gridCol w:w="1555"/>
        <w:gridCol w:w="2419"/>
      </w:tblGrid>
      <w:tr w:rsidR="00D66B4B" w:rsidRPr="00D66B4B" w14:paraId="14C4FBA1" w14:textId="77777777" w:rsidTr="00D66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EED31" w14:textId="77777777" w:rsidR="00D66B4B" w:rsidRPr="00D66B4B" w:rsidRDefault="00D66B4B" w:rsidP="00D66B4B">
            <w:pPr>
              <w:spacing w:line="48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WTP λ (£/QALY)</w:t>
            </w:r>
          </w:p>
        </w:tc>
        <w:tc>
          <w:tcPr>
            <w:tcW w:w="0" w:type="auto"/>
            <w:hideMark/>
          </w:tcPr>
          <w:p w14:paraId="182E4EC3" w14:textId="77777777" w:rsidR="00D66B4B" w:rsidRPr="00D66B4B" w:rsidRDefault="00D66B4B" w:rsidP="00D66B4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Mean NMB (£)</w:t>
            </w:r>
          </w:p>
        </w:tc>
        <w:tc>
          <w:tcPr>
            <w:tcW w:w="0" w:type="auto"/>
            <w:hideMark/>
          </w:tcPr>
          <w:p w14:paraId="43906023" w14:textId="77777777" w:rsidR="00D66B4B" w:rsidRPr="00D66B4B" w:rsidRDefault="00D66B4B" w:rsidP="00D66B4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95% bootstrapped CI (£)</w:t>
            </w:r>
          </w:p>
        </w:tc>
      </w:tr>
      <w:tr w:rsidR="00D66B4B" w:rsidRPr="00D66B4B" w14:paraId="0DA6DAD6" w14:textId="77777777" w:rsidTr="00D66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3F60BF4" w14:textId="77777777" w:rsidR="00D66B4B" w:rsidRPr="00D66B4B" w:rsidRDefault="00D66B4B" w:rsidP="00D66B4B">
            <w:pPr>
              <w:spacing w:line="480" w:lineRule="auto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20,000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1357FE1" w14:textId="435E8B38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£6,8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C77DEB0" w14:textId="2BF59088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528</w:t>
            </w: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to £12,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813</w:t>
            </w:r>
          </w:p>
        </w:tc>
      </w:tr>
      <w:tr w:rsidR="00D66B4B" w:rsidRPr="00D66B4B" w14:paraId="38828ACF" w14:textId="77777777" w:rsidTr="00D66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525EF80" w14:textId="77777777" w:rsidR="00D66B4B" w:rsidRPr="00D66B4B" w:rsidRDefault="00D66B4B" w:rsidP="00D66B4B">
            <w:pPr>
              <w:spacing w:line="480" w:lineRule="auto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30,000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B61DE56" w14:textId="77777777" w:rsidR="00D66B4B" w:rsidRPr="00D66B4B" w:rsidRDefault="00D66B4B" w:rsidP="00D66B4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£6,973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49B651A" w14:textId="77B186C5" w:rsidR="00D66B4B" w:rsidRPr="00D66B4B" w:rsidRDefault="00D66B4B" w:rsidP="00D66B4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719</w:t>
            </w: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to £13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,036</w:t>
            </w:r>
          </w:p>
        </w:tc>
      </w:tr>
      <w:tr w:rsidR="00D66B4B" w:rsidRPr="00D66B4B" w14:paraId="6E0940EC" w14:textId="77777777" w:rsidTr="00D66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314046A" w14:textId="77777777" w:rsidR="00D66B4B" w:rsidRPr="00D66B4B" w:rsidRDefault="00D66B4B" w:rsidP="00D66B4B">
            <w:pPr>
              <w:spacing w:line="480" w:lineRule="auto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50,000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1FA087C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£7,368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0245CCE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£1,522 to £13,186</w:t>
            </w:r>
          </w:p>
        </w:tc>
      </w:tr>
    </w:tbl>
    <w:p w14:paraId="1EC68CBD" w14:textId="0C9C87A7" w:rsidR="00D66B4B" w:rsidRPr="00D66B4B" w:rsidRDefault="00D66B4B" w:rsidP="00D66B4B">
      <w:pPr>
        <w:spacing w:before="100" w:beforeAutospacing="1" w:after="100" w:afterAutospacing="1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D66B4B">
        <w:rPr>
          <w:rFonts w:ascii="Calibri" w:hAnsi="Calibri" w:cs="Calibri"/>
          <w:color w:val="000000"/>
          <w:sz w:val="22"/>
          <w:szCs w:val="22"/>
        </w:rPr>
        <w:t xml:space="preserve">In probabilistic sensitivity analysis with 10,000 paired simulations of costs and QALYs, the mean incremental net monetary benefit of MILE versus standard care was approximately £6,800–7,400 per patient across willingness-to-pay thresholds of £20,000–£50,000 per QALY. The 95% bootstrapped </w:t>
      </w:r>
      <w:r w:rsidR="0068591A">
        <w:rPr>
          <w:rFonts w:ascii="Calibri" w:hAnsi="Calibri" w:cs="Calibri"/>
          <w:color w:val="000000"/>
          <w:sz w:val="22"/>
          <w:szCs w:val="22"/>
        </w:rPr>
        <w:t xml:space="preserve">Cis </w:t>
      </w:r>
      <w:r w:rsidRPr="00D66B4B">
        <w:rPr>
          <w:rFonts w:ascii="Calibri" w:hAnsi="Calibri" w:cs="Calibri"/>
          <w:color w:val="000000"/>
          <w:sz w:val="22"/>
          <w:szCs w:val="22"/>
        </w:rPr>
        <w:t xml:space="preserve">NMB remained entirely </w:t>
      </w:r>
      <w:r w:rsidR="0068591A">
        <w:rPr>
          <w:rFonts w:ascii="Calibri" w:hAnsi="Calibri" w:cs="Calibri"/>
          <w:color w:val="000000"/>
          <w:sz w:val="22"/>
          <w:szCs w:val="22"/>
        </w:rPr>
        <w:t xml:space="preserve">&gt; </w:t>
      </w:r>
      <w:r w:rsidRPr="00D66B4B">
        <w:rPr>
          <w:rFonts w:ascii="Calibri" w:hAnsi="Calibri" w:cs="Calibri"/>
          <w:color w:val="000000"/>
          <w:sz w:val="22"/>
          <w:szCs w:val="22"/>
        </w:rPr>
        <w:t>zero at all thresholds confirming a high probability that MILE is cost-effective.</w:t>
      </w:r>
    </w:p>
    <w:p w14:paraId="2744EE69" w14:textId="55CFC507" w:rsidR="00D66B4B" w:rsidRPr="00D66B4B" w:rsidRDefault="00D66B4B" w:rsidP="00D66B4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D66B4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Net Health Benefit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15"/>
        <w:gridCol w:w="1859"/>
        <w:gridCol w:w="2735"/>
        <w:gridCol w:w="2807"/>
      </w:tblGrid>
      <w:tr w:rsidR="00D66B4B" w:rsidRPr="00D66B4B" w14:paraId="4F654F28" w14:textId="77777777" w:rsidTr="00D66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14F4F" w14:textId="77777777" w:rsidR="00D66B4B" w:rsidRPr="00D66B4B" w:rsidRDefault="00D66B4B" w:rsidP="00D66B4B">
            <w:pPr>
              <w:spacing w:line="48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WTP λ (£/QALY)</w:t>
            </w:r>
          </w:p>
        </w:tc>
        <w:tc>
          <w:tcPr>
            <w:tcW w:w="0" w:type="auto"/>
            <w:hideMark/>
          </w:tcPr>
          <w:p w14:paraId="39FC700D" w14:textId="77777777" w:rsidR="00D66B4B" w:rsidRPr="00D66B4B" w:rsidRDefault="00D66B4B" w:rsidP="00D66B4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Mean NHB (QALYs)</w:t>
            </w:r>
          </w:p>
        </w:tc>
        <w:tc>
          <w:tcPr>
            <w:tcW w:w="0" w:type="auto"/>
            <w:hideMark/>
          </w:tcPr>
          <w:p w14:paraId="24638136" w14:textId="77777777" w:rsidR="00D66B4B" w:rsidRPr="00D66B4B" w:rsidRDefault="00D66B4B" w:rsidP="00D66B4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95% bootstrapped CI (QALYs)</w:t>
            </w:r>
          </w:p>
        </w:tc>
        <w:tc>
          <w:tcPr>
            <w:tcW w:w="0" w:type="auto"/>
            <w:hideMark/>
          </w:tcPr>
          <w:p w14:paraId="1860A9F8" w14:textId="77777777" w:rsidR="00D66B4B" w:rsidRPr="00D66B4B" w:rsidRDefault="00D66B4B" w:rsidP="00D66B4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Approx. mean months gained*</w:t>
            </w:r>
          </w:p>
        </w:tc>
      </w:tr>
      <w:tr w:rsidR="00D66B4B" w:rsidRPr="00D66B4B" w14:paraId="7D9C2057" w14:textId="77777777" w:rsidTr="00D66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C9A96FB" w14:textId="77777777" w:rsidR="00D66B4B" w:rsidRPr="00D66B4B" w:rsidRDefault="00D66B4B" w:rsidP="00D66B4B">
            <w:pPr>
              <w:spacing w:line="480" w:lineRule="auto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20,000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19F1923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0.343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F943A97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0.044 to 0.636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4989BC1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≈ </w:t>
            </w: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4.1 months</w:t>
            </w:r>
          </w:p>
        </w:tc>
      </w:tr>
      <w:tr w:rsidR="00D66B4B" w:rsidRPr="00D66B4B" w14:paraId="74CE44AC" w14:textId="77777777" w:rsidTr="00D66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99192A7" w14:textId="77777777" w:rsidR="00D66B4B" w:rsidRPr="00D66B4B" w:rsidRDefault="00D66B4B" w:rsidP="00D66B4B">
            <w:pPr>
              <w:spacing w:line="480" w:lineRule="auto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30,000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0B403D6" w14:textId="77777777" w:rsidR="00D66B4B" w:rsidRPr="00D66B4B" w:rsidRDefault="00D66B4B" w:rsidP="00D66B4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0.232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503E32F" w14:textId="77777777" w:rsidR="00D66B4B" w:rsidRPr="00D66B4B" w:rsidRDefault="00D66B4B" w:rsidP="00D66B4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0.036 to 0.441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12F75FD" w14:textId="77777777" w:rsidR="00D66B4B" w:rsidRPr="00D66B4B" w:rsidRDefault="00D66B4B" w:rsidP="00D66B4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≈ </w:t>
            </w: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2.8 months</w:t>
            </w:r>
          </w:p>
        </w:tc>
      </w:tr>
      <w:tr w:rsidR="00D66B4B" w:rsidRPr="00D66B4B" w14:paraId="3034A821" w14:textId="77777777" w:rsidTr="00D66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282D6B8E" w14:textId="77777777" w:rsidR="00D66B4B" w:rsidRPr="00D66B4B" w:rsidRDefault="00D66B4B" w:rsidP="00D66B4B">
            <w:pPr>
              <w:spacing w:line="480" w:lineRule="auto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50,000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183DDCE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0.147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AE12304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0.030 to 0.264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A0941F8" w14:textId="77777777" w:rsidR="00D66B4B" w:rsidRPr="00D66B4B" w:rsidRDefault="00D66B4B" w:rsidP="00D66B4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66B4B">
              <w:rPr>
                <w:rFonts w:ascii="Calibri" w:eastAsia="Times New Roman" w:hAnsi="Calibri" w:cs="Calibri"/>
                <w:lang w:eastAsia="en-GB"/>
              </w:rPr>
              <w:t>≈ </w:t>
            </w:r>
            <w:r w:rsidRPr="00D66B4B">
              <w:rPr>
                <w:rFonts w:ascii="Calibri" w:eastAsia="Times New Roman" w:hAnsi="Calibri" w:cs="Calibri"/>
                <w:b/>
                <w:bCs/>
                <w:lang w:eastAsia="en-GB"/>
              </w:rPr>
              <w:t>1.8 months</w:t>
            </w:r>
          </w:p>
        </w:tc>
      </w:tr>
    </w:tbl>
    <w:p w14:paraId="3F1D6871" w14:textId="58BB4DBE" w:rsidR="00D66B4B" w:rsidRPr="00D66B4B" w:rsidRDefault="00D66B4B" w:rsidP="00E7284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495299E9" w14:textId="2FB48A51" w:rsidR="00D66B4B" w:rsidRPr="00D66B4B" w:rsidRDefault="00D66B4B" w:rsidP="00E7284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66B4B">
        <w:rPr>
          <w:rFonts w:ascii="Calibri" w:hAnsi="Calibri" w:cs="Calibri"/>
          <w:sz w:val="22"/>
          <w:szCs w:val="22"/>
        </w:rPr>
        <w:t xml:space="preserve">0.0833 QALY corresponds to approximately 1 month of full health, the estimated </w:t>
      </w:r>
      <w:r w:rsidR="0068591A">
        <w:rPr>
          <w:rFonts w:ascii="Calibri" w:hAnsi="Calibri" w:cs="Calibri"/>
          <w:sz w:val="22"/>
          <w:szCs w:val="22"/>
        </w:rPr>
        <w:t xml:space="preserve">NHB </w:t>
      </w:r>
      <w:r w:rsidRPr="00D66B4B">
        <w:rPr>
          <w:rFonts w:ascii="Calibri" w:hAnsi="Calibri" w:cs="Calibri"/>
          <w:sz w:val="22"/>
          <w:szCs w:val="22"/>
        </w:rPr>
        <w:t>of MILE remained positive across all conventional willingness-to-pay thresholds. The bootstrapped 95% confidence intervals for NHB were above zero, indicating that even under uncertainty in costs and QALY estimates, MILE almost always delivers a net health gain compared with standard care at typical NHS thresholds. Because the incremental cost (</w:t>
      </w:r>
      <w:proofErr w:type="spellStart"/>
      <w:r w:rsidRPr="00D66B4B">
        <w:rPr>
          <w:rFonts w:ascii="Calibri" w:hAnsi="Calibri" w:cs="Calibri"/>
          <w:sz w:val="22"/>
          <w:szCs w:val="22"/>
        </w:rPr>
        <w:t>ΔCost</w:t>
      </w:r>
      <w:proofErr w:type="spellEnd"/>
      <w:r w:rsidRPr="00D66B4B">
        <w:rPr>
          <w:rFonts w:ascii="Calibri" w:hAnsi="Calibri" w:cs="Calibri"/>
          <w:sz w:val="22"/>
          <w:szCs w:val="22"/>
        </w:rPr>
        <w:t xml:space="preserve">) is negative and the incremental QALY gain (ΔQALY) is positive, both </w:t>
      </w:r>
      <w:r w:rsidR="0068591A">
        <w:rPr>
          <w:rFonts w:ascii="Calibri" w:hAnsi="Calibri" w:cs="Calibri"/>
          <w:sz w:val="22"/>
          <w:szCs w:val="22"/>
        </w:rPr>
        <w:t xml:space="preserve">NMB </w:t>
      </w:r>
      <w:r w:rsidRPr="00D66B4B">
        <w:rPr>
          <w:rFonts w:ascii="Calibri" w:hAnsi="Calibri" w:cs="Calibri"/>
          <w:sz w:val="22"/>
          <w:szCs w:val="22"/>
        </w:rPr>
        <w:t>and NHB are strictly positive for all thresholds considered, which in NICE decision-rule terms demonstrates that the MILE pathway is economically dominant over standard perioperative management</w:t>
      </w:r>
      <w:r w:rsidR="00E72840">
        <w:rPr>
          <w:rFonts w:ascii="Calibri" w:hAnsi="Calibri" w:cs="Calibri"/>
          <w:sz w:val="22"/>
          <w:szCs w:val="22"/>
        </w:rPr>
        <w:t>.</w:t>
      </w:r>
    </w:p>
    <w:sectPr w:rsidR="00D66B4B" w:rsidRPr="00D66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9B"/>
    <w:rsid w:val="000320C2"/>
    <w:rsid w:val="00146672"/>
    <w:rsid w:val="001502E4"/>
    <w:rsid w:val="001F2FFE"/>
    <w:rsid w:val="0029348E"/>
    <w:rsid w:val="0056108A"/>
    <w:rsid w:val="0068591A"/>
    <w:rsid w:val="00690ECD"/>
    <w:rsid w:val="0085504E"/>
    <w:rsid w:val="00A241EE"/>
    <w:rsid w:val="00B667DE"/>
    <w:rsid w:val="00BC7DC2"/>
    <w:rsid w:val="00C24A2C"/>
    <w:rsid w:val="00CB4F17"/>
    <w:rsid w:val="00CE4607"/>
    <w:rsid w:val="00D66B4B"/>
    <w:rsid w:val="00E72840"/>
    <w:rsid w:val="00EC0B9B"/>
    <w:rsid w:val="00F67CA0"/>
    <w:rsid w:val="00F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F588"/>
  <w15:chartTrackingRefBased/>
  <w15:docId w15:val="{09DC4014-28DF-1E44-BED9-ED219036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C0B9B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D66B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B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6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Snooks</dc:creator>
  <cp:keywords/>
  <dc:description/>
  <cp:lastModifiedBy>Richard Snooks</cp:lastModifiedBy>
  <cp:revision>3</cp:revision>
  <dcterms:created xsi:type="dcterms:W3CDTF">2026-01-17T17:45:00Z</dcterms:created>
  <dcterms:modified xsi:type="dcterms:W3CDTF">2026-01-17T17:48:00Z</dcterms:modified>
</cp:coreProperties>
</file>