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charts/chart27.xml" ContentType="application/vnd.openxmlformats-officedocument.drawingml.chart+xml"/>
  <Override PartName="/word/charts/style27.xml" ContentType="application/vnd.ms-office.chartstyle+xml"/>
  <Override PartName="/word/charts/colors27.xml" ContentType="application/vnd.ms-office.chartcolorstyle+xml"/>
  <Override PartName="/word/charts/chart28.xml" ContentType="application/vnd.openxmlformats-officedocument.drawingml.chart+xml"/>
  <Override PartName="/word/charts/style28.xml" ContentType="application/vnd.ms-office.chartstyle+xml"/>
  <Override PartName="/word/charts/colors28.xml" ContentType="application/vnd.ms-office.chartcolorstyle+xml"/>
  <Override PartName="/word/charts/chart29.xml" ContentType="application/vnd.openxmlformats-officedocument.drawingml.chart+xml"/>
  <Override PartName="/word/charts/style29.xml" ContentType="application/vnd.ms-office.chartstyle+xml"/>
  <Override PartName="/word/charts/colors29.xml" ContentType="application/vnd.ms-office.chartcolorstyle+xml"/>
  <Override PartName="/word/charts/chart30.xml" ContentType="application/vnd.openxmlformats-officedocument.drawingml.chart+xml"/>
  <Override PartName="/word/charts/style30.xml" ContentType="application/vnd.ms-office.chartstyle+xml"/>
  <Override PartName="/word/charts/colors30.xml" ContentType="application/vnd.ms-office.chartcolorstyle+xml"/>
  <Override PartName="/word/charts/chart31.xml" ContentType="application/vnd.openxmlformats-officedocument.drawingml.chart+xml"/>
  <Override PartName="/word/charts/style31.xml" ContentType="application/vnd.ms-office.chartstyle+xml"/>
  <Override PartName="/word/charts/colors31.xml" ContentType="application/vnd.ms-office.chartcolorstyle+xml"/>
  <Override PartName="/word/charts/chart32.xml" ContentType="application/vnd.openxmlformats-officedocument.drawingml.chart+xml"/>
  <Override PartName="/word/charts/style32.xml" ContentType="application/vnd.ms-office.chartstyle+xml"/>
  <Override PartName="/word/charts/colors32.xml" ContentType="application/vnd.ms-office.chartcolorstyle+xml"/>
  <Override PartName="/word/charts/chart33.xml" ContentType="application/vnd.openxmlformats-officedocument.drawingml.chart+xml"/>
  <Override PartName="/word/charts/style33.xml" ContentType="application/vnd.ms-office.chartstyle+xml"/>
  <Override PartName="/word/charts/colors33.xml" ContentType="application/vnd.ms-office.chartcolorstyle+xml"/>
  <Override PartName="/word/charts/chart34.xml" ContentType="application/vnd.openxmlformats-officedocument.drawingml.chart+xml"/>
  <Override PartName="/word/charts/style34.xml" ContentType="application/vnd.ms-office.chartstyle+xml"/>
  <Override PartName="/word/charts/colors34.xml" ContentType="application/vnd.ms-office.chartcolorstyle+xml"/>
  <Override PartName="/word/charts/chart35.xml" ContentType="application/vnd.openxmlformats-officedocument.drawingml.chart+xml"/>
  <Override PartName="/word/charts/style35.xml" ContentType="application/vnd.ms-office.chartstyle+xml"/>
  <Override PartName="/word/charts/colors35.xml" ContentType="application/vnd.ms-office.chartcolorstyle+xml"/>
  <Override PartName="/word/charts/chart36.xml" ContentType="application/vnd.openxmlformats-officedocument.drawingml.chart+xml"/>
  <Override PartName="/word/charts/style36.xml" ContentType="application/vnd.ms-office.chartstyle+xml"/>
  <Override PartName="/word/charts/colors36.xml" ContentType="application/vnd.ms-office.chartcolorstyle+xml"/>
  <Override PartName="/word/charts/chart37.xml" ContentType="application/vnd.openxmlformats-officedocument.drawingml.chart+xml"/>
  <Override PartName="/word/charts/style37.xml" ContentType="application/vnd.ms-office.chartstyle+xml"/>
  <Override PartName="/word/charts/colors37.xml" ContentType="application/vnd.ms-office.chartcolorstyle+xml"/>
  <Override PartName="/word/charts/chart38.xml" ContentType="application/vnd.openxmlformats-officedocument.drawingml.chart+xml"/>
  <Override PartName="/word/charts/style38.xml" ContentType="application/vnd.ms-office.chartstyle+xml"/>
  <Override PartName="/word/charts/colors38.xml" ContentType="application/vnd.ms-office.chartcolorstyle+xml"/>
  <Override PartName="/word/charts/chart39.xml" ContentType="application/vnd.openxmlformats-officedocument.drawingml.chart+xml"/>
  <Override PartName="/word/charts/style39.xml" ContentType="application/vnd.ms-office.chartstyle+xml"/>
  <Override PartName="/word/charts/colors39.xml" ContentType="application/vnd.ms-office.chartcolorstyle+xml"/>
  <Override PartName="/word/charts/chart40.xml" ContentType="application/vnd.openxmlformats-officedocument.drawingml.chart+xml"/>
  <Override PartName="/word/charts/style40.xml" ContentType="application/vnd.ms-office.chartstyle+xml"/>
  <Override PartName="/word/charts/colors40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707C5" w14:textId="77777777" w:rsidR="000B79A8" w:rsidRPr="005103D0" w:rsidRDefault="000B79A8" w:rsidP="000B79A8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19295469"/>
      <w:r w:rsidRPr="005103D0">
        <w:rPr>
          <w:rFonts w:ascii="Times New Roman" w:hAnsi="Times New Roman" w:cs="Times New Roman"/>
          <w:b/>
          <w:bCs/>
          <w:sz w:val="24"/>
          <w:szCs w:val="24"/>
        </w:rPr>
        <w:t>Table 4. Summary of Findings in ITT and PD-L1+ Population</w:t>
      </w:r>
    </w:p>
    <w:tbl>
      <w:tblPr>
        <w:tblStyle w:val="PlainTable5"/>
        <w:tblW w:w="14209" w:type="dxa"/>
        <w:tblLayout w:type="fixed"/>
        <w:tblLook w:val="04A0" w:firstRow="1" w:lastRow="0" w:firstColumn="1" w:lastColumn="0" w:noHBand="0" w:noVBand="1"/>
      </w:tblPr>
      <w:tblGrid>
        <w:gridCol w:w="1062"/>
        <w:gridCol w:w="1540"/>
        <w:gridCol w:w="1248"/>
        <w:gridCol w:w="2257"/>
        <w:gridCol w:w="1195"/>
        <w:gridCol w:w="1064"/>
        <w:gridCol w:w="1247"/>
        <w:gridCol w:w="2205"/>
        <w:gridCol w:w="133"/>
        <w:gridCol w:w="1062"/>
        <w:gridCol w:w="1196"/>
      </w:tblGrid>
      <w:tr w:rsidR="000B79A8" w:rsidRPr="0067745C" w14:paraId="2E158A41" w14:textId="77777777" w:rsidTr="000B79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21B9DA" w14:textId="77777777" w:rsidR="000B79A8" w:rsidRPr="0067745C" w:rsidRDefault="000B79A8" w:rsidP="001376B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Outcome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E3BD42" w14:textId="77777777" w:rsidR="000B79A8" w:rsidRPr="0067745C" w:rsidRDefault="000B79A8" w:rsidP="001376B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Treatment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E05761" w14:textId="77777777" w:rsidR="000B79A8" w:rsidRPr="0067745C" w:rsidRDefault="000B79A8" w:rsidP="001376B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 xml:space="preserve">Measure (95% </w:t>
            </w:r>
            <w:proofErr w:type="spellStart"/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CrI</w:t>
            </w:r>
            <w:proofErr w:type="spellEnd"/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)</w:t>
            </w:r>
          </w:p>
        </w:tc>
        <w:tc>
          <w:tcPr>
            <w:tcW w:w="22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50C3E" w14:textId="77777777" w:rsidR="000B79A8" w:rsidRPr="0067745C" w:rsidRDefault="000B79A8" w:rsidP="001376B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Visual Forest Plot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335E7E" w14:textId="77777777" w:rsidR="000B79A8" w:rsidRPr="0067745C" w:rsidRDefault="000B79A8" w:rsidP="001376B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Rank 1 Prob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CFBE9" w14:textId="77777777" w:rsidR="000B79A8" w:rsidRPr="0067745C" w:rsidRDefault="000B79A8" w:rsidP="001376B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SUCRA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90877" w14:textId="77777777" w:rsidR="000B79A8" w:rsidRPr="0067745C" w:rsidRDefault="000B79A8" w:rsidP="001376B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 xml:space="preserve">Measure (95% </w:t>
            </w:r>
            <w:proofErr w:type="spellStart"/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CrI</w:t>
            </w:r>
            <w:proofErr w:type="spellEnd"/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)</w:t>
            </w:r>
          </w:p>
        </w:tc>
        <w:tc>
          <w:tcPr>
            <w:tcW w:w="22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668982" w14:textId="77777777" w:rsidR="000B79A8" w:rsidRPr="0067745C" w:rsidRDefault="000B79A8" w:rsidP="001376B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Visual Forest Plot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6169E" w14:textId="77777777" w:rsidR="000B79A8" w:rsidRPr="0067745C" w:rsidRDefault="000B79A8" w:rsidP="001376B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Rank 1 Prob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8E95CC" w14:textId="77777777" w:rsidR="000B79A8" w:rsidRPr="0067745C" w:rsidRDefault="000B79A8" w:rsidP="001376BB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b/>
                <w:bCs/>
                <w:i w:val="0"/>
                <w:iCs w:val="0"/>
              </w:rPr>
              <w:t>SUCRA</w:t>
            </w:r>
          </w:p>
        </w:tc>
      </w:tr>
      <w:tr w:rsidR="000B79A8" w:rsidRPr="0067745C" w14:paraId="2C9A7D57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  <w:tcBorders>
              <w:top w:val="single" w:sz="4" w:space="0" w:color="auto"/>
            </w:tcBorders>
          </w:tcPr>
          <w:p w14:paraId="0B659C9C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top w:val="single" w:sz="4" w:space="0" w:color="auto"/>
              <w:right w:val="single" w:sz="4" w:space="0" w:color="auto"/>
            </w:tcBorders>
          </w:tcPr>
          <w:p w14:paraId="5435BA9A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(Ref) Placebo + CT</w:t>
            </w:r>
          </w:p>
        </w:tc>
        <w:tc>
          <w:tcPr>
            <w:tcW w:w="576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448D0C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7745C">
              <w:rPr>
                <w:rFonts w:ascii="Times New Roman" w:hAnsi="Times New Roman" w:cs="Times New Roman"/>
                <w:b/>
                <w:bCs/>
              </w:rPr>
              <w:t>ITT Population</w:t>
            </w:r>
          </w:p>
        </w:tc>
        <w:tc>
          <w:tcPr>
            <w:tcW w:w="5843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CE3DCCD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7745C">
              <w:rPr>
                <w:rFonts w:ascii="Times New Roman" w:hAnsi="Times New Roman" w:cs="Times New Roman"/>
                <w:b/>
                <w:bCs/>
              </w:rPr>
              <w:t>PD-L1+ Population</w:t>
            </w:r>
          </w:p>
        </w:tc>
      </w:tr>
      <w:tr w:rsidR="000B79A8" w:rsidRPr="0067745C" w14:paraId="2457A097" w14:textId="77777777" w:rsidTr="000B79A8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3DC7366B" w14:textId="77777777" w:rsidR="000B79A8" w:rsidRPr="0067745C" w:rsidRDefault="000B79A8" w:rsidP="001376BB">
            <w:pPr>
              <w:jc w:val="left"/>
              <w:rPr>
                <w:rFonts w:ascii="Times New Roman" w:eastAsia="Times New Roman" w:hAnsi="Times New Roman" w:cs="Times New Roman"/>
                <w:i w:val="0"/>
                <w:iCs w:val="0"/>
                <w:lang w:bidi="ar-SA"/>
              </w:rPr>
            </w:pPr>
            <w:r w:rsidRPr="0067745C">
              <w:rPr>
                <w:rFonts w:ascii="Times New Roman" w:hAnsi="Times New Roman" w:cs="Times New Roman"/>
                <w:i w:val="0"/>
                <w:iCs w:val="0"/>
              </w:rPr>
              <w:t>ORR</w:t>
            </w: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1E7F691C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Atezolizumab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18F02088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1.33</w:t>
            </w:r>
          </w:p>
          <w:p w14:paraId="4F1CAE36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(0.95-1.79)</w:t>
            </w:r>
          </w:p>
        </w:tc>
        <w:tc>
          <w:tcPr>
            <w:tcW w:w="2257" w:type="dxa"/>
          </w:tcPr>
          <w:p w14:paraId="1A543F49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2B6AC3D1" wp14:editId="39E6EE76">
                  <wp:extent cx="1691014" cy="321310"/>
                  <wp:effectExtent l="0" t="0" r="0" b="0"/>
                  <wp:docPr id="1665044928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C1FC3B2-D4A4-3F4D-8836-F5DCE59ED01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2D0C9C0D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67.47%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57CB71F8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82.13%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32E0095E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1.63</w:t>
            </w:r>
          </w:p>
          <w:p w14:paraId="57D41F8F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(1.05-2.49)</w:t>
            </w:r>
          </w:p>
        </w:tc>
        <w:tc>
          <w:tcPr>
            <w:tcW w:w="2338" w:type="dxa"/>
            <w:gridSpan w:val="2"/>
          </w:tcPr>
          <w:p w14:paraId="7FCB8491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6B56EDEC" wp14:editId="00F25466">
                  <wp:extent cx="1691014" cy="320675"/>
                  <wp:effectExtent l="0" t="0" r="0" b="0"/>
                  <wp:docPr id="805464214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ECCD2AE-AA70-CB4C-BC90-C85480159A0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3DA9A3CA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76.43%</w:t>
            </w:r>
          </w:p>
        </w:tc>
        <w:tc>
          <w:tcPr>
            <w:tcW w:w="1195" w:type="dxa"/>
          </w:tcPr>
          <w:p w14:paraId="2FFD52A0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87.54%</w:t>
            </w:r>
          </w:p>
        </w:tc>
      </w:tr>
      <w:tr w:rsidR="000B79A8" w:rsidRPr="0067745C" w14:paraId="4FF2CA6B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50B879E0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502868FB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Pembrolizumab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39504086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1.17</w:t>
            </w:r>
          </w:p>
          <w:p w14:paraId="56C81844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(0.70-1.97)</w:t>
            </w:r>
          </w:p>
        </w:tc>
        <w:tc>
          <w:tcPr>
            <w:tcW w:w="2257" w:type="dxa"/>
          </w:tcPr>
          <w:p w14:paraId="5557BC66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6B9C82A0" wp14:editId="6E4C2F75">
                  <wp:extent cx="1691005" cy="321310"/>
                  <wp:effectExtent l="0" t="0" r="0" b="0"/>
                  <wp:docPr id="37079703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086B16F-8D0D-4B48-80BB-BE265DC0D7B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21E36AC6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31.24%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2C83FFFA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54.08%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5EFFEFB0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1.29</w:t>
            </w:r>
          </w:p>
          <w:p w14:paraId="1B9B12EC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(0.64-2.57)</w:t>
            </w:r>
          </w:p>
        </w:tc>
        <w:tc>
          <w:tcPr>
            <w:tcW w:w="2338" w:type="dxa"/>
            <w:gridSpan w:val="2"/>
          </w:tcPr>
          <w:p w14:paraId="2731B55D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7BC58021" wp14:editId="62D17017">
                  <wp:extent cx="1691005" cy="320675"/>
                  <wp:effectExtent l="0" t="0" r="0" b="0"/>
                  <wp:docPr id="148603439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5D64E2-A0EA-1748-8F49-205A063BC2A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39076B28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23.07%</w:t>
            </w:r>
          </w:p>
        </w:tc>
        <w:tc>
          <w:tcPr>
            <w:tcW w:w="1195" w:type="dxa"/>
          </w:tcPr>
          <w:p w14:paraId="6CA6A41C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52.53%</w:t>
            </w:r>
          </w:p>
        </w:tc>
      </w:tr>
      <w:tr w:rsidR="000B79A8" w:rsidRPr="0067745C" w14:paraId="350F3240" w14:textId="77777777" w:rsidTr="000B79A8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304C5BA4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7C646436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32657051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</w:tcPr>
          <w:p w14:paraId="7892A146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2C41F012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78A39CE8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37C75D3A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338" w:type="dxa"/>
            <w:gridSpan w:val="2"/>
          </w:tcPr>
          <w:p w14:paraId="7650581A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</w:tcPr>
          <w:p w14:paraId="0350DC14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50179DD7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B79A8" w:rsidRPr="0067745C" w14:paraId="4EC71681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2307965F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i w:val="0"/>
                <w:iCs w:val="0"/>
              </w:rPr>
              <w:t>DCR</w:t>
            </w: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75207B2C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Atezolizumab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7A223DD1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1.17</w:t>
            </w:r>
          </w:p>
          <w:p w14:paraId="0EAA7E6E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(0.66-2.01)</w:t>
            </w:r>
          </w:p>
        </w:tc>
        <w:tc>
          <w:tcPr>
            <w:tcW w:w="2257" w:type="dxa"/>
          </w:tcPr>
          <w:p w14:paraId="3DC0ED0C" w14:textId="77777777" w:rsidR="000B79A8" w:rsidRPr="0067745C" w:rsidRDefault="000B79A8" w:rsidP="001376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17C6172C" wp14:editId="2573AD48">
                  <wp:extent cx="1691005" cy="321310"/>
                  <wp:effectExtent l="0" t="0" r="0" b="0"/>
                  <wp:docPr id="227326690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E7A4FE-9D91-2742-A5E6-E62C4257685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2D52A9D8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64.66%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574A9E0E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76.18%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649E7013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1.22</w:t>
            </w:r>
          </w:p>
          <w:p w14:paraId="2D3E85CF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(0.63-2.22)</w:t>
            </w:r>
          </w:p>
        </w:tc>
        <w:tc>
          <w:tcPr>
            <w:tcW w:w="2338" w:type="dxa"/>
            <w:gridSpan w:val="2"/>
          </w:tcPr>
          <w:p w14:paraId="52A0282C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61CB62C5" wp14:editId="52990192">
                  <wp:extent cx="1691005" cy="320675"/>
                  <wp:effectExtent l="0" t="0" r="0" b="0"/>
                  <wp:docPr id="117314220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14B0ABF-AE2A-7F42-A5E9-EB987A57274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6531EEE2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63.85%</w:t>
            </w:r>
          </w:p>
        </w:tc>
        <w:tc>
          <w:tcPr>
            <w:tcW w:w="1195" w:type="dxa"/>
          </w:tcPr>
          <w:p w14:paraId="47A63835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74.67%</w:t>
            </w:r>
          </w:p>
        </w:tc>
      </w:tr>
      <w:tr w:rsidR="000B79A8" w:rsidRPr="0067745C" w14:paraId="7356D02E" w14:textId="77777777" w:rsidTr="000B79A8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46B7371E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7DCA5515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Pembrolizumab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562F0901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0.81</w:t>
            </w:r>
          </w:p>
          <w:p w14:paraId="6579474C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(0.37-1.77)</w:t>
            </w:r>
          </w:p>
        </w:tc>
        <w:tc>
          <w:tcPr>
            <w:tcW w:w="2257" w:type="dxa"/>
          </w:tcPr>
          <w:p w14:paraId="78B129F0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52DE2E5B" wp14:editId="30A53D9D">
                  <wp:extent cx="1691005" cy="317500"/>
                  <wp:effectExtent l="0" t="0" r="0" b="0"/>
                  <wp:docPr id="1599864215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E9E6A4E-5C52-954E-BC2E-588B15C5DCC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3FA2DBA4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16.11%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65D0FB5E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24.08%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1D48285B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0.89</w:t>
            </w:r>
          </w:p>
          <w:p w14:paraId="7440F16A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(0.39-2.00)</w:t>
            </w:r>
          </w:p>
        </w:tc>
        <w:tc>
          <w:tcPr>
            <w:tcW w:w="2338" w:type="dxa"/>
            <w:gridSpan w:val="2"/>
          </w:tcPr>
          <w:p w14:paraId="7A7A5ED9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4E3980BB" wp14:editId="0F0C77D4">
                  <wp:extent cx="1691005" cy="320675"/>
                  <wp:effectExtent l="0" t="0" r="0" b="0"/>
                  <wp:docPr id="182291799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8D1D5E-198A-E244-8EE2-EF5367C35E1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4395A80A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20.19%</w:t>
            </w:r>
          </w:p>
        </w:tc>
        <w:tc>
          <w:tcPr>
            <w:tcW w:w="1195" w:type="dxa"/>
          </w:tcPr>
          <w:p w14:paraId="5F5C4F30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30.67%</w:t>
            </w:r>
          </w:p>
        </w:tc>
      </w:tr>
      <w:tr w:rsidR="000B79A8" w:rsidRPr="0067745C" w14:paraId="0B9A09F6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647D7C8E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3D203990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184D2B52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</w:tcPr>
          <w:p w14:paraId="6383B2BE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4E6D0794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47C88977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734E65C1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338" w:type="dxa"/>
            <w:gridSpan w:val="2"/>
          </w:tcPr>
          <w:p w14:paraId="21A2A0EA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</w:tcPr>
          <w:p w14:paraId="7703F7F6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6E4C9917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B79A8" w:rsidRPr="0067745C" w14:paraId="39750A22" w14:textId="77777777" w:rsidTr="000B79A8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2F7CC68F" w14:textId="77777777" w:rsidR="000B79A8" w:rsidRPr="0067745C" w:rsidRDefault="000B79A8" w:rsidP="001376BB">
            <w:pPr>
              <w:jc w:val="left"/>
              <w:rPr>
                <w:rFonts w:ascii="Times New Roman" w:eastAsia="Times New Roman" w:hAnsi="Times New Roman" w:cs="Times New Roman"/>
                <w:i w:val="0"/>
                <w:iCs w:val="0"/>
                <w:lang w:bidi="ar-SA"/>
              </w:rPr>
            </w:pPr>
            <w:r w:rsidRPr="0067745C">
              <w:rPr>
                <w:rFonts w:ascii="Times New Roman" w:hAnsi="Times New Roman" w:cs="Times New Roman"/>
                <w:i w:val="0"/>
                <w:iCs w:val="0"/>
              </w:rPr>
              <w:t>OS (6 months)</w:t>
            </w: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60DA2B85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Atezolizumab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2CC489C6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0.88</w:t>
            </w:r>
          </w:p>
          <w:p w14:paraId="0AE63F75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(0.79-0.97)</w:t>
            </w:r>
          </w:p>
        </w:tc>
        <w:tc>
          <w:tcPr>
            <w:tcW w:w="2257" w:type="dxa"/>
          </w:tcPr>
          <w:p w14:paraId="3E1D2CC4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6C5DB716" wp14:editId="6245B43C">
                  <wp:extent cx="1691005" cy="318770"/>
                  <wp:effectExtent l="0" t="0" r="0" b="0"/>
                  <wp:docPr id="113954225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481DCB3-3C85-0445-845B-05150716FD2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004B3D10" w14:textId="77777777" w:rsidR="000B79A8" w:rsidRPr="0067745C" w:rsidRDefault="000B79A8" w:rsidP="001376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0.49%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61724AD4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32.55%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78AD93CF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1.01</w:t>
            </w:r>
          </w:p>
          <w:p w14:paraId="360C70E6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(0.87-1.18)</w:t>
            </w:r>
          </w:p>
        </w:tc>
        <w:tc>
          <w:tcPr>
            <w:tcW w:w="2338" w:type="dxa"/>
            <w:gridSpan w:val="2"/>
          </w:tcPr>
          <w:p w14:paraId="1653F568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27205BB5" wp14:editId="1F6AF68A">
                  <wp:extent cx="1691005" cy="320675"/>
                  <wp:effectExtent l="0" t="0" r="0" b="0"/>
                  <wp:docPr id="1016680884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1CEA74C-7BF7-DA4F-8E49-A4FA057222B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2DFA660F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55.12%</w:t>
            </w:r>
          </w:p>
        </w:tc>
        <w:tc>
          <w:tcPr>
            <w:tcW w:w="1195" w:type="dxa"/>
          </w:tcPr>
          <w:p w14:paraId="7A2A07AA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72.34%</w:t>
            </w:r>
          </w:p>
        </w:tc>
      </w:tr>
      <w:tr w:rsidR="000B79A8" w:rsidRPr="0067745C" w14:paraId="0DFC89D3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5A127A1D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11E39A7B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Pembrolizumab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63AA2265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0.85</w:t>
            </w:r>
          </w:p>
          <w:p w14:paraId="10F661FF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(0.73-0.99)</w:t>
            </w:r>
          </w:p>
        </w:tc>
        <w:tc>
          <w:tcPr>
            <w:tcW w:w="2257" w:type="dxa"/>
          </w:tcPr>
          <w:p w14:paraId="571A3D4A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6580C00E" wp14:editId="1754D492">
                  <wp:extent cx="1691005" cy="318770"/>
                  <wp:effectExtent l="0" t="0" r="0" b="0"/>
                  <wp:docPr id="59769205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B2209F4-B07F-FF49-A300-F9DD365A65B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24AE2EEE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2.13%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494B1B48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18.77%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6162632F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0.87</w:t>
            </w:r>
          </w:p>
          <w:p w14:paraId="1683ED99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(0.71-1.07)</w:t>
            </w:r>
          </w:p>
        </w:tc>
        <w:tc>
          <w:tcPr>
            <w:tcW w:w="2338" w:type="dxa"/>
            <w:gridSpan w:val="2"/>
          </w:tcPr>
          <w:p w14:paraId="5E3ED328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2C6BA5B4" wp14:editId="38C0BADD">
                  <wp:extent cx="1691005" cy="320675"/>
                  <wp:effectExtent l="0" t="0" r="0" b="0"/>
                  <wp:docPr id="1281240976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7FA6824-0FAB-CC43-82B0-B6888099FF3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2B3797CC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6.35%</w:t>
            </w:r>
          </w:p>
        </w:tc>
        <w:tc>
          <w:tcPr>
            <w:tcW w:w="1195" w:type="dxa"/>
          </w:tcPr>
          <w:p w14:paraId="0EC74707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11.11%</w:t>
            </w:r>
          </w:p>
        </w:tc>
      </w:tr>
      <w:tr w:rsidR="000B79A8" w:rsidRPr="0067745C" w14:paraId="48C1133F" w14:textId="77777777" w:rsidTr="000B79A8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2C40128F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3114C68D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0511D775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</w:tcPr>
          <w:p w14:paraId="18835AE1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02422622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3EBDA943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0D13510D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338" w:type="dxa"/>
            <w:gridSpan w:val="2"/>
          </w:tcPr>
          <w:p w14:paraId="391924CF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</w:tcPr>
          <w:p w14:paraId="14A5DED0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3A617B39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B79A8" w:rsidRPr="0067745C" w14:paraId="59A04A4C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320C340D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i w:val="0"/>
                <w:iCs w:val="0"/>
              </w:rPr>
              <w:t>OS (12 months)</w:t>
            </w: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19359A3C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Atezolizumab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386ABC86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0.95</w:t>
            </w:r>
          </w:p>
          <w:p w14:paraId="71CF3A84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(0.84-1.07)</w:t>
            </w:r>
          </w:p>
        </w:tc>
        <w:tc>
          <w:tcPr>
            <w:tcW w:w="2257" w:type="dxa"/>
          </w:tcPr>
          <w:p w14:paraId="3604D1FD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54CD8D45" wp14:editId="6CB179DD">
                  <wp:extent cx="1691005" cy="319405"/>
                  <wp:effectExtent l="0" t="0" r="0" b="0"/>
                  <wp:docPr id="2057965516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820598C-B76C-FE45-9F12-59D7AC6F517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71F8B072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14.30%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6C9607F0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30.82%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52BB6C36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1.06</w:t>
            </w:r>
          </w:p>
          <w:p w14:paraId="7B332E5A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(0.89-1.25)</w:t>
            </w:r>
          </w:p>
        </w:tc>
        <w:tc>
          <w:tcPr>
            <w:tcW w:w="2338" w:type="dxa"/>
            <w:gridSpan w:val="2"/>
          </w:tcPr>
          <w:p w14:paraId="7586319F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6F9CFF67" wp14:editId="74FF16D0">
                  <wp:extent cx="1691005" cy="320675"/>
                  <wp:effectExtent l="0" t="0" r="0" b="0"/>
                  <wp:docPr id="156981596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5D00C5A-2468-3F4B-BBBA-A28CBEF51A3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382A9593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57.69%</w:t>
            </w:r>
          </w:p>
        </w:tc>
        <w:tc>
          <w:tcPr>
            <w:tcW w:w="1195" w:type="dxa"/>
          </w:tcPr>
          <w:p w14:paraId="54B90922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70.69%</w:t>
            </w:r>
          </w:p>
        </w:tc>
      </w:tr>
      <w:tr w:rsidR="000B79A8" w:rsidRPr="0067745C" w14:paraId="2B778322" w14:textId="77777777" w:rsidTr="000B79A8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754F237E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78118976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Pembrolizumab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53D37B43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0.97</w:t>
            </w:r>
          </w:p>
          <w:p w14:paraId="732C9BDE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(0.81-1.16)</w:t>
            </w:r>
          </w:p>
        </w:tc>
        <w:tc>
          <w:tcPr>
            <w:tcW w:w="2257" w:type="dxa"/>
          </w:tcPr>
          <w:p w14:paraId="11648E62" w14:textId="77777777" w:rsidR="000B79A8" w:rsidRPr="0067745C" w:rsidRDefault="000B79A8" w:rsidP="001376BB">
            <w:pPr>
              <w:tabs>
                <w:tab w:val="left" w:pos="1430"/>
              </w:tabs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791B2843" wp14:editId="21E4988A">
                  <wp:extent cx="1691005" cy="319405"/>
                  <wp:effectExtent l="0" t="0" r="0" b="0"/>
                  <wp:docPr id="1373360380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328D178-8F75-934A-91C0-79DC88236A3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59B70D75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34.05%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5E8C22C2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46.76%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411E63D6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1.00</w:t>
            </w:r>
          </w:p>
          <w:p w14:paraId="45E8F025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(0.80-1.25)</w:t>
            </w:r>
          </w:p>
        </w:tc>
        <w:tc>
          <w:tcPr>
            <w:tcW w:w="2338" w:type="dxa"/>
            <w:gridSpan w:val="2"/>
          </w:tcPr>
          <w:p w14:paraId="14518865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59BCA5E5" wp14:editId="35353223">
                  <wp:extent cx="1691005" cy="320675"/>
                  <wp:effectExtent l="0" t="0" r="0" b="0"/>
                  <wp:docPr id="29787278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A221F5-CC9F-E645-831A-AC0C0FBA87D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16EA5313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29.30%</w:t>
            </w:r>
          </w:p>
        </w:tc>
        <w:tc>
          <w:tcPr>
            <w:tcW w:w="1195" w:type="dxa"/>
          </w:tcPr>
          <w:p w14:paraId="3681C536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40.85%</w:t>
            </w:r>
          </w:p>
        </w:tc>
      </w:tr>
      <w:tr w:rsidR="000B79A8" w:rsidRPr="0067745C" w14:paraId="0DD26C07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22EE7304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30BF14C1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2D8C01B6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</w:tcPr>
          <w:p w14:paraId="6F2A7589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4AEC017B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5B019723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670FF02E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338" w:type="dxa"/>
            <w:gridSpan w:val="2"/>
          </w:tcPr>
          <w:p w14:paraId="697E0613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</w:tcPr>
          <w:p w14:paraId="22BC004A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2163D440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B79A8" w:rsidRPr="0067745C" w14:paraId="050243C4" w14:textId="77777777" w:rsidTr="000B79A8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5C86F4AD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i w:val="0"/>
                <w:iCs w:val="0"/>
              </w:rPr>
              <w:t>OS (24 months)</w:t>
            </w: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40656A2A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Atezolizumab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0DA69485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0.92</w:t>
            </w:r>
          </w:p>
          <w:p w14:paraId="4A9C5BD4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(0.77-1.09)</w:t>
            </w:r>
          </w:p>
        </w:tc>
        <w:tc>
          <w:tcPr>
            <w:tcW w:w="2257" w:type="dxa"/>
          </w:tcPr>
          <w:p w14:paraId="6B7B9F9E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54D12A6D" wp14:editId="77557CE6">
                  <wp:extent cx="1703540" cy="317500"/>
                  <wp:effectExtent l="0" t="0" r="0" b="0"/>
                  <wp:docPr id="295144708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01CD251-DDB2-CA48-B969-EF984F00CB9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00A754CE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8.47%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2E6D2599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18.37%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2C48325B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1.18</w:t>
            </w:r>
          </w:p>
          <w:p w14:paraId="68C08EE2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(0.92-1.52)</w:t>
            </w:r>
          </w:p>
        </w:tc>
        <w:tc>
          <w:tcPr>
            <w:tcW w:w="2338" w:type="dxa"/>
            <w:gridSpan w:val="2"/>
          </w:tcPr>
          <w:p w14:paraId="3E3650AD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25A57393" wp14:editId="574F9728">
                  <wp:extent cx="1691005" cy="320675"/>
                  <wp:effectExtent l="0" t="0" r="0" b="0"/>
                  <wp:docPr id="9887114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1BEC6A9-C776-8040-A8C6-D810710ACBE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44C1D377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34.47%</w:t>
            </w:r>
          </w:p>
        </w:tc>
        <w:tc>
          <w:tcPr>
            <w:tcW w:w="1195" w:type="dxa"/>
          </w:tcPr>
          <w:p w14:paraId="5ADA552B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62.38%</w:t>
            </w:r>
          </w:p>
        </w:tc>
      </w:tr>
      <w:tr w:rsidR="000B79A8" w:rsidRPr="0067745C" w14:paraId="471DB255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42EE7452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50F13785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Pembrolizumab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50EBB8F7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1.03</w:t>
            </w:r>
          </w:p>
          <w:p w14:paraId="7E23B8CA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(0.81-1.32)</w:t>
            </w:r>
          </w:p>
        </w:tc>
        <w:tc>
          <w:tcPr>
            <w:tcW w:w="2257" w:type="dxa"/>
          </w:tcPr>
          <w:p w14:paraId="3B750E27" w14:textId="77777777" w:rsidR="000B79A8" w:rsidRPr="0067745C" w:rsidRDefault="000B79A8" w:rsidP="001376BB">
            <w:pPr>
              <w:tabs>
                <w:tab w:val="left" w:pos="2210"/>
              </w:tabs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2366C1AF" wp14:editId="38211C7C">
                  <wp:extent cx="1703070" cy="317500"/>
                  <wp:effectExtent l="0" t="0" r="0" b="0"/>
                  <wp:docPr id="1828307338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D63F366-448B-8240-9CD6-EE4A9C17EB8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14ACAFE2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58.01%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3FE4300B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69.63%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3013DFA7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1.27</w:t>
            </w:r>
          </w:p>
          <w:p w14:paraId="0577D25A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(0.95-1.72)</w:t>
            </w:r>
          </w:p>
        </w:tc>
        <w:tc>
          <w:tcPr>
            <w:tcW w:w="2338" w:type="dxa"/>
            <w:gridSpan w:val="2"/>
          </w:tcPr>
          <w:p w14:paraId="60CD8183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694E8694" wp14:editId="048DCB30">
                  <wp:extent cx="1691005" cy="320675"/>
                  <wp:effectExtent l="0" t="0" r="0" b="0"/>
                  <wp:docPr id="755099938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44F41AE-81D8-A64B-B1E2-B3A2C392B1D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46EE6EFB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65.01</w:t>
            </w:r>
          </w:p>
        </w:tc>
        <w:tc>
          <w:tcPr>
            <w:tcW w:w="1195" w:type="dxa"/>
          </w:tcPr>
          <w:p w14:paraId="44247EB5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80.12%</w:t>
            </w:r>
          </w:p>
        </w:tc>
      </w:tr>
      <w:tr w:rsidR="000B79A8" w:rsidRPr="0067745C" w14:paraId="3287B309" w14:textId="77777777" w:rsidTr="000B79A8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594F32C8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4E5BFC92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39F545AE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</w:tcPr>
          <w:p w14:paraId="117EF97C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4F35B248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5A0562C0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1BAA3D7D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338" w:type="dxa"/>
            <w:gridSpan w:val="2"/>
          </w:tcPr>
          <w:p w14:paraId="6D05A0CD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</w:tcPr>
          <w:p w14:paraId="0BF6C1C0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14739E2C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B79A8" w:rsidRPr="0067745C" w14:paraId="48094992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1AEC2AD3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i w:val="0"/>
                <w:iCs w:val="0"/>
              </w:rPr>
              <w:lastRenderedPageBreak/>
              <w:t>OS (36 months)</w:t>
            </w: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7133B039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Atezolizumab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66FC7729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0.97</w:t>
            </w:r>
          </w:p>
          <w:p w14:paraId="7E7454DB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(0.75-1.26)</w:t>
            </w:r>
          </w:p>
        </w:tc>
        <w:tc>
          <w:tcPr>
            <w:tcW w:w="2257" w:type="dxa"/>
          </w:tcPr>
          <w:p w14:paraId="4FE84427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4EB8A7BC" wp14:editId="1D07B316">
                  <wp:extent cx="1703070" cy="320675"/>
                  <wp:effectExtent l="0" t="0" r="0" b="0"/>
                  <wp:docPr id="261413366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37BC32-1016-6146-BEEE-C83690B54C1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1C8B69E8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15.27%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2B6AA5AD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30.18%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3562A0C2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1.64</w:t>
            </w:r>
          </w:p>
          <w:p w14:paraId="23BE142F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(1.10-2.45)</w:t>
            </w:r>
          </w:p>
        </w:tc>
        <w:tc>
          <w:tcPr>
            <w:tcW w:w="2338" w:type="dxa"/>
            <w:gridSpan w:val="2"/>
          </w:tcPr>
          <w:p w14:paraId="4E192385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4B6E1A06" wp14:editId="59E93983">
                  <wp:extent cx="1691014" cy="320675"/>
                  <wp:effectExtent l="0" t="0" r="0" b="0"/>
                  <wp:docPr id="1430232967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D4C4AF5-BD07-A347-B67B-C243F45D664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357473FE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82.01%</w:t>
            </w:r>
          </w:p>
        </w:tc>
        <w:tc>
          <w:tcPr>
            <w:tcW w:w="1195" w:type="dxa"/>
          </w:tcPr>
          <w:p w14:paraId="4F92A679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90.65%</w:t>
            </w:r>
          </w:p>
        </w:tc>
      </w:tr>
      <w:tr w:rsidR="000B79A8" w:rsidRPr="0067745C" w14:paraId="4594AF13" w14:textId="77777777" w:rsidTr="000B79A8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2758492C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00FBDC61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Pembrolizumab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59421BFA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1.16</w:t>
            </w:r>
          </w:p>
          <w:p w14:paraId="58381C23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(0.85-1.62)</w:t>
            </w:r>
          </w:p>
        </w:tc>
        <w:tc>
          <w:tcPr>
            <w:tcW w:w="2257" w:type="dxa"/>
          </w:tcPr>
          <w:p w14:paraId="7B9C599B" w14:textId="77777777" w:rsidR="000B79A8" w:rsidRPr="0067745C" w:rsidRDefault="000B79A8" w:rsidP="001376BB">
            <w:pPr>
              <w:tabs>
                <w:tab w:val="left" w:pos="1600"/>
              </w:tabs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63502E8E" wp14:editId="1616E0DE">
                  <wp:extent cx="1703070" cy="320675"/>
                  <wp:effectExtent l="0" t="0" r="0" b="0"/>
                  <wp:docPr id="27164446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C0DB124-8094-5B45-9305-67063E187CA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382688EB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74.22%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395F71B8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81.44%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1D9A6B39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1.26</w:t>
            </w:r>
          </w:p>
          <w:p w14:paraId="48103935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(0.85-1.88)</w:t>
            </w:r>
          </w:p>
        </w:tc>
        <w:tc>
          <w:tcPr>
            <w:tcW w:w="2338" w:type="dxa"/>
            <w:gridSpan w:val="2"/>
          </w:tcPr>
          <w:p w14:paraId="316F7561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06BD71FA" wp14:editId="2CCA48AE">
                  <wp:extent cx="1691005" cy="320675"/>
                  <wp:effectExtent l="0" t="0" r="0" b="0"/>
                  <wp:docPr id="208178783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444B1D-D38E-2441-A184-F4390EA5AB8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1BF6DCE3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17.88%</w:t>
            </w:r>
          </w:p>
        </w:tc>
        <w:tc>
          <w:tcPr>
            <w:tcW w:w="1195" w:type="dxa"/>
          </w:tcPr>
          <w:p w14:paraId="6884B15A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52.77%</w:t>
            </w:r>
          </w:p>
        </w:tc>
      </w:tr>
      <w:tr w:rsidR="000B79A8" w:rsidRPr="0067745C" w14:paraId="101B71C2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740D3C86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3AD7CB9A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03AAB495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</w:tcPr>
          <w:p w14:paraId="46DE5F3E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5BF8A051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6C2B389C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5127BC2C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338" w:type="dxa"/>
            <w:gridSpan w:val="2"/>
          </w:tcPr>
          <w:p w14:paraId="7C6AB56E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</w:tcPr>
          <w:p w14:paraId="24BF27D0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54670AF0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B79A8" w:rsidRPr="0067745C" w14:paraId="51896077" w14:textId="77777777" w:rsidTr="000B79A8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07E7C76B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i w:val="0"/>
                <w:iCs w:val="0"/>
              </w:rPr>
              <w:t>PFS (6 months)</w:t>
            </w: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61DA003A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Atezolizumab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03479F4B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1.11</w:t>
            </w:r>
          </w:p>
          <w:p w14:paraId="6DB6BB23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(0.95-1.30)</w:t>
            </w:r>
          </w:p>
        </w:tc>
        <w:tc>
          <w:tcPr>
            <w:tcW w:w="2257" w:type="dxa"/>
          </w:tcPr>
          <w:p w14:paraId="16362515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67531247" wp14:editId="78F10A2D">
                  <wp:extent cx="1703070" cy="320040"/>
                  <wp:effectExtent l="0" t="0" r="0" b="0"/>
                  <wp:docPr id="44037087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DC5765E-FCEC-3E43-8A3C-94BF9C550DC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3639484F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22.93%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4E97C295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57.30%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2F10BDB3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1.57</w:t>
            </w:r>
          </w:p>
          <w:p w14:paraId="304A4143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(1.22-2.02)</w:t>
            </w:r>
          </w:p>
        </w:tc>
        <w:tc>
          <w:tcPr>
            <w:tcW w:w="2338" w:type="dxa"/>
            <w:gridSpan w:val="2"/>
          </w:tcPr>
          <w:p w14:paraId="2BB67AE3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52205F20" wp14:editId="3EEE355A">
                  <wp:extent cx="1691005" cy="320675"/>
                  <wp:effectExtent l="0" t="0" r="0" b="0"/>
                  <wp:docPr id="25458271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88019E0-E70C-D949-84BA-5BEF7326F5C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12951E40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78.68%</w:t>
            </w:r>
          </w:p>
        </w:tc>
        <w:tc>
          <w:tcPr>
            <w:tcW w:w="1195" w:type="dxa"/>
          </w:tcPr>
          <w:p w14:paraId="7DB6312C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89.32%</w:t>
            </w:r>
          </w:p>
        </w:tc>
      </w:tr>
      <w:tr w:rsidR="000B79A8" w:rsidRPr="0067745C" w14:paraId="5B057CC5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1E469C42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15E56074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Pembrolizumab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1BB1F8C4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1.24</w:t>
            </w:r>
          </w:p>
          <w:p w14:paraId="15A13AA4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(0.98-1.57)</w:t>
            </w:r>
          </w:p>
        </w:tc>
        <w:tc>
          <w:tcPr>
            <w:tcW w:w="2257" w:type="dxa"/>
          </w:tcPr>
          <w:p w14:paraId="65536B56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538198A8" wp14:editId="2DCA5281">
                  <wp:extent cx="1703070" cy="320040"/>
                  <wp:effectExtent l="0" t="0" r="0" b="0"/>
                  <wp:docPr id="66228639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F518D21-77FA-5043-8CA9-54A1D10737C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4C49A034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76.76%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3F93BC30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86.59%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21A75A5A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1.33</w:t>
            </w:r>
          </w:p>
          <w:p w14:paraId="2C41EB2A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(0.94-1.88)</w:t>
            </w:r>
          </w:p>
        </w:tc>
        <w:tc>
          <w:tcPr>
            <w:tcW w:w="2338" w:type="dxa"/>
            <w:gridSpan w:val="2"/>
          </w:tcPr>
          <w:p w14:paraId="77E77422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45CBE0CD" wp14:editId="397BEC51">
                  <wp:extent cx="1691005" cy="320675"/>
                  <wp:effectExtent l="0" t="0" r="0" b="0"/>
                  <wp:docPr id="1632050430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4381E08-E1C9-3344-AB0A-6AFB9A88823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055F404E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21.32%</w:t>
            </w:r>
          </w:p>
        </w:tc>
        <w:tc>
          <w:tcPr>
            <w:tcW w:w="1195" w:type="dxa"/>
          </w:tcPr>
          <w:p w14:paraId="32329EDE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58.17%</w:t>
            </w:r>
          </w:p>
        </w:tc>
      </w:tr>
      <w:tr w:rsidR="000B79A8" w:rsidRPr="0067745C" w14:paraId="7B9F1489" w14:textId="77777777" w:rsidTr="000B79A8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7C906E66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4BE84148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281D354F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</w:tcPr>
          <w:p w14:paraId="0392DC7D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34215125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7D32D8F2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22B9BA52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338" w:type="dxa"/>
            <w:gridSpan w:val="2"/>
          </w:tcPr>
          <w:p w14:paraId="4A2D9FC0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</w:tcPr>
          <w:p w14:paraId="535658EC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329E3D36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B79A8" w:rsidRPr="0067745C" w14:paraId="16CCDFB9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20E3B665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i w:val="0"/>
                <w:iCs w:val="0"/>
              </w:rPr>
              <w:t>PFS (12 months)</w:t>
            </w: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5AD90673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Atezolizumab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52D947BD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1.25</w:t>
            </w:r>
          </w:p>
          <w:p w14:paraId="74A1EEF4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(0.97-1.61)</w:t>
            </w:r>
          </w:p>
        </w:tc>
        <w:tc>
          <w:tcPr>
            <w:tcW w:w="2257" w:type="dxa"/>
          </w:tcPr>
          <w:p w14:paraId="035909EB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6225C314" wp14:editId="5DB9C66F">
                  <wp:extent cx="1703070" cy="320675"/>
                  <wp:effectExtent l="0" t="0" r="0" b="0"/>
                  <wp:docPr id="58593091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B9CF636-49EB-1F44-8FF6-C53177EB683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2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09DE38D8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23.50%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2D3759FC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59.76%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3F83F622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1.58</w:t>
            </w:r>
          </w:p>
          <w:p w14:paraId="44864B2C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(1.14-2.20)</w:t>
            </w:r>
          </w:p>
        </w:tc>
        <w:tc>
          <w:tcPr>
            <w:tcW w:w="2338" w:type="dxa"/>
            <w:gridSpan w:val="2"/>
          </w:tcPr>
          <w:p w14:paraId="6EFEA223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3AFE66F1" wp14:editId="4CC0047D">
                  <wp:extent cx="1691005" cy="320675"/>
                  <wp:effectExtent l="0" t="0" r="0" b="0"/>
                  <wp:docPr id="874037727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FDD67A-BBD2-AB49-B8AD-5CBFF57F691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3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399EF9AC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40.53%</w:t>
            </w:r>
          </w:p>
        </w:tc>
        <w:tc>
          <w:tcPr>
            <w:tcW w:w="1195" w:type="dxa"/>
          </w:tcPr>
          <w:p w14:paraId="22DD1720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70.10%</w:t>
            </w:r>
          </w:p>
        </w:tc>
      </w:tr>
      <w:tr w:rsidR="000B79A8" w:rsidRPr="0067745C" w14:paraId="43CC2D88" w14:textId="77777777" w:rsidTr="000B79A8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4CAF7F6B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03B80317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Pembrolizumab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455B4D51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1.47</w:t>
            </w:r>
          </w:p>
          <w:p w14:paraId="5AB1EC99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(1.02-2.18)</w:t>
            </w:r>
          </w:p>
        </w:tc>
        <w:tc>
          <w:tcPr>
            <w:tcW w:w="2257" w:type="dxa"/>
          </w:tcPr>
          <w:p w14:paraId="76CE910E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7D79208C" wp14:editId="2AE2A5B4">
                  <wp:extent cx="1703070" cy="320675"/>
                  <wp:effectExtent l="0" t="0" r="0" b="0"/>
                  <wp:docPr id="201840984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9743B81-725A-BE40-B4B2-598AC62DFFB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4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6D9FC05E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76.43%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24A3C0C6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87.23%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392731B0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1.68</w:t>
            </w:r>
          </w:p>
          <w:p w14:paraId="2FAA0AE6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(1.10-2.64)</w:t>
            </w:r>
          </w:p>
        </w:tc>
        <w:tc>
          <w:tcPr>
            <w:tcW w:w="2338" w:type="dxa"/>
            <w:gridSpan w:val="2"/>
          </w:tcPr>
          <w:p w14:paraId="2970EADB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53FBB432" wp14:editId="7A3CB8C7">
                  <wp:extent cx="1691005" cy="320675"/>
                  <wp:effectExtent l="0" t="0" r="0" b="0"/>
                  <wp:docPr id="1351381277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8DE572C-1811-E24F-BF49-DEFE377E1A2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5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6BEE8A1B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59.47%</w:t>
            </w:r>
          </w:p>
        </w:tc>
        <w:tc>
          <w:tcPr>
            <w:tcW w:w="1195" w:type="dxa"/>
          </w:tcPr>
          <w:p w14:paraId="393510A4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79.36%</w:t>
            </w:r>
          </w:p>
        </w:tc>
      </w:tr>
      <w:tr w:rsidR="000B79A8" w:rsidRPr="0067745C" w14:paraId="1FA19D8F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0AFB9EF7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720E1410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21249BB5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</w:tcPr>
          <w:p w14:paraId="147625D4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1395FCE7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7C13D6F2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202A087D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338" w:type="dxa"/>
            <w:gridSpan w:val="2"/>
          </w:tcPr>
          <w:p w14:paraId="07945F95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</w:tcPr>
          <w:p w14:paraId="62238522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07B7576D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B79A8" w:rsidRPr="0067745C" w14:paraId="54BAC1AF" w14:textId="77777777" w:rsidTr="000B79A8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162629D4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i w:val="0"/>
                <w:iCs w:val="0"/>
              </w:rPr>
              <w:t>PFS (24 months)</w:t>
            </w: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511F6A4E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Atezolizumab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3D3E0655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0.64</w:t>
            </w:r>
          </w:p>
          <w:p w14:paraId="0F85B61C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(0.40-1.05)</w:t>
            </w:r>
          </w:p>
        </w:tc>
        <w:tc>
          <w:tcPr>
            <w:tcW w:w="2257" w:type="dxa"/>
          </w:tcPr>
          <w:p w14:paraId="17A811BD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0689A99A" wp14:editId="6A3C1D6F">
                  <wp:extent cx="1703070" cy="320675"/>
                  <wp:effectExtent l="0" t="0" r="0" b="0"/>
                  <wp:docPr id="101639391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A678A5B-B9D3-DE4F-8394-CCD2E26B634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6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25BD30AA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2.13%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6600BBA7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5.61%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452BE3F6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1.19</w:t>
            </w:r>
          </w:p>
          <w:p w14:paraId="3FD53C98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(0.72-1.99)</w:t>
            </w:r>
          </w:p>
        </w:tc>
        <w:tc>
          <w:tcPr>
            <w:tcW w:w="2338" w:type="dxa"/>
            <w:gridSpan w:val="2"/>
          </w:tcPr>
          <w:p w14:paraId="72826018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1F4216C6" wp14:editId="45706F8A">
                  <wp:extent cx="1691005" cy="320675"/>
                  <wp:effectExtent l="0" t="0" r="0" b="0"/>
                  <wp:docPr id="36442115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3BE072-2469-EA48-A69C-0E06EB620C4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7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0EAD607F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26.27%</w:t>
            </w:r>
          </w:p>
        </w:tc>
        <w:tc>
          <w:tcPr>
            <w:tcW w:w="1195" w:type="dxa"/>
          </w:tcPr>
          <w:p w14:paraId="2C5BB1A5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51.06%</w:t>
            </w:r>
          </w:p>
        </w:tc>
      </w:tr>
      <w:tr w:rsidR="000B79A8" w:rsidRPr="0067745C" w14:paraId="169C4E3C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1BA54000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2D950948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Pembrolizumab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4991DB5C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1.08</w:t>
            </w:r>
          </w:p>
          <w:p w14:paraId="7B9927D8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(0.67-1.76)</w:t>
            </w:r>
          </w:p>
        </w:tc>
        <w:tc>
          <w:tcPr>
            <w:tcW w:w="2257" w:type="dxa"/>
          </w:tcPr>
          <w:p w14:paraId="3D9A77FD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0573D129" wp14:editId="472BC512">
                  <wp:extent cx="1703070" cy="320675"/>
                  <wp:effectExtent l="0" t="0" r="0" b="0"/>
                  <wp:docPr id="134777594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E28BD99-B44C-1F44-BD8C-C492199FF97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8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69F9FBC0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61.12%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363BE299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77.27%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3270C600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1.52</w:t>
            </w:r>
          </w:p>
          <w:p w14:paraId="2B68AD3E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(0.87-2.76)</w:t>
            </w:r>
          </w:p>
        </w:tc>
        <w:tc>
          <w:tcPr>
            <w:tcW w:w="2338" w:type="dxa"/>
            <w:gridSpan w:val="2"/>
          </w:tcPr>
          <w:p w14:paraId="69CAE2B0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75341FB3" wp14:editId="6BB0FFE6">
                  <wp:extent cx="1691005" cy="320675"/>
                  <wp:effectExtent l="0" t="0" r="0" b="0"/>
                  <wp:docPr id="495345506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BF680E-445F-124A-A4A5-B71F7D2ACA4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9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27675880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71.79%</w:t>
            </w:r>
          </w:p>
        </w:tc>
        <w:tc>
          <w:tcPr>
            <w:tcW w:w="1195" w:type="dxa"/>
          </w:tcPr>
          <w:p w14:paraId="42BAE2D1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82.70%</w:t>
            </w:r>
          </w:p>
        </w:tc>
      </w:tr>
      <w:tr w:rsidR="000B79A8" w:rsidRPr="0067745C" w14:paraId="039F558E" w14:textId="77777777" w:rsidTr="000B79A8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05721344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0459C56A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02F71F58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</w:tcPr>
          <w:p w14:paraId="5D7A3069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33A003E4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1CC200D8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59A72F17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338" w:type="dxa"/>
            <w:gridSpan w:val="2"/>
          </w:tcPr>
          <w:p w14:paraId="7DC67046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</w:tcPr>
          <w:p w14:paraId="40CE355A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95" w:type="dxa"/>
          </w:tcPr>
          <w:p w14:paraId="41E1845A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0B79A8" w:rsidRPr="0067745C" w14:paraId="66A73E06" w14:textId="77777777" w:rsidTr="000B79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</w:tcPr>
          <w:p w14:paraId="12A1C86F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  <w:r w:rsidRPr="0067745C">
              <w:rPr>
                <w:rFonts w:ascii="Times New Roman" w:hAnsi="Times New Roman" w:cs="Times New Roman"/>
                <w:i w:val="0"/>
                <w:iCs w:val="0"/>
              </w:rPr>
              <w:t>PFS (36 months)</w:t>
            </w:r>
          </w:p>
        </w:tc>
        <w:tc>
          <w:tcPr>
            <w:tcW w:w="1540" w:type="dxa"/>
            <w:tcBorders>
              <w:right w:val="single" w:sz="4" w:space="0" w:color="auto"/>
            </w:tcBorders>
          </w:tcPr>
          <w:p w14:paraId="6393055E" w14:textId="77777777" w:rsidR="000B79A8" w:rsidRPr="0067745C" w:rsidRDefault="000B79A8" w:rsidP="001376B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Atezolizumab + CT</w:t>
            </w:r>
          </w:p>
        </w:tc>
        <w:tc>
          <w:tcPr>
            <w:tcW w:w="1248" w:type="dxa"/>
            <w:tcBorders>
              <w:left w:val="single" w:sz="4" w:space="0" w:color="auto"/>
            </w:tcBorders>
          </w:tcPr>
          <w:p w14:paraId="1A41C616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0.33</w:t>
            </w:r>
          </w:p>
          <w:p w14:paraId="6858F2C9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(0.15-0.69)</w:t>
            </w:r>
          </w:p>
        </w:tc>
        <w:tc>
          <w:tcPr>
            <w:tcW w:w="2257" w:type="dxa"/>
          </w:tcPr>
          <w:p w14:paraId="3766FD16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00560DB9" wp14:editId="00592CBB">
                  <wp:extent cx="1703070" cy="320675"/>
                  <wp:effectExtent l="0" t="0" r="0" b="0"/>
                  <wp:docPr id="54328954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E77927-B266-FE4A-8C38-BD6B714E949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0"/>
                    </a:graphicData>
                  </a:graphic>
                </wp:inline>
              </w:drawing>
            </w:r>
          </w:p>
        </w:tc>
        <w:tc>
          <w:tcPr>
            <w:tcW w:w="1195" w:type="dxa"/>
          </w:tcPr>
          <w:p w14:paraId="0507F655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0.08%</w:t>
            </w:r>
          </w:p>
        </w:tc>
        <w:tc>
          <w:tcPr>
            <w:tcW w:w="1062" w:type="dxa"/>
            <w:tcBorders>
              <w:right w:val="single" w:sz="4" w:space="0" w:color="auto"/>
            </w:tcBorders>
          </w:tcPr>
          <w:p w14:paraId="1D81DD58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0.51%</w:t>
            </w:r>
          </w:p>
        </w:tc>
        <w:tc>
          <w:tcPr>
            <w:tcW w:w="1247" w:type="dxa"/>
            <w:tcBorders>
              <w:left w:val="single" w:sz="4" w:space="0" w:color="auto"/>
            </w:tcBorders>
          </w:tcPr>
          <w:p w14:paraId="1A1530DE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1.46</w:t>
            </w:r>
          </w:p>
          <w:p w14:paraId="3A007B75" w14:textId="77777777" w:rsidR="000B79A8" w:rsidRPr="0067745C" w:rsidRDefault="000B79A8" w:rsidP="001376BB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(0.69-3.20)</w:t>
            </w:r>
          </w:p>
        </w:tc>
        <w:tc>
          <w:tcPr>
            <w:tcW w:w="2338" w:type="dxa"/>
            <w:gridSpan w:val="2"/>
          </w:tcPr>
          <w:p w14:paraId="3F8D03EE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7815B016" wp14:editId="7311465F">
                  <wp:extent cx="1691005" cy="320675"/>
                  <wp:effectExtent l="0" t="0" r="0" b="0"/>
                  <wp:docPr id="1778587262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BDCECF-C245-2543-8AB0-7E5EB3F8CC8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1"/>
                    </a:graphicData>
                  </a:graphic>
                </wp:inline>
              </w:drawing>
            </w:r>
          </w:p>
        </w:tc>
        <w:tc>
          <w:tcPr>
            <w:tcW w:w="1062" w:type="dxa"/>
          </w:tcPr>
          <w:p w14:paraId="1FDCA5CB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28.51%</w:t>
            </w:r>
          </w:p>
        </w:tc>
        <w:tc>
          <w:tcPr>
            <w:tcW w:w="1195" w:type="dxa"/>
          </w:tcPr>
          <w:p w14:paraId="6ED11889" w14:textId="77777777" w:rsidR="000B79A8" w:rsidRPr="0067745C" w:rsidRDefault="000B79A8" w:rsidP="001376BB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70.89%</w:t>
            </w:r>
          </w:p>
        </w:tc>
      </w:tr>
      <w:tr w:rsidR="000B79A8" w:rsidRPr="0067745C" w14:paraId="645286A3" w14:textId="77777777" w:rsidTr="000B79A8">
        <w:trPr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" w:type="dxa"/>
            <w:tcBorders>
              <w:bottom w:val="single" w:sz="4" w:space="0" w:color="auto"/>
            </w:tcBorders>
          </w:tcPr>
          <w:p w14:paraId="39034891" w14:textId="77777777" w:rsidR="000B79A8" w:rsidRPr="0067745C" w:rsidRDefault="000B79A8" w:rsidP="001376BB">
            <w:pPr>
              <w:spacing w:line="276" w:lineRule="auto"/>
              <w:jc w:val="left"/>
              <w:rPr>
                <w:rFonts w:ascii="Times New Roman" w:hAnsi="Times New Roman" w:cs="Times New Roman"/>
                <w:i w:val="0"/>
                <w:iCs w:val="0"/>
              </w:rPr>
            </w:pPr>
          </w:p>
        </w:tc>
        <w:tc>
          <w:tcPr>
            <w:tcW w:w="1540" w:type="dxa"/>
            <w:tcBorders>
              <w:bottom w:val="single" w:sz="4" w:space="0" w:color="auto"/>
              <w:right w:val="single" w:sz="4" w:space="0" w:color="auto"/>
            </w:tcBorders>
          </w:tcPr>
          <w:p w14:paraId="4E03BB17" w14:textId="77777777" w:rsidR="000B79A8" w:rsidRPr="0067745C" w:rsidRDefault="000B79A8" w:rsidP="001376BB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Pembrolizumab + CT</w:t>
            </w:r>
          </w:p>
        </w:tc>
        <w:tc>
          <w:tcPr>
            <w:tcW w:w="1248" w:type="dxa"/>
            <w:tcBorders>
              <w:left w:val="single" w:sz="4" w:space="0" w:color="auto"/>
              <w:bottom w:val="single" w:sz="4" w:space="0" w:color="auto"/>
            </w:tcBorders>
          </w:tcPr>
          <w:p w14:paraId="002D4816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1.00</w:t>
            </w:r>
          </w:p>
          <w:p w14:paraId="64332897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(0.58-1.72)</w:t>
            </w:r>
          </w:p>
        </w:tc>
        <w:tc>
          <w:tcPr>
            <w:tcW w:w="2257" w:type="dxa"/>
            <w:tcBorders>
              <w:bottom w:val="single" w:sz="4" w:space="0" w:color="auto"/>
            </w:tcBorders>
          </w:tcPr>
          <w:p w14:paraId="19A91654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78C59189" wp14:editId="4E6D2BAE">
                  <wp:extent cx="1703540" cy="320675"/>
                  <wp:effectExtent l="0" t="0" r="0" b="0"/>
                  <wp:docPr id="1616056469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6AAF9B2-8673-3E46-8781-0D4BD3745BC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2"/>
                    </a:graphicData>
                  </a:graphic>
                </wp:inline>
              </w:drawing>
            </w:r>
          </w:p>
        </w:tc>
        <w:tc>
          <w:tcPr>
            <w:tcW w:w="1195" w:type="dxa"/>
            <w:tcBorders>
              <w:bottom w:val="single" w:sz="4" w:space="0" w:color="auto"/>
            </w:tcBorders>
          </w:tcPr>
          <w:p w14:paraId="06CA64D8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49.49%</w:t>
            </w:r>
          </w:p>
        </w:tc>
        <w:tc>
          <w:tcPr>
            <w:tcW w:w="1062" w:type="dxa"/>
            <w:tcBorders>
              <w:bottom w:val="single" w:sz="4" w:space="0" w:color="auto"/>
              <w:right w:val="single" w:sz="4" w:space="0" w:color="auto"/>
            </w:tcBorders>
          </w:tcPr>
          <w:p w14:paraId="1D8B5B28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74.31%</w:t>
            </w:r>
          </w:p>
        </w:tc>
        <w:tc>
          <w:tcPr>
            <w:tcW w:w="1247" w:type="dxa"/>
            <w:tcBorders>
              <w:left w:val="single" w:sz="4" w:space="0" w:color="auto"/>
              <w:bottom w:val="single" w:sz="4" w:space="0" w:color="auto"/>
            </w:tcBorders>
          </w:tcPr>
          <w:p w14:paraId="0634D936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1.97</w:t>
            </w:r>
          </w:p>
          <w:p w14:paraId="347DB1A1" w14:textId="77777777" w:rsidR="000B79A8" w:rsidRPr="0067745C" w:rsidRDefault="000B79A8" w:rsidP="001376BB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(0.93-4.61)</w:t>
            </w:r>
          </w:p>
        </w:tc>
        <w:tc>
          <w:tcPr>
            <w:tcW w:w="2338" w:type="dxa"/>
            <w:gridSpan w:val="2"/>
            <w:tcBorders>
              <w:bottom w:val="single" w:sz="4" w:space="0" w:color="auto"/>
            </w:tcBorders>
          </w:tcPr>
          <w:p w14:paraId="55142C21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67745C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4D31963D" wp14:editId="025D8ECF">
                  <wp:extent cx="1691005" cy="320675"/>
                  <wp:effectExtent l="0" t="0" r="0" b="0"/>
                  <wp:docPr id="1945389264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FB6D846-229A-5647-9301-955A6055A02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3"/>
                    </a:graphicData>
                  </a:graphic>
                </wp:inline>
              </w:drawing>
            </w:r>
          </w:p>
        </w:tc>
        <w:tc>
          <w:tcPr>
            <w:tcW w:w="1062" w:type="dxa"/>
            <w:tcBorders>
              <w:bottom w:val="single" w:sz="4" w:space="0" w:color="auto"/>
            </w:tcBorders>
          </w:tcPr>
          <w:p w14:paraId="01EDC223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56.18%</w:t>
            </w:r>
          </w:p>
        </w:tc>
        <w:tc>
          <w:tcPr>
            <w:tcW w:w="1195" w:type="dxa"/>
            <w:tcBorders>
              <w:bottom w:val="single" w:sz="4" w:space="0" w:color="auto"/>
            </w:tcBorders>
          </w:tcPr>
          <w:p w14:paraId="193D6B85" w14:textId="77777777" w:rsidR="000B79A8" w:rsidRPr="0067745C" w:rsidRDefault="000B79A8" w:rsidP="001376BB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745C">
              <w:rPr>
                <w:rFonts w:ascii="Times New Roman" w:hAnsi="Times New Roman" w:cs="Times New Roman"/>
              </w:rPr>
              <w:t>83.81%</w:t>
            </w:r>
          </w:p>
        </w:tc>
      </w:tr>
    </w:tbl>
    <w:p w14:paraId="4D040A55" w14:textId="77777777" w:rsidR="000B79A8" w:rsidRPr="004A59D1" w:rsidRDefault="000B79A8" w:rsidP="000B79A8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A59D1">
        <w:rPr>
          <w:rFonts w:ascii="Times New Roman" w:eastAsia="Times New Roman" w:hAnsi="Times New Roman" w:cs="Times New Roman"/>
          <w:sz w:val="20"/>
          <w:szCs w:val="20"/>
        </w:rPr>
        <w:t>Abbreviation: CT = Chemotherapy; ITT = intention-to-treat population; PD-L1</w:t>
      </w:r>
      <w:r>
        <w:rPr>
          <w:rFonts w:ascii="Times New Roman" w:eastAsia="Times New Roman" w:hAnsi="Times New Roman" w:cs="Times New Roman"/>
          <w:sz w:val="16"/>
          <w:szCs w:val="16"/>
        </w:rPr>
        <w:t>+</w:t>
      </w:r>
      <w:r w:rsidRPr="004A59D1">
        <w:rPr>
          <w:rFonts w:ascii="Times New Roman" w:eastAsia="Times New Roman" w:hAnsi="Times New Roman" w:cs="Times New Roman"/>
          <w:sz w:val="20"/>
          <w:szCs w:val="20"/>
        </w:rPr>
        <w:t xml:space="preserve"> = PD-L1 positive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2F0D4708" w14:textId="77777777" w:rsidR="000B79A8" w:rsidRPr="004A59D1" w:rsidRDefault="000B79A8" w:rsidP="000B79A8"/>
    <w:bookmarkEnd w:id="0"/>
    <w:p w14:paraId="771D1C8B" w14:textId="77777777" w:rsidR="008B07A6" w:rsidRDefault="008B07A6"/>
    <w:sectPr w:rsidR="008B07A6" w:rsidSect="000B79A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9A8"/>
    <w:rsid w:val="00066677"/>
    <w:rsid w:val="000B79A8"/>
    <w:rsid w:val="003A4E89"/>
    <w:rsid w:val="00556784"/>
    <w:rsid w:val="0075067B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5401A"/>
  <w15:chartTrackingRefBased/>
  <w15:docId w15:val="{57B9D201-5375-4581-99AD-757E396B9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9A8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ID"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79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79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9A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79A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79A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79A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79A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79A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79A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79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79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79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79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79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79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79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79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79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79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79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79A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79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79A8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79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79A8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79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79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79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79A8"/>
    <w:rPr>
      <w:b/>
      <w:bCs/>
      <w:smallCaps/>
      <w:color w:val="0F4761" w:themeColor="accent1" w:themeShade="BF"/>
      <w:spacing w:val="5"/>
    </w:rPr>
  </w:style>
  <w:style w:type="table" w:styleId="PlainTable5">
    <w:name w:val="Plain Table 5"/>
    <w:basedOn w:val="TableNormal"/>
    <w:uiPriority w:val="45"/>
    <w:rsid w:val="000B79A8"/>
    <w:pPr>
      <w:spacing w:after="0" w:line="240" w:lineRule="auto"/>
    </w:pPr>
    <w:rPr>
      <w:lang w:val="en-ID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10.xml"/><Relationship Id="rId18" Type="http://schemas.openxmlformats.org/officeDocument/2006/relationships/chart" Target="charts/chart15.xml"/><Relationship Id="rId26" Type="http://schemas.openxmlformats.org/officeDocument/2006/relationships/chart" Target="charts/chart23.xml"/><Relationship Id="rId39" Type="http://schemas.openxmlformats.org/officeDocument/2006/relationships/chart" Target="charts/chart36.xml"/><Relationship Id="rId21" Type="http://schemas.openxmlformats.org/officeDocument/2006/relationships/chart" Target="charts/chart18.xml"/><Relationship Id="rId34" Type="http://schemas.openxmlformats.org/officeDocument/2006/relationships/chart" Target="charts/chart31.xml"/><Relationship Id="rId42" Type="http://schemas.openxmlformats.org/officeDocument/2006/relationships/chart" Target="charts/chart39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6" Type="http://schemas.openxmlformats.org/officeDocument/2006/relationships/chart" Target="charts/chart13.xml"/><Relationship Id="rId29" Type="http://schemas.openxmlformats.org/officeDocument/2006/relationships/chart" Target="charts/chart26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24" Type="http://schemas.openxmlformats.org/officeDocument/2006/relationships/chart" Target="charts/chart21.xml"/><Relationship Id="rId32" Type="http://schemas.openxmlformats.org/officeDocument/2006/relationships/chart" Target="charts/chart29.xml"/><Relationship Id="rId37" Type="http://schemas.openxmlformats.org/officeDocument/2006/relationships/chart" Target="charts/chart34.xml"/><Relationship Id="rId40" Type="http://schemas.openxmlformats.org/officeDocument/2006/relationships/chart" Target="charts/chart37.xml"/><Relationship Id="rId45" Type="http://schemas.openxmlformats.org/officeDocument/2006/relationships/theme" Target="theme/theme1.xml"/><Relationship Id="rId5" Type="http://schemas.openxmlformats.org/officeDocument/2006/relationships/chart" Target="charts/chart2.xml"/><Relationship Id="rId15" Type="http://schemas.openxmlformats.org/officeDocument/2006/relationships/chart" Target="charts/chart12.xml"/><Relationship Id="rId23" Type="http://schemas.openxmlformats.org/officeDocument/2006/relationships/chart" Target="charts/chart20.xml"/><Relationship Id="rId28" Type="http://schemas.openxmlformats.org/officeDocument/2006/relationships/chart" Target="charts/chart25.xml"/><Relationship Id="rId36" Type="http://schemas.openxmlformats.org/officeDocument/2006/relationships/chart" Target="charts/chart33.xml"/><Relationship Id="rId10" Type="http://schemas.openxmlformats.org/officeDocument/2006/relationships/chart" Target="charts/chart7.xml"/><Relationship Id="rId19" Type="http://schemas.openxmlformats.org/officeDocument/2006/relationships/chart" Target="charts/chart16.xml"/><Relationship Id="rId31" Type="http://schemas.openxmlformats.org/officeDocument/2006/relationships/chart" Target="charts/chart28.xml"/><Relationship Id="rId44" Type="http://schemas.openxmlformats.org/officeDocument/2006/relationships/fontTable" Target="fontTable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Relationship Id="rId22" Type="http://schemas.openxmlformats.org/officeDocument/2006/relationships/chart" Target="charts/chart19.xml"/><Relationship Id="rId27" Type="http://schemas.openxmlformats.org/officeDocument/2006/relationships/chart" Target="charts/chart24.xml"/><Relationship Id="rId30" Type="http://schemas.openxmlformats.org/officeDocument/2006/relationships/chart" Target="charts/chart27.xml"/><Relationship Id="rId35" Type="http://schemas.openxmlformats.org/officeDocument/2006/relationships/chart" Target="charts/chart32.xml"/><Relationship Id="rId43" Type="http://schemas.openxmlformats.org/officeDocument/2006/relationships/chart" Target="charts/chart40.xml"/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12" Type="http://schemas.openxmlformats.org/officeDocument/2006/relationships/chart" Target="charts/chart9.xml"/><Relationship Id="rId17" Type="http://schemas.openxmlformats.org/officeDocument/2006/relationships/chart" Target="charts/chart14.xml"/><Relationship Id="rId25" Type="http://schemas.openxmlformats.org/officeDocument/2006/relationships/chart" Target="charts/chart22.xml"/><Relationship Id="rId33" Type="http://schemas.openxmlformats.org/officeDocument/2006/relationships/chart" Target="charts/chart30.xml"/><Relationship Id="rId38" Type="http://schemas.openxmlformats.org/officeDocument/2006/relationships/chart" Target="charts/chart35.xml"/><Relationship Id="rId20" Type="http://schemas.openxmlformats.org/officeDocument/2006/relationships/chart" Target="charts/chart17.xml"/><Relationship Id="rId41" Type="http://schemas.openxmlformats.org/officeDocument/2006/relationships/chart" Target="charts/chart38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19.xml"/><Relationship Id="rId1" Type="http://schemas.microsoft.com/office/2011/relationships/chartStyle" Target="style19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20.xml"/><Relationship Id="rId1" Type="http://schemas.microsoft.com/office/2011/relationships/chartStyle" Target="style20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21.xml"/><Relationship Id="rId1" Type="http://schemas.microsoft.com/office/2011/relationships/chartStyle" Target="style21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22.xml"/><Relationship Id="rId1" Type="http://schemas.microsoft.com/office/2011/relationships/chartStyle" Target="style22.xm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23.xml"/><Relationship Id="rId1" Type="http://schemas.microsoft.com/office/2011/relationships/chartStyle" Target="style23.xm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24.xml"/><Relationship Id="rId1" Type="http://schemas.microsoft.com/office/2011/relationships/chartStyle" Target="style24.xml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25.xml"/><Relationship Id="rId1" Type="http://schemas.microsoft.com/office/2011/relationships/chartStyle" Target="style25.xml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26.xml"/><Relationship Id="rId1" Type="http://schemas.microsoft.com/office/2011/relationships/chartStyle" Target="style26.xml"/></Relationships>
</file>

<file path=word/charts/_rels/chart27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27.xml"/><Relationship Id="rId1" Type="http://schemas.microsoft.com/office/2011/relationships/chartStyle" Target="style27.xml"/></Relationships>
</file>

<file path=word/charts/_rels/chart28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28.xml"/><Relationship Id="rId1" Type="http://schemas.microsoft.com/office/2011/relationships/chartStyle" Target="style28.xml"/></Relationships>
</file>

<file path=word/charts/_rels/chart29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29.xml"/><Relationship Id="rId1" Type="http://schemas.microsoft.com/office/2011/relationships/chartStyle" Target="style29.xml"/></Relationships>
</file>

<file path=word/charts/_rels/chart30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30.xml"/><Relationship Id="rId1" Type="http://schemas.microsoft.com/office/2011/relationships/chartStyle" Target="style30.xml"/></Relationships>
</file>

<file path=word/charts/_rels/chart31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31.xml"/><Relationship Id="rId1" Type="http://schemas.microsoft.com/office/2011/relationships/chartStyle" Target="style31.xml"/></Relationships>
</file>

<file path=word/charts/_rels/chart32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32.xml"/><Relationship Id="rId1" Type="http://schemas.microsoft.com/office/2011/relationships/chartStyle" Target="style32.xml"/></Relationships>
</file>

<file path=word/charts/_rels/chart33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33.xml"/><Relationship Id="rId1" Type="http://schemas.microsoft.com/office/2011/relationships/chartStyle" Target="style33.xml"/></Relationships>
</file>

<file path=word/charts/_rels/chart34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34.xml"/><Relationship Id="rId1" Type="http://schemas.microsoft.com/office/2011/relationships/chartStyle" Target="style34.xml"/></Relationships>
</file>

<file path=word/charts/_rels/chart35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35.xml"/><Relationship Id="rId1" Type="http://schemas.microsoft.com/office/2011/relationships/chartStyle" Target="style35.xml"/></Relationships>
</file>

<file path=word/charts/_rels/chart36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36.xml"/><Relationship Id="rId1" Type="http://schemas.microsoft.com/office/2011/relationships/chartStyle" Target="style36.xml"/></Relationships>
</file>

<file path=word/charts/_rels/chart37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37.xml"/><Relationship Id="rId1" Type="http://schemas.microsoft.com/office/2011/relationships/chartStyle" Target="style37.xml"/></Relationships>
</file>

<file path=word/charts/_rels/chart38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38.xml"/><Relationship Id="rId1" Type="http://schemas.microsoft.com/office/2011/relationships/chartStyle" Target="style38.xml"/></Relationships>
</file>

<file path=word/charts/_rels/chart39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39.xml"/><Relationship Id="rId1" Type="http://schemas.microsoft.com/office/2011/relationships/chartStyle" Target="style39.xml"/></Relationships>
</file>

<file path=word/charts/_rels/chart40.xml.rels><?xml version="1.0" encoding="UTF-8" standalone="yes"?>
<Relationships xmlns="http://schemas.openxmlformats.org/package/2006/relationships"><Relationship Id="rId3" Type="http://schemas.openxmlformats.org/officeDocument/2006/relationships/oleObject" Target="C:/Users/Wika/Desktop/Scientific%20Stuffs/Publication/npj%20Breast%20Cancer_ICI/BMC%20Breast%20Cancer/Table4_forestPlots+SucraScore.xlsx" TargetMode="External"/><Relationship Id="rId2" Type="http://schemas.microsoft.com/office/2011/relationships/chartColorStyle" Target="colors40.xml"/><Relationship Id="rId1" Type="http://schemas.microsoft.com/office/2011/relationships/chartStyle" Target="style4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Sheet1!$I$4</c:f>
                <c:numCache>
                  <c:formatCode>General</c:formatCode>
                  <c:ptCount val="1"/>
                  <c:pt idx="0">
                    <c:v>0.45999999999999996</c:v>
                  </c:pt>
                </c:numCache>
              </c:numRef>
            </c:plus>
            <c:minus>
              <c:numRef>
                <c:f>Sheet1!$J$4</c:f>
                <c:numCache>
                  <c:formatCode>General</c:formatCode>
                  <c:ptCount val="1"/>
                  <c:pt idx="0">
                    <c:v>0.38000000000000012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Sheet1!$E$4</c:f>
              <c:numCache>
                <c:formatCode>General</c:formatCode>
                <c:ptCount val="1"/>
                <c:pt idx="0">
                  <c:v>1.33</c:v>
                </c:pt>
              </c:numCache>
            </c:numRef>
          </c:xVal>
          <c:yVal>
            <c:numRef>
              <c:f>Sheet1!$F$4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8A55-4424-AA91-20D10C6F81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Sheet1!$I$35</c:f>
                <c:numCache>
                  <c:formatCode>General</c:formatCode>
                  <c:ptCount val="1"/>
                  <c:pt idx="0">
                    <c:v>0.85000000000000031</c:v>
                  </c:pt>
                </c:numCache>
              </c:numRef>
            </c:plus>
            <c:minus>
              <c:numRef>
                <c:f>Sheet1!$J$35</c:f>
                <c:numCache>
                  <c:formatCode>General</c:formatCode>
                  <c:ptCount val="1"/>
                  <c:pt idx="0">
                    <c:v>0.58999999999999986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Sheet1!$E$35</c:f>
              <c:numCache>
                <c:formatCode>General</c:formatCode>
                <c:ptCount val="1"/>
                <c:pt idx="0">
                  <c:v>1.64</c:v>
                </c:pt>
              </c:numCache>
            </c:numRef>
          </c:xVal>
          <c:yVal>
            <c:numRef>
              <c:f>Sheet1!$F$35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D5A-40B0-BB07-984616E605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Sheet1!$I$5</c:f>
                <c:numCache>
                  <c:formatCode>General</c:formatCode>
                  <c:ptCount val="1"/>
                  <c:pt idx="0">
                    <c:v>0.19999999999999996</c:v>
                  </c:pt>
                </c:numCache>
              </c:numRef>
            </c:plus>
            <c:minus>
              <c:numRef>
                <c:f>Sheet1!$J$5</c:f>
                <c:numCache>
                  <c:formatCode>General</c:formatCode>
                  <c:ptCount val="1"/>
                  <c:pt idx="0">
                    <c:v>1.07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Sheet1!$E$5</c:f>
              <c:numCache>
                <c:formatCode>General</c:formatCode>
                <c:ptCount val="1"/>
                <c:pt idx="0">
                  <c:v>1.77</c:v>
                </c:pt>
              </c:numCache>
            </c:numRef>
          </c:xVal>
          <c:yVal>
            <c:numRef>
              <c:f>Sheet1!$F$5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696-42C3-8F40-16C62D9490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Sheet1!$I$36</c:f>
                <c:numCache>
                  <c:formatCode>General</c:formatCode>
                  <c:ptCount val="1"/>
                  <c:pt idx="0">
                    <c:v>1.2799999999999998</c:v>
                  </c:pt>
                </c:numCache>
              </c:numRef>
            </c:plus>
            <c:minus>
              <c:numRef>
                <c:f>Sheet1!$J$36</c:f>
                <c:numCache>
                  <c:formatCode>General</c:formatCode>
                  <c:ptCount val="1"/>
                  <c:pt idx="0">
                    <c:v>0.65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Sheet1!$E$36</c:f>
              <c:numCache>
                <c:formatCode>General</c:formatCode>
                <c:ptCount val="1"/>
                <c:pt idx="0">
                  <c:v>1.29</c:v>
                </c:pt>
              </c:numCache>
            </c:numRef>
          </c:xVal>
          <c:yVal>
            <c:numRef>
              <c:f>Sheet1!$F$36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4CA-409B-B43A-3F96F688A9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Sheet1!$I$7</c:f>
                <c:numCache>
                  <c:formatCode>General</c:formatCode>
                  <c:ptCount val="1"/>
                  <c:pt idx="0">
                    <c:v>0.83999999999999986</c:v>
                  </c:pt>
                </c:numCache>
              </c:numRef>
            </c:plus>
            <c:minus>
              <c:numRef>
                <c:f>Sheet1!$J$7</c:f>
                <c:numCache>
                  <c:formatCode>General</c:formatCode>
                  <c:ptCount val="1"/>
                  <c:pt idx="0">
                    <c:v>0.5099999999999999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Sheet1!$E$7</c:f>
              <c:numCache>
                <c:formatCode>General</c:formatCode>
                <c:ptCount val="1"/>
                <c:pt idx="0">
                  <c:v>1.17</c:v>
                </c:pt>
              </c:numCache>
            </c:numRef>
          </c:xVal>
          <c:yVal>
            <c:numRef>
              <c:f>Sheet1!$F$7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94E3-407E-9DA6-241FEC50C4C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Sheet1!$I$38</c:f>
                <c:numCache>
                  <c:formatCode>General</c:formatCode>
                  <c:ptCount val="1"/>
                  <c:pt idx="0">
                    <c:v>1.0000000000000002</c:v>
                  </c:pt>
                </c:numCache>
              </c:numRef>
            </c:plus>
            <c:minus>
              <c:numRef>
                <c:f>Sheet1!$J$38</c:f>
                <c:numCache>
                  <c:formatCode>General</c:formatCode>
                  <c:ptCount val="1"/>
                  <c:pt idx="0">
                    <c:v>0.59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Sheet1!$E$38</c:f>
              <c:numCache>
                <c:formatCode>General</c:formatCode>
                <c:ptCount val="1"/>
                <c:pt idx="0">
                  <c:v>1.22</c:v>
                </c:pt>
              </c:numCache>
            </c:numRef>
          </c:xVal>
          <c:yVal>
            <c:numRef>
              <c:f>Sheet1!$F$38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754-446C-A257-2A06166198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Sheet1!$I$8</c:f>
                <c:numCache>
                  <c:formatCode>General</c:formatCode>
                  <c:ptCount val="1"/>
                  <c:pt idx="0">
                    <c:v>0.96</c:v>
                  </c:pt>
                </c:numCache>
              </c:numRef>
            </c:plus>
            <c:minus>
              <c:numRef>
                <c:f>Sheet1!$J$8</c:f>
                <c:numCache>
                  <c:formatCode>General</c:formatCode>
                  <c:ptCount val="1"/>
                  <c:pt idx="0">
                    <c:v>0.44000000000000006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yVal>
            <c:numRef>
              <c:f>Sheet1!$E$8</c:f>
              <c:numCache>
                <c:formatCode>General</c:formatCode>
                <c:ptCount val="1"/>
                <c:pt idx="0">
                  <c:v>0.81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803-4093-8766-46E352A070C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Sheet1!$I$39</c:f>
                <c:numCache>
                  <c:formatCode>General</c:formatCode>
                  <c:ptCount val="1"/>
                  <c:pt idx="0">
                    <c:v>1.1099999999999999</c:v>
                  </c:pt>
                </c:numCache>
              </c:numRef>
            </c:plus>
            <c:minus>
              <c:numRef>
                <c:f>Sheet1!$J$39</c:f>
                <c:numCache>
                  <c:formatCode>General</c:formatCode>
                  <c:ptCount val="1"/>
                  <c:pt idx="0">
                    <c:v>0.5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Sheet1!$E$39</c:f>
              <c:numCache>
                <c:formatCode>General</c:formatCode>
                <c:ptCount val="1"/>
                <c:pt idx="0">
                  <c:v>0.89</c:v>
                </c:pt>
              </c:numCache>
            </c:numRef>
          </c:xVal>
          <c:yVal>
            <c:numRef>
              <c:f>Sheet1!$F$39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DD6B-4386-A5A0-A24B0957DC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Sheet1!$I$10</c:f>
                <c:numCache>
                  <c:formatCode>General</c:formatCode>
                  <c:ptCount val="1"/>
                  <c:pt idx="0">
                    <c:v>8.9999999999999969E-2</c:v>
                  </c:pt>
                </c:numCache>
              </c:numRef>
            </c:plus>
            <c:minus>
              <c:numRef>
                <c:f>Sheet1!$J$10</c:f>
                <c:numCache>
                  <c:formatCode>General</c:formatCode>
                  <c:ptCount val="1"/>
                  <c:pt idx="0">
                    <c:v>8.9999999999999969E-2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Sheet1!$E$10</c:f>
              <c:numCache>
                <c:formatCode>General</c:formatCode>
                <c:ptCount val="1"/>
                <c:pt idx="0">
                  <c:v>0.88</c:v>
                </c:pt>
              </c:numCache>
            </c:numRef>
          </c:xVal>
          <c:yVal>
            <c:numRef>
              <c:f>Sheet1!$F$10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88BE-4E32-8EBF-26C1F58728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Sheet1!$I$41</c:f>
                <c:numCache>
                  <c:formatCode>General</c:formatCode>
                  <c:ptCount val="1"/>
                  <c:pt idx="0">
                    <c:v>0.16999999999999993</c:v>
                  </c:pt>
                </c:numCache>
              </c:numRef>
            </c:plus>
            <c:minus>
              <c:numRef>
                <c:f>Sheet1!$J$41</c:f>
                <c:numCache>
                  <c:formatCode>General</c:formatCode>
                  <c:ptCount val="1"/>
                  <c:pt idx="0">
                    <c:v>0.14000000000000001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Sheet1!$E$41</c:f>
              <c:numCache>
                <c:formatCode>General</c:formatCode>
                <c:ptCount val="1"/>
                <c:pt idx="0">
                  <c:v>1.01</c:v>
                </c:pt>
              </c:numCache>
            </c:numRef>
          </c:xVal>
          <c:yVal>
            <c:numRef>
              <c:f>Sheet1!$F$41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A7D-45CB-9A2D-477EC56227D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Sheet1!$I$11</c:f>
                <c:numCache>
                  <c:formatCode>General</c:formatCode>
                  <c:ptCount val="1"/>
                  <c:pt idx="0">
                    <c:v>0.14000000000000001</c:v>
                  </c:pt>
                </c:numCache>
              </c:numRef>
            </c:plus>
            <c:minus>
              <c:numRef>
                <c:f>Sheet1!$J$11</c:f>
                <c:numCache>
                  <c:formatCode>General</c:formatCode>
                  <c:ptCount val="1"/>
                  <c:pt idx="0">
                    <c:v>0.12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Sheet1!$E$11</c:f>
              <c:numCache>
                <c:formatCode>General</c:formatCode>
                <c:ptCount val="1"/>
                <c:pt idx="0">
                  <c:v>0.85</c:v>
                </c:pt>
              </c:numCache>
            </c:numRef>
          </c:xVal>
          <c:yVal>
            <c:numRef>
              <c:f>Sheet1!$F$11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630-4CF5-9EF5-E19C474ACF3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Sheet1!$I$42</c:f>
                <c:numCache>
                  <c:formatCode>General</c:formatCode>
                  <c:ptCount val="1"/>
                  <c:pt idx="0">
                    <c:v>0.20000000000000007</c:v>
                  </c:pt>
                </c:numCache>
              </c:numRef>
            </c:plus>
            <c:minus>
              <c:numRef>
                <c:f>Sheet1!$J$42</c:f>
                <c:numCache>
                  <c:formatCode>General</c:formatCode>
                  <c:ptCount val="1"/>
                  <c:pt idx="0">
                    <c:v>0.16000000000000003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Sheet1!$E$42</c:f>
              <c:numCache>
                <c:formatCode>General</c:formatCode>
                <c:ptCount val="1"/>
                <c:pt idx="0">
                  <c:v>0.87</c:v>
                </c:pt>
              </c:numCache>
            </c:numRef>
          </c:xVal>
          <c:yVal>
            <c:numRef>
              <c:f>Sheet1!$F$42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9227-402E-A17E-036B60B99C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Sheet1!$I$13</c:f>
                <c:numCache>
                  <c:formatCode>General</c:formatCode>
                  <c:ptCount val="1"/>
                  <c:pt idx="0">
                    <c:v>0.12000000000000011</c:v>
                  </c:pt>
                </c:numCache>
              </c:numRef>
            </c:plus>
            <c:minus>
              <c:numRef>
                <c:f>Sheet1!$J$13</c:f>
                <c:numCache>
                  <c:formatCode>General</c:formatCode>
                  <c:ptCount val="1"/>
                  <c:pt idx="0">
                    <c:v>0.10999999999999999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Sheet1!$E$13</c:f>
              <c:numCache>
                <c:formatCode>General</c:formatCode>
                <c:ptCount val="1"/>
                <c:pt idx="0">
                  <c:v>0.95</c:v>
                </c:pt>
              </c:numCache>
            </c:numRef>
          </c:xVal>
          <c:yVal>
            <c:numRef>
              <c:f>Sheet1!$F$13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8CE-4E0C-BDFD-67EF3B64CA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Sheet1!$I$44</c:f>
                <c:numCache>
                  <c:formatCode>General</c:formatCode>
                  <c:ptCount val="1"/>
                  <c:pt idx="0">
                    <c:v>0.18999999999999995</c:v>
                  </c:pt>
                </c:numCache>
              </c:numRef>
            </c:plus>
            <c:minus>
              <c:numRef>
                <c:f>Sheet1!$J$44</c:f>
                <c:numCache>
                  <c:formatCode>General</c:formatCode>
                  <c:ptCount val="1"/>
                  <c:pt idx="0">
                    <c:v>0.17000000000000004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Sheet1!$E$44</c:f>
              <c:numCache>
                <c:formatCode>General</c:formatCode>
                <c:ptCount val="1"/>
                <c:pt idx="0">
                  <c:v>1.06</c:v>
                </c:pt>
              </c:numCache>
            </c:numRef>
          </c:xVal>
          <c:yVal>
            <c:numRef>
              <c:f>Sheet1!$F$44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46E-4FB1-84E5-119B42BDBA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Sheet1!$I$14</c:f>
                <c:numCache>
                  <c:formatCode>General</c:formatCode>
                  <c:ptCount val="1"/>
                  <c:pt idx="0">
                    <c:v>0.18999999999999995</c:v>
                  </c:pt>
                </c:numCache>
              </c:numRef>
            </c:plus>
            <c:minus>
              <c:numRef>
                <c:f>Sheet1!$J$14</c:f>
                <c:numCache>
                  <c:formatCode>General</c:formatCode>
                  <c:ptCount val="1"/>
                  <c:pt idx="0">
                    <c:v>0.15999999999999992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Sheet1!$E$14</c:f>
              <c:numCache>
                <c:formatCode>General</c:formatCode>
                <c:ptCount val="1"/>
                <c:pt idx="0">
                  <c:v>0.97</c:v>
                </c:pt>
              </c:numCache>
            </c:numRef>
          </c:xVal>
          <c:yVal>
            <c:numRef>
              <c:f>Sheet1!$F$14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2A0-4B08-A6C6-57E97E2702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Sheet1!$I$45</c:f>
                <c:numCache>
                  <c:formatCode>General</c:formatCode>
                  <c:ptCount val="1"/>
                  <c:pt idx="0">
                    <c:v>0.25</c:v>
                  </c:pt>
                </c:numCache>
              </c:numRef>
            </c:plus>
            <c:minus>
              <c:numRef>
                <c:f>Sheet1!$J$45</c:f>
                <c:numCache>
                  <c:formatCode>General</c:formatCode>
                  <c:ptCount val="1"/>
                  <c:pt idx="0">
                    <c:v>0.19999999999999996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Sheet1!$E$45</c:f>
              <c:numCache>
                <c:formatCode>General</c:formatCode>
                <c:ptCount val="1"/>
                <c:pt idx="0">
                  <c:v>1</c:v>
                </c:pt>
              </c:numCache>
            </c:numRef>
          </c:xVal>
          <c:yVal>
            <c:numRef>
              <c:f>Sheet1!$F$45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CD2-46B5-AA5C-2AFB236468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Sheet1!$I$16</c:f>
                <c:numCache>
                  <c:formatCode>General</c:formatCode>
                  <c:ptCount val="1"/>
                  <c:pt idx="0">
                    <c:v>0.17000000000000004</c:v>
                  </c:pt>
                </c:numCache>
              </c:numRef>
            </c:plus>
            <c:minus>
              <c:numRef>
                <c:f>Sheet1!$J$16</c:f>
                <c:numCache>
                  <c:formatCode>General</c:formatCode>
                  <c:ptCount val="1"/>
                  <c:pt idx="0">
                    <c:v>0.15000000000000002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Sheet1!$E$16</c:f>
              <c:numCache>
                <c:formatCode>General</c:formatCode>
                <c:ptCount val="1"/>
                <c:pt idx="0">
                  <c:v>0.92</c:v>
                </c:pt>
              </c:numCache>
            </c:numRef>
          </c:xVal>
          <c:yVal>
            <c:numRef>
              <c:f>Sheet1!$F$16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BD0-4892-BB12-456467929F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Sheet1!$I$47</c:f>
                <c:numCache>
                  <c:formatCode>General</c:formatCode>
                  <c:ptCount val="1"/>
                  <c:pt idx="0">
                    <c:v>0.34000000000000008</c:v>
                  </c:pt>
                </c:numCache>
              </c:numRef>
            </c:plus>
            <c:minus>
              <c:numRef>
                <c:f>Sheet1!$J$47</c:f>
                <c:numCache>
                  <c:formatCode>General</c:formatCode>
                  <c:ptCount val="1"/>
                  <c:pt idx="0">
                    <c:v>0.26999999999999991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Sheet1!$E$47</c:f>
              <c:numCache>
                <c:formatCode>General</c:formatCode>
                <c:ptCount val="1"/>
                <c:pt idx="0">
                  <c:v>1.18</c:v>
                </c:pt>
              </c:numCache>
            </c:numRef>
          </c:xVal>
          <c:yVal>
            <c:numRef>
              <c:f>Sheet1!$F$47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CD97-454D-AA3B-C5168FE357B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Sheet1!$I$17</c:f>
                <c:numCache>
                  <c:formatCode>General</c:formatCode>
                  <c:ptCount val="1"/>
                  <c:pt idx="0">
                    <c:v>0.29000000000000004</c:v>
                  </c:pt>
                </c:numCache>
              </c:numRef>
            </c:plus>
            <c:minus>
              <c:numRef>
                <c:f>Sheet1!$J$17</c:f>
                <c:numCache>
                  <c:formatCode>General</c:formatCode>
                  <c:ptCount val="1"/>
                  <c:pt idx="0">
                    <c:v>0.21999999999999997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Sheet1!$E$17</c:f>
              <c:numCache>
                <c:formatCode>General</c:formatCode>
                <c:ptCount val="1"/>
                <c:pt idx="0">
                  <c:v>1.03</c:v>
                </c:pt>
              </c:numCache>
            </c:numRef>
          </c:xVal>
          <c:yVal>
            <c:numRef>
              <c:f>Sheet1!$F$17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132-4C57-879C-4FDE52D4A3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Sheet1!$I$48</c:f>
                <c:numCache>
                  <c:formatCode>General</c:formatCode>
                  <c:ptCount val="1"/>
                  <c:pt idx="0">
                    <c:v>0.43999999999999995</c:v>
                  </c:pt>
                </c:numCache>
              </c:numRef>
            </c:plus>
            <c:minus>
              <c:numRef>
                <c:f>Sheet1!$J$48</c:f>
                <c:numCache>
                  <c:formatCode>General</c:formatCode>
                  <c:ptCount val="1"/>
                  <c:pt idx="0">
                    <c:v>0.33000000000000007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Sheet1!$E$48</c:f>
              <c:numCache>
                <c:formatCode>General</c:formatCode>
                <c:ptCount val="1"/>
                <c:pt idx="0">
                  <c:v>1.28</c:v>
                </c:pt>
              </c:numCache>
            </c:numRef>
          </c:xVal>
          <c:yVal>
            <c:numRef>
              <c:f>Sheet1!$F$48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294-45EC-B758-9EEBD68A216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Sheet1!$I$19</c:f>
                <c:numCache>
                  <c:formatCode>General</c:formatCode>
                  <c:ptCount val="1"/>
                  <c:pt idx="0">
                    <c:v>0.29000000000000004</c:v>
                  </c:pt>
                </c:numCache>
              </c:numRef>
            </c:plus>
            <c:minus>
              <c:numRef>
                <c:f>Sheet1!$J$19</c:f>
                <c:numCache>
                  <c:formatCode>General</c:formatCode>
                  <c:ptCount val="1"/>
                  <c:pt idx="0">
                    <c:v>0.21999999999999997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Sheet1!$E$19</c:f>
              <c:numCache>
                <c:formatCode>General</c:formatCode>
                <c:ptCount val="1"/>
                <c:pt idx="0">
                  <c:v>0.97</c:v>
                </c:pt>
              </c:numCache>
            </c:numRef>
          </c:xVal>
          <c:yVal>
            <c:numRef>
              <c:f>Sheet1!$F$19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066-4893-A2CA-C12D63FF81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Sheet1!$I$50</c:f>
                <c:numCache>
                  <c:formatCode>General</c:formatCode>
                  <c:ptCount val="1"/>
                  <c:pt idx="0">
                    <c:v>0.81</c:v>
                  </c:pt>
                </c:numCache>
              </c:numRef>
            </c:plus>
            <c:minus>
              <c:numRef>
                <c:f>Sheet1!$J$50</c:f>
                <c:numCache>
                  <c:formatCode>General</c:formatCode>
                  <c:ptCount val="1"/>
                  <c:pt idx="0">
                    <c:v>0.53999999999999981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Sheet1!$E$50</c:f>
              <c:numCache>
                <c:formatCode>General</c:formatCode>
                <c:ptCount val="1"/>
                <c:pt idx="0">
                  <c:v>1.65</c:v>
                </c:pt>
              </c:numCache>
            </c:numRef>
          </c:xVal>
          <c:yVal>
            <c:numRef>
              <c:f>Sheet1!$F$50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7D6-44CC-A00E-C50510F70A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Sheet1!$I$20</c:f>
                <c:numCache>
                  <c:formatCode>General</c:formatCode>
                  <c:ptCount val="1"/>
                  <c:pt idx="0">
                    <c:v>0.46000000000000019</c:v>
                  </c:pt>
                </c:numCache>
              </c:numRef>
            </c:plus>
            <c:minus>
              <c:numRef>
                <c:f>Sheet1!$J$20</c:f>
                <c:numCache>
                  <c:formatCode>General</c:formatCode>
                  <c:ptCount val="1"/>
                  <c:pt idx="0">
                    <c:v>0.30999999999999994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Sheet1!$E$20</c:f>
              <c:numCache>
                <c:formatCode>General</c:formatCode>
                <c:ptCount val="1"/>
                <c:pt idx="0">
                  <c:v>1.1599999999999999</c:v>
                </c:pt>
              </c:numCache>
            </c:numRef>
          </c:xVal>
          <c:yVal>
            <c:numRef>
              <c:f>Sheet1!$F$20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282-4E9F-A4CB-E319D02EE1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Sheet1!$I$51</c:f>
                <c:numCache>
                  <c:formatCode>General</c:formatCode>
                  <c:ptCount val="1"/>
                  <c:pt idx="0">
                    <c:v>0.61999999999999988</c:v>
                  </c:pt>
                </c:numCache>
              </c:numRef>
            </c:plus>
            <c:minus>
              <c:numRef>
                <c:f>Sheet1!$J$51</c:f>
                <c:numCache>
                  <c:formatCode>General</c:formatCode>
                  <c:ptCount val="1"/>
                  <c:pt idx="0">
                    <c:v>0.41000000000000003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Sheet1!$E$51</c:f>
              <c:numCache>
                <c:formatCode>General</c:formatCode>
                <c:ptCount val="1"/>
                <c:pt idx="0">
                  <c:v>1.26</c:v>
                </c:pt>
              </c:numCache>
            </c:numRef>
          </c:xVal>
          <c:yVal>
            <c:numRef>
              <c:f>Sheet1!$F$51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043-4ED3-9616-035259242E7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Sheet1!$I$22</c:f>
                <c:numCache>
                  <c:formatCode>General</c:formatCode>
                  <c:ptCount val="1"/>
                  <c:pt idx="0">
                    <c:v>0.18999999999999995</c:v>
                  </c:pt>
                </c:numCache>
              </c:numRef>
            </c:plus>
            <c:minus>
              <c:numRef>
                <c:f>Sheet1!$J$22</c:f>
                <c:numCache>
                  <c:formatCode>General</c:formatCode>
                  <c:ptCount val="1"/>
                  <c:pt idx="0">
                    <c:v>0.16000000000000014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Sheet1!$E$22</c:f>
              <c:numCache>
                <c:formatCode>General</c:formatCode>
                <c:ptCount val="1"/>
                <c:pt idx="0">
                  <c:v>1.1100000000000001</c:v>
                </c:pt>
              </c:numCache>
            </c:numRef>
          </c:xVal>
          <c:yVal>
            <c:numRef>
              <c:f>Sheet1!$F$22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87D9-439D-979C-370415797A7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Sheet1!$I$53</c:f>
                <c:numCache>
                  <c:formatCode>General</c:formatCode>
                  <c:ptCount val="1"/>
                  <c:pt idx="0">
                    <c:v>0.44999999999999996</c:v>
                  </c:pt>
                </c:numCache>
              </c:numRef>
            </c:plus>
            <c:minus>
              <c:numRef>
                <c:f>Sheet1!$J$53</c:f>
                <c:numCache>
                  <c:formatCode>General</c:formatCode>
                  <c:ptCount val="1"/>
                  <c:pt idx="0">
                    <c:v>0.35000000000000009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Sheet1!$E$53</c:f>
              <c:numCache>
                <c:formatCode>General</c:formatCode>
                <c:ptCount val="1"/>
                <c:pt idx="0">
                  <c:v>1.57</c:v>
                </c:pt>
              </c:numCache>
            </c:numRef>
          </c:xVal>
          <c:yVal>
            <c:numRef>
              <c:f>Sheet1!$F$53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3AA-4F76-972F-48B16BF5E6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Sheet1!$I$23</c:f>
                <c:numCache>
                  <c:formatCode>General</c:formatCode>
                  <c:ptCount val="1"/>
                  <c:pt idx="0">
                    <c:v>0.33000000000000007</c:v>
                  </c:pt>
                </c:numCache>
              </c:numRef>
            </c:plus>
            <c:minus>
              <c:numRef>
                <c:f>Sheet1!$J$23</c:f>
                <c:numCache>
                  <c:formatCode>General</c:formatCode>
                  <c:ptCount val="1"/>
                  <c:pt idx="0">
                    <c:v>0.26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Sheet1!$E$23</c:f>
              <c:numCache>
                <c:formatCode>General</c:formatCode>
                <c:ptCount val="1"/>
                <c:pt idx="0">
                  <c:v>1.24</c:v>
                </c:pt>
              </c:numCache>
            </c:numRef>
          </c:xVal>
          <c:yVal>
            <c:numRef>
              <c:f>Sheet1!$F$23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D215-45DD-81F3-2BCE619BEF9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Sheet1!$I$54</c:f>
                <c:numCache>
                  <c:formatCode>General</c:formatCode>
                  <c:ptCount val="1"/>
                  <c:pt idx="0">
                    <c:v>0.54999999999999982</c:v>
                  </c:pt>
                </c:numCache>
              </c:numRef>
            </c:plus>
            <c:minus>
              <c:numRef>
                <c:f>Sheet1!$J$54</c:f>
                <c:numCache>
                  <c:formatCode>General</c:formatCode>
                  <c:ptCount val="1"/>
                  <c:pt idx="0">
                    <c:v>0.39000000000000012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Sheet1!$E$54</c:f>
              <c:numCache>
                <c:formatCode>General</c:formatCode>
                <c:ptCount val="1"/>
                <c:pt idx="0">
                  <c:v>1.33</c:v>
                </c:pt>
              </c:numCache>
            </c:numRef>
          </c:xVal>
          <c:yVal>
            <c:numRef>
              <c:f>Sheet1!$F$54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484-4EEE-943D-D776C65994D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Sheet1!$I$25</c:f>
                <c:numCache>
                  <c:formatCode>General</c:formatCode>
                  <c:ptCount val="1"/>
                  <c:pt idx="0">
                    <c:v>0.3600000000000001</c:v>
                  </c:pt>
                </c:numCache>
              </c:numRef>
            </c:plus>
            <c:minus>
              <c:numRef>
                <c:f>Sheet1!$J$25</c:f>
                <c:numCache>
                  <c:formatCode>General</c:formatCode>
                  <c:ptCount val="1"/>
                  <c:pt idx="0">
                    <c:v>0.28000000000000003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Sheet1!$E$25</c:f>
              <c:numCache>
                <c:formatCode>General</c:formatCode>
                <c:ptCount val="1"/>
                <c:pt idx="0">
                  <c:v>1.25</c:v>
                </c:pt>
              </c:numCache>
            </c:numRef>
          </c:xVal>
          <c:yVal>
            <c:numRef>
              <c:f>Sheet1!$F$25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524-4A34-AC20-DEA390D43B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Sheet1!$I$56</c:f>
                <c:numCache>
                  <c:formatCode>General</c:formatCode>
                  <c:ptCount val="1"/>
                  <c:pt idx="0">
                    <c:v>0.62000000000000011</c:v>
                  </c:pt>
                </c:numCache>
              </c:numRef>
            </c:plus>
            <c:minus>
              <c:numRef>
                <c:f>Sheet1!$J$56</c:f>
                <c:numCache>
                  <c:formatCode>General</c:formatCode>
                  <c:ptCount val="1"/>
                  <c:pt idx="0">
                    <c:v>0.44000000000000017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Sheet1!$E$56</c:f>
              <c:numCache>
                <c:formatCode>General</c:formatCode>
                <c:ptCount val="1"/>
                <c:pt idx="0">
                  <c:v>1.58</c:v>
                </c:pt>
              </c:numCache>
            </c:numRef>
          </c:xVal>
          <c:yVal>
            <c:numRef>
              <c:f>Sheet1!$F$56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08A-4F43-AF5E-D5C7F6A21F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Sheet1!$I$26</c:f>
                <c:numCache>
                  <c:formatCode>General</c:formatCode>
                  <c:ptCount val="1"/>
                  <c:pt idx="0">
                    <c:v>0.71000000000000019</c:v>
                  </c:pt>
                </c:numCache>
              </c:numRef>
            </c:plus>
            <c:minus>
              <c:numRef>
                <c:f>Sheet1!$J$26</c:f>
                <c:numCache>
                  <c:formatCode>General</c:formatCode>
                  <c:ptCount val="1"/>
                  <c:pt idx="0">
                    <c:v>0.42999999999999994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Sheet1!$E$26</c:f>
              <c:numCache>
                <c:formatCode>General</c:formatCode>
                <c:ptCount val="1"/>
                <c:pt idx="0">
                  <c:v>1.47</c:v>
                </c:pt>
              </c:numCache>
            </c:numRef>
          </c:xVal>
          <c:yVal>
            <c:numRef>
              <c:f>Sheet1!$F$26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7F3-4551-BA7B-BCBB298494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Sheet1!$I$57</c:f>
                <c:numCache>
                  <c:formatCode>General</c:formatCode>
                  <c:ptCount val="1"/>
                  <c:pt idx="0">
                    <c:v>0.95000000000000018</c:v>
                  </c:pt>
                </c:numCache>
              </c:numRef>
            </c:plus>
            <c:minus>
              <c:numRef>
                <c:f>Sheet1!$J$57</c:f>
                <c:numCache>
                  <c:formatCode>General</c:formatCode>
                  <c:ptCount val="1"/>
                  <c:pt idx="0">
                    <c:v>0.58999999999999986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Sheet1!$E$57</c:f>
              <c:numCache>
                <c:formatCode>General</c:formatCode>
                <c:ptCount val="1"/>
                <c:pt idx="0">
                  <c:v>1.69</c:v>
                </c:pt>
              </c:numCache>
            </c:numRef>
          </c:xVal>
          <c:yVal>
            <c:numRef>
              <c:f>Sheet1!$F$57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EF8-430A-9116-23AB351A03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Sheet1!$I$28</c:f>
                <c:numCache>
                  <c:formatCode>General</c:formatCode>
                  <c:ptCount val="1"/>
                  <c:pt idx="0">
                    <c:v>0.41000000000000003</c:v>
                  </c:pt>
                </c:numCache>
              </c:numRef>
            </c:plus>
            <c:minus>
              <c:numRef>
                <c:f>Sheet1!$J$28</c:f>
                <c:numCache>
                  <c:formatCode>General</c:formatCode>
                  <c:ptCount val="1"/>
                  <c:pt idx="0">
                    <c:v>0.24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Sheet1!$E$28</c:f>
              <c:numCache>
                <c:formatCode>General</c:formatCode>
                <c:ptCount val="1"/>
                <c:pt idx="0">
                  <c:v>0.64</c:v>
                </c:pt>
              </c:numCache>
            </c:numRef>
          </c:xVal>
          <c:yVal>
            <c:numRef>
              <c:f>Sheet1!$F$28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2F7-4C2C-91E8-7C86515F7D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Sheet1!$I$59</c:f>
                <c:numCache>
                  <c:formatCode>General</c:formatCode>
                  <c:ptCount val="1"/>
                  <c:pt idx="0">
                    <c:v>0.8</c:v>
                  </c:pt>
                </c:numCache>
              </c:numRef>
            </c:plus>
            <c:minus>
              <c:numRef>
                <c:f>Sheet1!$J$59</c:f>
                <c:numCache>
                  <c:formatCode>General</c:formatCode>
                  <c:ptCount val="1"/>
                  <c:pt idx="0">
                    <c:v>0.47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Sheet1!$E$59</c:f>
              <c:numCache>
                <c:formatCode>General</c:formatCode>
                <c:ptCount val="1"/>
                <c:pt idx="0">
                  <c:v>1.19</c:v>
                </c:pt>
              </c:numCache>
            </c:numRef>
          </c:xVal>
          <c:yVal>
            <c:numRef>
              <c:f>Sheet1!$F$59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827B-4F51-A847-CDAA1EE54B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Sheet1!$I$29</c:f>
                <c:numCache>
                  <c:formatCode>General</c:formatCode>
                  <c:ptCount val="1"/>
                  <c:pt idx="0">
                    <c:v>0.67999999999999994</c:v>
                  </c:pt>
                </c:numCache>
              </c:numRef>
            </c:plus>
            <c:minus>
              <c:numRef>
                <c:f>Sheet1!$J$29</c:f>
                <c:numCache>
                  <c:formatCode>General</c:formatCode>
                  <c:ptCount val="1"/>
                  <c:pt idx="0">
                    <c:v>0.41000000000000003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Sheet1!$E$29</c:f>
              <c:numCache>
                <c:formatCode>General</c:formatCode>
                <c:ptCount val="1"/>
                <c:pt idx="0">
                  <c:v>1.08</c:v>
                </c:pt>
              </c:numCache>
            </c:numRef>
          </c:xVal>
          <c:yVal>
            <c:numRef>
              <c:f>Sheet1!$F$29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310-490B-959D-BE31F0ADCC0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Sheet1!$I$60</c:f>
                <c:numCache>
                  <c:formatCode>General</c:formatCode>
                  <c:ptCount val="1"/>
                  <c:pt idx="0">
                    <c:v>1.2399999999999998</c:v>
                  </c:pt>
                </c:numCache>
              </c:numRef>
            </c:plus>
            <c:minus>
              <c:numRef>
                <c:f>Sheet1!$J$60</c:f>
                <c:numCache>
                  <c:formatCode>General</c:formatCode>
                  <c:ptCount val="1"/>
                  <c:pt idx="0">
                    <c:v>0.65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Sheet1!$E$60</c:f>
              <c:numCache>
                <c:formatCode>General</c:formatCode>
                <c:ptCount val="1"/>
                <c:pt idx="0">
                  <c:v>1.52</c:v>
                </c:pt>
              </c:numCache>
            </c:numRef>
          </c:xVal>
          <c:yVal>
            <c:numRef>
              <c:f>Sheet1!$F$60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BCA-4C7B-A4B6-C05830A987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Sheet1!$I$31</c:f>
                <c:numCache>
                  <c:formatCode>General</c:formatCode>
                  <c:ptCount val="1"/>
                  <c:pt idx="0">
                    <c:v>0.35999999999999993</c:v>
                  </c:pt>
                </c:numCache>
              </c:numRef>
            </c:plus>
            <c:minus>
              <c:numRef>
                <c:f>Sheet1!$J$31</c:f>
                <c:numCache>
                  <c:formatCode>General</c:formatCode>
                  <c:ptCount val="1"/>
                  <c:pt idx="0">
                    <c:v>0.18000000000000002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Sheet1!$E$31</c:f>
              <c:numCache>
                <c:formatCode>General</c:formatCode>
                <c:ptCount val="1"/>
                <c:pt idx="0">
                  <c:v>0.33</c:v>
                </c:pt>
              </c:numCache>
            </c:numRef>
          </c:xVal>
          <c:yVal>
            <c:numRef>
              <c:f>Sheet1!$F$31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DAD-45FC-8793-AE7100B8E0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Sheet1!$I$62</c:f>
                <c:numCache>
                  <c:formatCode>General</c:formatCode>
                  <c:ptCount val="1"/>
                  <c:pt idx="0">
                    <c:v>1.7400000000000002</c:v>
                  </c:pt>
                </c:numCache>
              </c:numRef>
            </c:plus>
            <c:minus>
              <c:numRef>
                <c:f>Sheet1!$J$62</c:f>
                <c:numCache>
                  <c:formatCode>General</c:formatCode>
                  <c:ptCount val="1"/>
                  <c:pt idx="0">
                    <c:v>0.77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Sheet1!$E$62</c:f>
              <c:numCache>
                <c:formatCode>General</c:formatCode>
                <c:ptCount val="1"/>
                <c:pt idx="0">
                  <c:v>1.46</c:v>
                </c:pt>
              </c:numCache>
            </c:numRef>
          </c:xVal>
          <c:yVal>
            <c:numRef>
              <c:f>Sheet1!$F$62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0B5E-4D00-9BAD-60451565F0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Sheet1!$I$32</c:f>
                <c:numCache>
                  <c:formatCode>General</c:formatCode>
                  <c:ptCount val="1"/>
                  <c:pt idx="0">
                    <c:v>0.71</c:v>
                  </c:pt>
                </c:numCache>
              </c:numRef>
            </c:plus>
            <c:minus>
              <c:numRef>
                <c:f>Sheet1!$J$32</c:f>
                <c:numCache>
                  <c:formatCode>General</c:formatCode>
                  <c:ptCount val="1"/>
                  <c:pt idx="0">
                    <c:v>0.43000000000000005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Sheet1!$E$32</c:f>
              <c:numCache>
                <c:formatCode>General</c:formatCode>
                <c:ptCount val="1"/>
                <c:pt idx="0">
                  <c:v>1.01</c:v>
                </c:pt>
              </c:numCache>
            </c:numRef>
          </c:xVal>
          <c:yVal>
            <c:numRef>
              <c:f>Sheet1!$F$32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FE6F-4BF2-9E36-1CBB4BE03E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x"/>
            <c:errBarType val="both"/>
            <c:errValType val="cust"/>
            <c:noEndCap val="1"/>
            <c:plus>
              <c:numRef>
                <c:f>Sheet1!$I$63</c:f>
                <c:numCache>
                  <c:formatCode>General</c:formatCode>
                  <c:ptCount val="1"/>
                  <c:pt idx="0">
                    <c:v>2.6400000000000006</c:v>
                  </c:pt>
                </c:numCache>
              </c:numRef>
            </c:plus>
            <c:minus>
              <c:numRef>
                <c:f>Sheet1!$J$63</c:f>
                <c:numCache>
                  <c:formatCode>General</c:formatCode>
                  <c:ptCount val="1"/>
                  <c:pt idx="0">
                    <c:v>1.04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Sheet1!$E$63</c:f>
              <c:numCache>
                <c:formatCode>General</c:formatCode>
                <c:ptCount val="1"/>
                <c:pt idx="0">
                  <c:v>1.97</c:v>
                </c:pt>
              </c:numCache>
            </c:numRef>
          </c:xVal>
          <c:yVal>
            <c:numRef>
              <c:f>Sheet1!$F$63</c:f>
              <c:numCache>
                <c:formatCode>General</c:formatCode>
                <c:ptCount val="1"/>
                <c:pt idx="0">
                  <c:v>0.5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7A66-4BC3-A5AB-0C8F170DC3C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44079408"/>
        <c:axId val="876744320"/>
      </c:scatterChart>
      <c:valAx>
        <c:axId val="1544079408"/>
        <c:scaling>
          <c:orientation val="minMax"/>
          <c:max val="3"/>
        </c:scaling>
        <c:delete val="1"/>
        <c:axPos val="b"/>
        <c:numFmt formatCode="General" sourceLinked="1"/>
        <c:majorTickMark val="out"/>
        <c:minorTickMark val="none"/>
        <c:tickLblPos val="nextTo"/>
        <c:crossAx val="876744320"/>
        <c:crosses val="autoZero"/>
        <c:crossBetween val="midCat"/>
      </c:valAx>
      <c:valAx>
        <c:axId val="8767443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407940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324</Words>
  <Characters>1954</Characters>
  <Application>Microsoft Office Word</Application>
  <DocSecurity>0</DocSecurity>
  <Lines>75</Lines>
  <Paragraphs>29</Paragraphs>
  <ScaleCrop>false</ScaleCrop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2026-02-09T15:48:00Z</dcterms:created>
  <dcterms:modified xsi:type="dcterms:W3CDTF">2026-02-09T15:49:00Z</dcterms:modified>
</cp:coreProperties>
</file>