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7CF339" w14:textId="3F5829F1" w:rsidR="00A04595" w:rsidRDefault="00A04595">
      <w:pPr>
        <w:jc w:val="both"/>
        <w:rPr>
          <w:rFonts w:ascii="Arial" w:hAnsi="Arial" w:cs="Arial"/>
          <w:b/>
          <w:bCs/>
          <w:noProof/>
          <w:sz w:val="24"/>
          <w:szCs w:val="24"/>
          <w:lang w:val="en-US"/>
        </w:rPr>
      </w:pPr>
      <w:r w:rsidRPr="00A04595">
        <w:rPr>
          <w:rFonts w:ascii="Arial" w:hAnsi="Arial" w:cs="Arial"/>
          <w:b/>
          <w:bCs/>
          <w:noProof/>
          <w:sz w:val="24"/>
          <w:szCs w:val="24"/>
          <w:lang w:val="en-US"/>
        </w:rPr>
        <w:t>Supplement to: Bartos et al. “Transport vehicle–mediated TREM2 PET maps myeloid cells in the glioblastoma microenvironment”</w:t>
      </w:r>
    </w:p>
    <w:p w14:paraId="344DD3D9" w14:textId="77777777" w:rsidR="00A04595" w:rsidRPr="00A04595" w:rsidRDefault="00A04595">
      <w:pPr>
        <w:jc w:val="both"/>
        <w:rPr>
          <w:rFonts w:ascii="Arial" w:hAnsi="Arial" w:cs="Arial"/>
          <w:b/>
          <w:bCs/>
          <w:noProof/>
          <w:sz w:val="24"/>
          <w:szCs w:val="24"/>
          <w:lang w:val="en-US"/>
        </w:rPr>
      </w:pPr>
    </w:p>
    <w:p w14:paraId="65426637" w14:textId="77777777" w:rsidR="00A04595" w:rsidRDefault="00A04595">
      <w:pPr>
        <w:jc w:val="both"/>
        <w:rPr>
          <w:rFonts w:ascii="Arial" w:hAnsi="Arial" w:cs="Arial"/>
          <w:b/>
          <w:bCs/>
          <w:noProof/>
          <w:lang w:val="en-US"/>
        </w:rPr>
      </w:pPr>
      <w:r>
        <w:rPr>
          <w:rFonts w:ascii="Arial" w:hAnsi="Arial" w:cs="Arial"/>
          <w:b/>
          <w:bCs/>
          <w:noProof/>
          <w:lang w:val="en-US"/>
        </w:rPr>
        <w:t>Content</w:t>
      </w:r>
    </w:p>
    <w:p w14:paraId="0E50F271" w14:textId="77777777" w:rsidR="00A04595" w:rsidRPr="00A04595" w:rsidRDefault="00A04595" w:rsidP="00363AAC">
      <w:pPr>
        <w:rPr>
          <w:rFonts w:ascii="Arial" w:hAnsi="Arial" w:cs="Arial"/>
          <w:b/>
          <w:bCs/>
          <w:noProof/>
          <w:sz w:val="20"/>
          <w:szCs w:val="20"/>
          <w:lang w:val="en-US"/>
        </w:rPr>
      </w:pPr>
      <w:r w:rsidRPr="00A04595">
        <w:rPr>
          <w:rFonts w:ascii="Arial" w:hAnsi="Arial" w:cs="Arial"/>
          <w:b/>
          <w:bCs/>
          <w:noProof/>
          <w:sz w:val="20"/>
          <w:szCs w:val="20"/>
          <w:lang w:val="en-US"/>
        </w:rPr>
        <w:t xml:space="preserve">Supplemental Figure 1: </w:t>
      </w:r>
      <w:r w:rsidRPr="00363AAC">
        <w:rPr>
          <w:rFonts w:ascii="Arial" w:hAnsi="Arial" w:cs="Arial"/>
          <w:noProof/>
          <w:sz w:val="20"/>
          <w:szCs w:val="20"/>
          <w:lang w:val="en-US"/>
        </w:rPr>
        <w:t>Data quality control and differential gene expression across microglia subsets</w:t>
      </w:r>
    </w:p>
    <w:p w14:paraId="52719046" w14:textId="77777777" w:rsidR="00A04595" w:rsidRDefault="00A04595" w:rsidP="00363AAC">
      <w:pPr>
        <w:rPr>
          <w:rFonts w:ascii="Arial" w:hAnsi="Arial" w:cs="Arial"/>
          <w:b/>
          <w:bCs/>
          <w:sz w:val="20"/>
          <w:szCs w:val="20"/>
          <w:lang w:val="en-US"/>
        </w:rPr>
      </w:pPr>
      <w:r>
        <w:rPr>
          <w:rFonts w:ascii="Arial" w:hAnsi="Arial" w:cs="Arial"/>
          <w:b/>
          <w:bCs/>
          <w:sz w:val="20"/>
          <w:szCs w:val="20"/>
          <w:lang w:val="en-US"/>
        </w:rPr>
        <w:t xml:space="preserve">Supplemental Figure 2: </w:t>
      </w:r>
      <w:r w:rsidRPr="00363AAC">
        <w:rPr>
          <w:rFonts w:ascii="Arial" w:hAnsi="Arial" w:cs="Arial"/>
          <w:sz w:val="20"/>
          <w:szCs w:val="20"/>
          <w:lang w:val="en-US"/>
        </w:rPr>
        <w:t>Stage-dependent variation in the cellular sources of the TSPO PET signal during tumor progression in SB28 glioblastoma mice.</w:t>
      </w:r>
    </w:p>
    <w:p w14:paraId="6B353C67" w14:textId="0567D569" w:rsidR="00A04595" w:rsidRDefault="00A04595" w:rsidP="00363AAC">
      <w:pPr>
        <w:rPr>
          <w:rFonts w:ascii="Arial" w:hAnsi="Arial" w:cs="Arial"/>
          <w:b/>
          <w:bCs/>
          <w:sz w:val="20"/>
          <w:szCs w:val="20"/>
          <w:lang w:val="en-US"/>
        </w:rPr>
      </w:pPr>
      <w:r>
        <w:rPr>
          <w:rFonts w:ascii="Arial" w:hAnsi="Arial" w:cs="Arial"/>
          <w:b/>
          <w:bCs/>
          <w:sz w:val="20"/>
          <w:szCs w:val="20"/>
          <w:lang w:val="en-US"/>
        </w:rPr>
        <w:t xml:space="preserve">Supplemental Figure 3: </w:t>
      </w:r>
      <w:r w:rsidRPr="00363AAC">
        <w:rPr>
          <w:rFonts w:ascii="Arial" w:hAnsi="Arial" w:cs="Arial"/>
          <w:sz w:val="20"/>
          <w:szCs w:val="20"/>
          <w:lang w:val="en-US"/>
        </w:rPr>
        <w:t>Extended analyses of TREM2 PET imaging in murine glioblastoma.</w:t>
      </w:r>
    </w:p>
    <w:p w14:paraId="665C6A83" w14:textId="77D7ACCD" w:rsidR="00A04595" w:rsidRDefault="00A04595" w:rsidP="00363AAC">
      <w:pPr>
        <w:rPr>
          <w:rFonts w:ascii="Arial" w:hAnsi="Arial" w:cs="Arial"/>
          <w:b/>
          <w:bCs/>
          <w:sz w:val="20"/>
          <w:szCs w:val="20"/>
          <w:lang w:val="en-US"/>
        </w:rPr>
      </w:pPr>
      <w:r>
        <w:rPr>
          <w:rFonts w:ascii="Arial" w:hAnsi="Arial" w:cs="Arial"/>
          <w:b/>
          <w:bCs/>
          <w:sz w:val="20"/>
          <w:szCs w:val="20"/>
          <w:lang w:val="en-US"/>
        </w:rPr>
        <w:t xml:space="preserve">Supplemental Figure 4: </w:t>
      </w:r>
      <w:r w:rsidRPr="00363AAC">
        <w:rPr>
          <w:rFonts w:ascii="Arial" w:hAnsi="Arial" w:cs="Arial"/>
          <w:sz w:val="20"/>
          <w:szCs w:val="20"/>
          <w:lang w:val="en-US"/>
        </w:rPr>
        <w:t>Multiplex immunofluorescence of human glioblastoma shows high colocalization of TREM2 with immune cells but not with tumor cells.</w:t>
      </w:r>
    </w:p>
    <w:p w14:paraId="1CA8052A" w14:textId="34C7B02C" w:rsidR="00A04595" w:rsidRDefault="00A04595" w:rsidP="00363AAC">
      <w:pPr>
        <w:rPr>
          <w:rFonts w:ascii="Arial" w:hAnsi="Arial" w:cs="Arial"/>
          <w:b/>
          <w:bCs/>
          <w:sz w:val="20"/>
          <w:szCs w:val="20"/>
          <w:lang w:val="en-US"/>
        </w:rPr>
      </w:pPr>
      <w:r>
        <w:rPr>
          <w:rFonts w:ascii="Arial" w:hAnsi="Arial" w:cs="Arial"/>
          <w:b/>
          <w:bCs/>
          <w:sz w:val="20"/>
          <w:szCs w:val="20"/>
          <w:lang w:val="en-US"/>
        </w:rPr>
        <w:t xml:space="preserve">Supplemental Figure 5: </w:t>
      </w:r>
      <w:r w:rsidRPr="00363AAC">
        <w:rPr>
          <w:rFonts w:ascii="Arial" w:hAnsi="Arial" w:cs="Arial"/>
          <w:sz w:val="20"/>
          <w:szCs w:val="20"/>
          <w:lang w:val="en-US"/>
        </w:rPr>
        <w:t>Extended analyses of human TREM2 PET imaging.</w:t>
      </w:r>
    </w:p>
    <w:p w14:paraId="00CFF7EF" w14:textId="23C94C19" w:rsidR="00363AAC" w:rsidRDefault="00363AAC" w:rsidP="00363AAC">
      <w:pPr>
        <w:rPr>
          <w:rFonts w:ascii="Arial" w:hAnsi="Arial" w:cs="Arial"/>
          <w:b/>
          <w:bCs/>
          <w:sz w:val="20"/>
          <w:szCs w:val="20"/>
          <w:lang w:val="en-US"/>
        </w:rPr>
      </w:pPr>
      <w:r>
        <w:rPr>
          <w:rFonts w:ascii="Arial" w:hAnsi="Arial" w:cs="Arial"/>
          <w:b/>
          <w:bCs/>
          <w:sz w:val="20"/>
          <w:szCs w:val="20"/>
          <w:lang w:val="en-US"/>
        </w:rPr>
        <w:t xml:space="preserve">Supplemental Figure 6: </w:t>
      </w:r>
      <w:r w:rsidRPr="00363AAC">
        <w:rPr>
          <w:rFonts w:ascii="Arial" w:hAnsi="Arial" w:cs="Arial"/>
          <w:sz w:val="20"/>
          <w:szCs w:val="20"/>
          <w:lang w:val="en-US"/>
        </w:rPr>
        <w:t>Immunohistochemistry of human tumor tissue.</w:t>
      </w:r>
    </w:p>
    <w:p w14:paraId="4DD3D73B" w14:textId="52F4C288" w:rsidR="00363AAC" w:rsidRDefault="00363AAC" w:rsidP="00363AAC">
      <w:pPr>
        <w:rPr>
          <w:rFonts w:ascii="Arial" w:hAnsi="Arial" w:cs="Arial"/>
          <w:sz w:val="20"/>
          <w:szCs w:val="20"/>
          <w:lang w:val="en-US"/>
        </w:rPr>
      </w:pPr>
      <w:r>
        <w:rPr>
          <w:rFonts w:ascii="Arial" w:hAnsi="Arial" w:cs="Arial"/>
          <w:b/>
          <w:bCs/>
          <w:sz w:val="20"/>
          <w:szCs w:val="20"/>
          <w:lang w:val="en-US"/>
        </w:rPr>
        <w:t xml:space="preserve">Supplemental Figure 7: </w:t>
      </w:r>
      <w:r w:rsidRPr="00363AAC">
        <w:rPr>
          <w:rFonts w:ascii="Arial" w:hAnsi="Arial" w:cs="Arial"/>
          <w:sz w:val="20"/>
          <w:szCs w:val="20"/>
          <w:lang w:val="en-US"/>
        </w:rPr>
        <w:t>Comparison of TREM2 PET with FET and TSPO PET in a subset of patients.</w:t>
      </w:r>
    </w:p>
    <w:p w14:paraId="12D7BBEB" w14:textId="0A4CF3A0" w:rsidR="00363AAC" w:rsidRPr="00363AAC" w:rsidRDefault="00363AAC" w:rsidP="00363AAC">
      <w:pPr>
        <w:rPr>
          <w:rFonts w:ascii="Arial" w:hAnsi="Arial" w:cs="Arial"/>
          <w:b/>
          <w:bCs/>
          <w:sz w:val="20"/>
          <w:szCs w:val="20"/>
          <w:lang w:val="en-US"/>
        </w:rPr>
      </w:pPr>
      <w:r w:rsidRPr="00363AAC">
        <w:rPr>
          <w:rFonts w:ascii="Arial" w:hAnsi="Arial" w:cs="Arial"/>
          <w:b/>
          <w:bCs/>
          <w:sz w:val="20"/>
          <w:szCs w:val="20"/>
          <w:lang w:val="en-US"/>
        </w:rPr>
        <w:t>Supplement References</w:t>
      </w:r>
    </w:p>
    <w:p w14:paraId="7C79202A" w14:textId="77777777" w:rsidR="00363AAC" w:rsidRDefault="00363AAC" w:rsidP="00363AAC">
      <w:pPr>
        <w:jc w:val="both"/>
        <w:rPr>
          <w:rFonts w:ascii="Arial" w:hAnsi="Arial" w:cs="Arial"/>
          <w:b/>
          <w:bCs/>
          <w:sz w:val="20"/>
          <w:szCs w:val="20"/>
          <w:lang w:val="en-US"/>
        </w:rPr>
      </w:pPr>
    </w:p>
    <w:p w14:paraId="6BBE5BAD" w14:textId="77777777" w:rsidR="00363AAC" w:rsidRDefault="00363AAC" w:rsidP="00A04595">
      <w:pPr>
        <w:jc w:val="both"/>
        <w:rPr>
          <w:rFonts w:ascii="Arial" w:hAnsi="Arial" w:cs="Arial"/>
          <w:b/>
          <w:bCs/>
          <w:sz w:val="20"/>
          <w:szCs w:val="20"/>
          <w:lang w:val="en-US"/>
        </w:rPr>
      </w:pPr>
    </w:p>
    <w:p w14:paraId="280D2DEF" w14:textId="77777777" w:rsidR="00A04595" w:rsidRDefault="00A04595" w:rsidP="00A04595">
      <w:pPr>
        <w:jc w:val="both"/>
        <w:rPr>
          <w:rFonts w:ascii="Arial" w:hAnsi="Arial" w:cs="Arial"/>
          <w:b/>
          <w:bCs/>
          <w:sz w:val="20"/>
          <w:szCs w:val="20"/>
          <w:lang w:val="en-US"/>
        </w:rPr>
      </w:pPr>
    </w:p>
    <w:p w14:paraId="5E486975" w14:textId="29ED43DB" w:rsidR="00A04595" w:rsidRDefault="00A04595">
      <w:pPr>
        <w:jc w:val="both"/>
        <w:rPr>
          <w:rFonts w:ascii="Arial" w:hAnsi="Arial" w:cs="Arial"/>
          <w:b/>
          <w:bCs/>
          <w:noProof/>
          <w:lang w:val="en-US"/>
        </w:rPr>
      </w:pPr>
      <w:r>
        <w:rPr>
          <w:rFonts w:ascii="Arial" w:hAnsi="Arial" w:cs="Arial"/>
          <w:b/>
          <w:bCs/>
          <w:noProof/>
          <w:lang w:val="en-US"/>
        </w:rPr>
        <w:br w:type="page"/>
      </w:r>
    </w:p>
    <w:p w14:paraId="5C582EA4" w14:textId="4A0288D6" w:rsidR="00692D05" w:rsidRDefault="00C74E3D">
      <w:pPr>
        <w:jc w:val="both"/>
        <w:rPr>
          <w:rFonts w:ascii="Arial" w:hAnsi="Arial" w:cs="Arial"/>
          <w:sz w:val="20"/>
          <w:szCs w:val="20"/>
          <w:highlight w:val="yellow"/>
          <w:lang w:val="en-US"/>
        </w:rPr>
      </w:pPr>
      <w:r>
        <w:rPr>
          <w:rFonts w:ascii="Arial" w:hAnsi="Arial" w:cs="Arial"/>
          <w:b/>
          <w:bCs/>
          <w:noProof/>
          <w:lang w:val="en-US"/>
        </w:rPr>
        <w:lastRenderedPageBreak/>
        <w:t>Supplemental Fig 1</w:t>
      </w:r>
    </w:p>
    <w:p w14:paraId="3E0222E5" w14:textId="051E4F3C" w:rsidR="00692D05" w:rsidRDefault="001642F4">
      <w:pPr>
        <w:jc w:val="both"/>
        <w:rPr>
          <w:rFonts w:ascii="Arial" w:hAnsi="Arial" w:cs="Arial"/>
          <w:b/>
          <w:bCs/>
          <w:sz w:val="20"/>
          <w:szCs w:val="20"/>
          <w:highlight w:val="yellow"/>
          <w:lang w:val="en-US"/>
        </w:rPr>
      </w:pPr>
      <w:r>
        <w:rPr>
          <w:rFonts w:ascii="Arial" w:hAnsi="Arial" w:cs="Arial"/>
          <w:b/>
          <w:bCs/>
          <w:noProof/>
          <w:sz w:val="20"/>
          <w:szCs w:val="20"/>
          <w:lang w:val="en-US"/>
        </w:rPr>
        <w:drawing>
          <wp:inline distT="0" distB="0" distL="0" distR="0" wp14:anchorId="2335CF94" wp14:editId="433B48FF">
            <wp:extent cx="4945075" cy="8785026"/>
            <wp:effectExtent l="0" t="0" r="8255"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946155" cy="8786945"/>
                    </a:xfrm>
                    <a:prstGeom prst="rect">
                      <a:avLst/>
                    </a:prstGeom>
                    <a:noFill/>
                    <a:ln>
                      <a:noFill/>
                    </a:ln>
                  </pic:spPr>
                </pic:pic>
              </a:graphicData>
            </a:graphic>
          </wp:inline>
        </w:drawing>
      </w:r>
    </w:p>
    <w:p w14:paraId="73017272" w14:textId="77777777" w:rsidR="00692D05" w:rsidRDefault="00C74E3D">
      <w:pPr>
        <w:jc w:val="both"/>
        <w:rPr>
          <w:rFonts w:ascii="Arial" w:hAnsi="Arial" w:cs="Arial"/>
          <w:b/>
          <w:bCs/>
          <w:color w:val="000000" w:themeColor="text1"/>
          <w:sz w:val="20"/>
          <w:szCs w:val="20"/>
          <w:lang w:val="en-US"/>
        </w:rPr>
      </w:pPr>
      <w:r>
        <w:rPr>
          <w:rFonts w:ascii="Arial" w:hAnsi="Arial" w:cs="Arial"/>
          <w:b/>
          <w:bCs/>
          <w:color w:val="000000" w:themeColor="text1"/>
          <w:sz w:val="20"/>
          <w:szCs w:val="20"/>
          <w:lang w:val="en-US"/>
        </w:rPr>
        <w:lastRenderedPageBreak/>
        <w:t>Supplemental Figure 1: Data quality control and differential gene expression across microglia subsets</w:t>
      </w:r>
    </w:p>
    <w:p w14:paraId="199075A7" w14:textId="77777777" w:rsidR="00692D05" w:rsidRDefault="00C74E3D">
      <w:pPr>
        <w:jc w:val="both"/>
        <w:rPr>
          <w:rFonts w:ascii="Arial" w:hAnsi="Arial" w:cs="Arial"/>
          <w:sz w:val="20"/>
          <w:szCs w:val="20"/>
          <w:lang w:val="en-US" w:eastAsia="zh-CN"/>
        </w:rPr>
      </w:pPr>
      <w:r>
        <w:rPr>
          <w:rFonts w:ascii="Arial" w:hAnsi="Arial" w:cs="Arial"/>
          <w:sz w:val="20"/>
          <w:szCs w:val="20"/>
          <w:lang w:val="en-US" w:eastAsia="zh-CN"/>
        </w:rPr>
        <w:t>(</w:t>
      </w:r>
      <w:r>
        <w:rPr>
          <w:rFonts w:ascii="Arial" w:hAnsi="Arial" w:cs="Arial"/>
          <w:b/>
          <w:bCs/>
          <w:sz w:val="20"/>
          <w:szCs w:val="20"/>
          <w:lang w:val="en-US" w:eastAsia="zh-CN"/>
        </w:rPr>
        <w:t>A</w:t>
      </w:r>
      <w:r>
        <w:rPr>
          <w:rFonts w:ascii="Arial" w:hAnsi="Arial" w:cs="Arial"/>
          <w:sz w:val="20"/>
          <w:szCs w:val="20"/>
          <w:lang w:val="en-US" w:eastAsia="zh-CN"/>
        </w:rPr>
        <w:t>) Histogram showing the transcript counts (top) and feature counts (bottom) of all cells identified by scRNA-seq.</w:t>
      </w:r>
    </w:p>
    <w:p w14:paraId="55FE536B" w14:textId="77777777" w:rsidR="00692D05" w:rsidRDefault="00C74E3D">
      <w:pPr>
        <w:jc w:val="both"/>
        <w:rPr>
          <w:rFonts w:ascii="Arial" w:hAnsi="Arial" w:cs="Arial"/>
          <w:sz w:val="20"/>
          <w:szCs w:val="20"/>
          <w:lang w:val="en-US" w:eastAsia="zh-CN"/>
        </w:rPr>
      </w:pPr>
      <w:r>
        <w:rPr>
          <w:rFonts w:ascii="Arial" w:hAnsi="Arial" w:cs="Arial"/>
          <w:sz w:val="20"/>
          <w:szCs w:val="20"/>
          <w:lang w:val="en-US" w:eastAsia="zh-CN"/>
        </w:rPr>
        <w:t>(</w:t>
      </w:r>
      <w:r>
        <w:rPr>
          <w:rFonts w:ascii="Arial" w:hAnsi="Arial" w:cs="Arial"/>
          <w:b/>
          <w:bCs/>
          <w:sz w:val="20"/>
          <w:szCs w:val="20"/>
          <w:lang w:val="en-US" w:eastAsia="zh-CN"/>
        </w:rPr>
        <w:t>B</w:t>
      </w:r>
      <w:r>
        <w:rPr>
          <w:rFonts w:ascii="Arial" w:hAnsi="Arial" w:cs="Arial"/>
          <w:sz w:val="20"/>
          <w:szCs w:val="20"/>
          <w:lang w:val="en-US" w:eastAsia="zh-CN"/>
        </w:rPr>
        <w:t xml:space="preserve">) All individual </w:t>
      </w:r>
      <w:r>
        <w:rPr>
          <w:rFonts w:ascii="Arial" w:hAnsi="Arial" w:cs="Arial" w:hint="eastAsia"/>
          <w:sz w:val="20"/>
          <w:szCs w:val="20"/>
          <w:lang w:val="en-US" w:eastAsia="zh-CN"/>
        </w:rPr>
        <w:t>sample</w:t>
      </w:r>
      <w:r>
        <w:rPr>
          <w:rFonts w:ascii="Arial" w:hAnsi="Arial" w:cs="Arial"/>
          <w:sz w:val="20"/>
          <w:szCs w:val="20"/>
          <w:lang w:val="en-US" w:eastAsia="zh-CN"/>
        </w:rPr>
        <w:t xml:space="preserve"> were projected onto the </w:t>
      </w:r>
      <w:r>
        <w:rPr>
          <w:rFonts w:ascii="Arial" w:hAnsi="Arial" w:cs="Arial"/>
          <w:sz w:val="20"/>
          <w:szCs w:val="20"/>
          <w:lang w:val="en-US"/>
        </w:rPr>
        <w:t>uniform manifold approximation and projection (</w:t>
      </w:r>
      <w:r>
        <w:rPr>
          <w:rFonts w:ascii="Arial" w:hAnsi="Arial" w:cs="Arial"/>
          <w:sz w:val="20"/>
          <w:szCs w:val="20"/>
          <w:lang w:val="en-US" w:eastAsia="zh-CN"/>
        </w:rPr>
        <w:t>UMAP). UMAPs show n=2 replicates per condition.</w:t>
      </w:r>
    </w:p>
    <w:p w14:paraId="18D32237" w14:textId="77777777" w:rsidR="00692D05" w:rsidRDefault="00C74E3D">
      <w:pPr>
        <w:jc w:val="both"/>
        <w:rPr>
          <w:rFonts w:ascii="Arial" w:hAnsi="Arial" w:cs="Arial"/>
          <w:sz w:val="20"/>
          <w:szCs w:val="20"/>
          <w:lang w:val="en-US" w:eastAsia="zh-CN"/>
        </w:rPr>
      </w:pPr>
      <w:r>
        <w:rPr>
          <w:rFonts w:ascii="Arial" w:hAnsi="Arial" w:cs="Arial"/>
          <w:sz w:val="20"/>
          <w:szCs w:val="20"/>
          <w:lang w:val="en-US" w:eastAsia="zh-CN"/>
        </w:rPr>
        <w:t>(</w:t>
      </w:r>
      <w:r>
        <w:rPr>
          <w:rFonts w:ascii="Arial" w:hAnsi="Arial" w:cs="Arial"/>
          <w:b/>
          <w:bCs/>
          <w:sz w:val="20"/>
          <w:szCs w:val="20"/>
          <w:lang w:val="en-US" w:eastAsia="zh-CN"/>
        </w:rPr>
        <w:t>C</w:t>
      </w:r>
      <w:r>
        <w:rPr>
          <w:rFonts w:ascii="Arial" w:hAnsi="Arial" w:cs="Arial"/>
          <w:sz w:val="20"/>
          <w:szCs w:val="20"/>
          <w:lang w:val="en-US" w:eastAsia="zh-CN"/>
        </w:rPr>
        <w:t>) Volcano plot showing the different expression gene between all disease associated microglia/macrophage clusters (DAMs: top left: DAM1; top middle: DAM2; top right: DAM3; bottom left: DAM4; bottom middle: DAM5; bottom right: DAM6) and homeostatic microglia (HOM).</w:t>
      </w:r>
    </w:p>
    <w:p w14:paraId="76D4527F" w14:textId="77777777" w:rsidR="00692D05" w:rsidRDefault="00C74E3D">
      <w:pPr>
        <w:jc w:val="both"/>
        <w:rPr>
          <w:rFonts w:ascii="Arial" w:hAnsi="Arial" w:cs="Arial"/>
          <w:sz w:val="20"/>
          <w:szCs w:val="20"/>
          <w:lang w:val="en-US" w:eastAsia="zh-CN"/>
        </w:rPr>
      </w:pPr>
      <w:r>
        <w:rPr>
          <w:rFonts w:ascii="Arial" w:hAnsi="Arial" w:cs="Arial"/>
          <w:sz w:val="20"/>
          <w:szCs w:val="20"/>
          <w:lang w:val="en-US" w:eastAsia="zh-CN"/>
        </w:rPr>
        <w:t>(</w:t>
      </w:r>
      <w:r>
        <w:rPr>
          <w:rFonts w:ascii="Arial" w:hAnsi="Arial" w:cs="Arial"/>
          <w:b/>
          <w:bCs/>
          <w:sz w:val="20"/>
          <w:szCs w:val="20"/>
          <w:lang w:val="en-US" w:eastAsia="zh-CN"/>
        </w:rPr>
        <w:t>D</w:t>
      </w:r>
      <w:r>
        <w:rPr>
          <w:rFonts w:ascii="Arial" w:hAnsi="Arial" w:cs="Arial"/>
          <w:sz w:val="20"/>
          <w:szCs w:val="20"/>
          <w:lang w:val="en-US" w:eastAsia="zh-CN"/>
        </w:rPr>
        <w:t>) Volcano plot showing the different expression gene between all DAM clusters (top left: DAM1; top middle: DAM2; top right: DAM3; bottom left: DAM4; bottom middle: DAM5; bottom right: DAM6) from late-stage tumor and DAM1 in early-stage tumor.</w:t>
      </w:r>
    </w:p>
    <w:p w14:paraId="4A6DCD05" w14:textId="77777777" w:rsidR="00692D05" w:rsidRDefault="00692D05">
      <w:pPr>
        <w:jc w:val="both"/>
        <w:rPr>
          <w:rFonts w:ascii="Arial" w:hAnsi="Arial" w:cs="Arial"/>
          <w:b/>
          <w:bCs/>
          <w:sz w:val="20"/>
          <w:szCs w:val="20"/>
          <w:lang w:val="en-US"/>
        </w:rPr>
      </w:pPr>
    </w:p>
    <w:p w14:paraId="715F0E75" w14:textId="77777777" w:rsidR="00692D05" w:rsidRDefault="00692D05">
      <w:pPr>
        <w:jc w:val="both"/>
        <w:rPr>
          <w:rFonts w:ascii="Arial" w:hAnsi="Arial" w:cs="Arial"/>
          <w:b/>
          <w:bCs/>
          <w:sz w:val="20"/>
          <w:szCs w:val="20"/>
          <w:lang w:val="en-US"/>
        </w:rPr>
      </w:pPr>
    </w:p>
    <w:p w14:paraId="66BA8FF1" w14:textId="77777777" w:rsidR="00692D05" w:rsidRDefault="00692D05">
      <w:pPr>
        <w:jc w:val="both"/>
        <w:rPr>
          <w:rFonts w:ascii="Arial" w:hAnsi="Arial" w:cs="Arial"/>
          <w:b/>
          <w:bCs/>
          <w:sz w:val="20"/>
          <w:szCs w:val="20"/>
          <w:lang w:val="en-US"/>
        </w:rPr>
      </w:pPr>
    </w:p>
    <w:p w14:paraId="1E31110E" w14:textId="77777777" w:rsidR="00692D05" w:rsidRDefault="00692D05">
      <w:pPr>
        <w:jc w:val="both"/>
        <w:rPr>
          <w:rFonts w:ascii="Arial" w:hAnsi="Arial" w:cs="Arial"/>
          <w:b/>
          <w:bCs/>
          <w:sz w:val="20"/>
          <w:szCs w:val="20"/>
          <w:lang w:val="en-US"/>
        </w:rPr>
      </w:pPr>
    </w:p>
    <w:p w14:paraId="5B680D44" w14:textId="77777777" w:rsidR="00692D05" w:rsidRDefault="00692D05">
      <w:pPr>
        <w:jc w:val="both"/>
        <w:rPr>
          <w:rFonts w:ascii="Arial" w:hAnsi="Arial" w:cs="Arial"/>
          <w:b/>
          <w:bCs/>
          <w:sz w:val="20"/>
          <w:szCs w:val="20"/>
          <w:lang w:val="en-US"/>
        </w:rPr>
      </w:pPr>
    </w:p>
    <w:p w14:paraId="41D1D8F9" w14:textId="77777777" w:rsidR="00692D05" w:rsidRDefault="00692D05">
      <w:pPr>
        <w:jc w:val="both"/>
        <w:rPr>
          <w:rFonts w:ascii="Arial" w:hAnsi="Arial" w:cs="Arial"/>
          <w:b/>
          <w:bCs/>
          <w:sz w:val="20"/>
          <w:szCs w:val="20"/>
          <w:lang w:val="en-US"/>
        </w:rPr>
      </w:pPr>
    </w:p>
    <w:p w14:paraId="2A7D982F" w14:textId="77777777" w:rsidR="00692D05" w:rsidRDefault="00692D05">
      <w:pPr>
        <w:jc w:val="both"/>
        <w:rPr>
          <w:rFonts w:ascii="Arial" w:hAnsi="Arial" w:cs="Arial"/>
          <w:b/>
          <w:bCs/>
          <w:sz w:val="20"/>
          <w:szCs w:val="20"/>
          <w:lang w:val="en-US"/>
        </w:rPr>
      </w:pPr>
    </w:p>
    <w:p w14:paraId="2F4400BE" w14:textId="77777777" w:rsidR="00692D05" w:rsidRDefault="00692D05">
      <w:pPr>
        <w:jc w:val="both"/>
        <w:rPr>
          <w:rFonts w:ascii="Arial" w:hAnsi="Arial" w:cs="Arial"/>
          <w:b/>
          <w:bCs/>
          <w:sz w:val="20"/>
          <w:szCs w:val="20"/>
          <w:lang w:val="en-US"/>
        </w:rPr>
      </w:pPr>
    </w:p>
    <w:p w14:paraId="5EDD3F4E" w14:textId="77777777" w:rsidR="00692D05" w:rsidRDefault="00692D05">
      <w:pPr>
        <w:jc w:val="both"/>
        <w:rPr>
          <w:rFonts w:ascii="Arial" w:hAnsi="Arial" w:cs="Arial"/>
          <w:b/>
          <w:bCs/>
          <w:sz w:val="20"/>
          <w:szCs w:val="20"/>
          <w:lang w:val="en-US"/>
        </w:rPr>
      </w:pPr>
    </w:p>
    <w:p w14:paraId="68D27BB5" w14:textId="77777777" w:rsidR="00692D05" w:rsidRDefault="00692D05">
      <w:pPr>
        <w:jc w:val="both"/>
        <w:rPr>
          <w:rFonts w:ascii="Arial" w:hAnsi="Arial" w:cs="Arial"/>
          <w:b/>
          <w:bCs/>
          <w:sz w:val="20"/>
          <w:szCs w:val="20"/>
          <w:lang w:val="en-US"/>
        </w:rPr>
      </w:pPr>
    </w:p>
    <w:p w14:paraId="6DE0CFEE" w14:textId="77777777" w:rsidR="00692D05" w:rsidRDefault="00692D05">
      <w:pPr>
        <w:jc w:val="both"/>
        <w:rPr>
          <w:rFonts w:ascii="Arial" w:hAnsi="Arial" w:cs="Arial"/>
          <w:b/>
          <w:bCs/>
          <w:sz w:val="20"/>
          <w:szCs w:val="20"/>
          <w:lang w:val="en-US"/>
        </w:rPr>
      </w:pPr>
    </w:p>
    <w:p w14:paraId="6495BCFE" w14:textId="77777777" w:rsidR="00692D05" w:rsidRDefault="00692D05">
      <w:pPr>
        <w:jc w:val="both"/>
        <w:rPr>
          <w:rFonts w:ascii="Arial" w:hAnsi="Arial" w:cs="Arial"/>
          <w:b/>
          <w:bCs/>
          <w:sz w:val="20"/>
          <w:szCs w:val="20"/>
          <w:lang w:val="en-US"/>
        </w:rPr>
      </w:pPr>
    </w:p>
    <w:p w14:paraId="5F804CE4" w14:textId="77777777" w:rsidR="00692D05" w:rsidRDefault="00692D05">
      <w:pPr>
        <w:jc w:val="both"/>
        <w:rPr>
          <w:rFonts w:ascii="Arial" w:hAnsi="Arial" w:cs="Arial"/>
          <w:b/>
          <w:bCs/>
          <w:sz w:val="20"/>
          <w:szCs w:val="20"/>
          <w:lang w:val="en-US"/>
        </w:rPr>
      </w:pPr>
    </w:p>
    <w:p w14:paraId="5812A0E4" w14:textId="77777777" w:rsidR="00692D05" w:rsidRDefault="00692D05">
      <w:pPr>
        <w:jc w:val="both"/>
        <w:rPr>
          <w:rFonts w:ascii="Arial" w:hAnsi="Arial" w:cs="Arial"/>
          <w:b/>
          <w:bCs/>
          <w:sz w:val="20"/>
          <w:szCs w:val="20"/>
          <w:lang w:val="en-US"/>
        </w:rPr>
      </w:pPr>
    </w:p>
    <w:p w14:paraId="5DB33167" w14:textId="77777777" w:rsidR="00692D05" w:rsidRDefault="00692D05">
      <w:pPr>
        <w:jc w:val="both"/>
        <w:rPr>
          <w:rFonts w:ascii="Arial" w:hAnsi="Arial" w:cs="Arial"/>
          <w:b/>
          <w:bCs/>
          <w:sz w:val="20"/>
          <w:szCs w:val="20"/>
          <w:lang w:val="en-US"/>
        </w:rPr>
      </w:pPr>
    </w:p>
    <w:p w14:paraId="3E7B2FCF" w14:textId="77777777" w:rsidR="00692D05" w:rsidRDefault="00692D05">
      <w:pPr>
        <w:jc w:val="both"/>
        <w:rPr>
          <w:rFonts w:ascii="Arial" w:hAnsi="Arial" w:cs="Arial"/>
          <w:b/>
          <w:bCs/>
          <w:sz w:val="20"/>
          <w:szCs w:val="20"/>
          <w:lang w:val="en-US"/>
        </w:rPr>
      </w:pPr>
    </w:p>
    <w:p w14:paraId="16E5E78D" w14:textId="77777777" w:rsidR="00692D05" w:rsidRDefault="00692D05">
      <w:pPr>
        <w:jc w:val="both"/>
        <w:rPr>
          <w:rFonts w:ascii="Arial" w:hAnsi="Arial" w:cs="Arial"/>
          <w:b/>
          <w:bCs/>
          <w:sz w:val="20"/>
          <w:szCs w:val="20"/>
          <w:lang w:val="en-US"/>
        </w:rPr>
      </w:pPr>
    </w:p>
    <w:p w14:paraId="0CF0CD6A" w14:textId="77777777" w:rsidR="00692D05" w:rsidRDefault="00692D05">
      <w:pPr>
        <w:jc w:val="both"/>
        <w:rPr>
          <w:rFonts w:ascii="Arial" w:hAnsi="Arial" w:cs="Arial"/>
          <w:b/>
          <w:bCs/>
          <w:sz w:val="20"/>
          <w:szCs w:val="20"/>
          <w:lang w:val="en-US"/>
        </w:rPr>
      </w:pPr>
    </w:p>
    <w:p w14:paraId="0D051009" w14:textId="77777777" w:rsidR="00692D05" w:rsidRDefault="00692D05">
      <w:pPr>
        <w:jc w:val="both"/>
        <w:rPr>
          <w:rFonts w:ascii="Arial" w:hAnsi="Arial" w:cs="Arial"/>
          <w:b/>
          <w:bCs/>
          <w:sz w:val="20"/>
          <w:szCs w:val="20"/>
          <w:lang w:val="en-US"/>
        </w:rPr>
      </w:pPr>
    </w:p>
    <w:p w14:paraId="1644E969" w14:textId="77777777" w:rsidR="00692D05" w:rsidRDefault="00692D05">
      <w:pPr>
        <w:jc w:val="both"/>
        <w:rPr>
          <w:rFonts w:ascii="Arial" w:hAnsi="Arial" w:cs="Arial"/>
          <w:b/>
          <w:bCs/>
          <w:sz w:val="20"/>
          <w:szCs w:val="20"/>
          <w:lang w:val="en-US"/>
        </w:rPr>
      </w:pPr>
    </w:p>
    <w:p w14:paraId="6CBB2733" w14:textId="77777777" w:rsidR="00692D05" w:rsidRDefault="00692D05">
      <w:pPr>
        <w:jc w:val="both"/>
        <w:rPr>
          <w:rFonts w:ascii="Arial" w:hAnsi="Arial" w:cs="Arial"/>
          <w:b/>
          <w:bCs/>
          <w:sz w:val="20"/>
          <w:szCs w:val="20"/>
          <w:lang w:val="en-US"/>
        </w:rPr>
      </w:pPr>
    </w:p>
    <w:p w14:paraId="62DBC95C" w14:textId="77777777" w:rsidR="00692D05" w:rsidRDefault="00692D05">
      <w:pPr>
        <w:jc w:val="both"/>
        <w:rPr>
          <w:rFonts w:ascii="Arial" w:hAnsi="Arial" w:cs="Arial"/>
          <w:b/>
          <w:bCs/>
          <w:sz w:val="20"/>
          <w:szCs w:val="20"/>
          <w:lang w:val="en-US"/>
        </w:rPr>
      </w:pPr>
    </w:p>
    <w:p w14:paraId="24C8B5C0" w14:textId="77777777" w:rsidR="00692D05" w:rsidRDefault="00692D05">
      <w:pPr>
        <w:jc w:val="both"/>
        <w:rPr>
          <w:rFonts w:ascii="Arial" w:hAnsi="Arial" w:cs="Arial"/>
          <w:b/>
          <w:bCs/>
          <w:sz w:val="20"/>
          <w:szCs w:val="20"/>
          <w:lang w:val="en-US"/>
        </w:rPr>
      </w:pPr>
    </w:p>
    <w:p w14:paraId="42F14CBC" w14:textId="77777777" w:rsidR="00692D05" w:rsidRDefault="00692D05">
      <w:pPr>
        <w:jc w:val="both"/>
        <w:rPr>
          <w:rFonts w:ascii="Arial" w:hAnsi="Arial" w:cs="Arial"/>
          <w:b/>
          <w:bCs/>
          <w:sz w:val="20"/>
          <w:szCs w:val="20"/>
          <w:lang w:val="en-US"/>
        </w:rPr>
      </w:pPr>
    </w:p>
    <w:p w14:paraId="3E1994CD" w14:textId="77777777" w:rsidR="00692D05" w:rsidRDefault="00692D05">
      <w:pPr>
        <w:jc w:val="both"/>
        <w:rPr>
          <w:rFonts w:ascii="Arial" w:hAnsi="Arial" w:cs="Arial"/>
          <w:b/>
          <w:bCs/>
          <w:sz w:val="20"/>
          <w:szCs w:val="20"/>
          <w:lang w:val="en-US"/>
        </w:rPr>
      </w:pPr>
    </w:p>
    <w:p w14:paraId="766E4167" w14:textId="77777777" w:rsidR="00692D05" w:rsidRDefault="00692D05">
      <w:pPr>
        <w:jc w:val="both"/>
        <w:rPr>
          <w:rFonts w:ascii="Arial" w:hAnsi="Arial" w:cs="Arial"/>
          <w:b/>
          <w:bCs/>
          <w:sz w:val="20"/>
          <w:szCs w:val="20"/>
          <w:lang w:val="en-US"/>
        </w:rPr>
      </w:pPr>
    </w:p>
    <w:p w14:paraId="7ED010D0" w14:textId="77777777" w:rsidR="00692D05" w:rsidRDefault="00C74E3D">
      <w:pPr>
        <w:rPr>
          <w:rFonts w:ascii="Arial" w:hAnsi="Arial" w:cs="Arial"/>
          <w:b/>
          <w:bCs/>
          <w:noProof/>
          <w:lang w:val="en-US"/>
        </w:rPr>
      </w:pPr>
      <w:r>
        <w:rPr>
          <w:rFonts w:ascii="Arial" w:hAnsi="Arial" w:cs="Arial"/>
          <w:b/>
          <w:bCs/>
          <w:noProof/>
          <w:lang w:val="en-US"/>
        </w:rPr>
        <w:lastRenderedPageBreak/>
        <w:t>Supplemental Figure 2</w:t>
      </w:r>
    </w:p>
    <w:p w14:paraId="0F21FA45" w14:textId="34C88B04" w:rsidR="00692D05" w:rsidRDefault="001642F4">
      <w:r>
        <w:rPr>
          <w:noProof/>
        </w:rPr>
        <w:drawing>
          <wp:inline distT="0" distB="0" distL="0" distR="0" wp14:anchorId="2483FAEF" wp14:editId="089082A7">
            <wp:extent cx="4923129" cy="8746041"/>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27202" cy="8753276"/>
                    </a:xfrm>
                    <a:prstGeom prst="rect">
                      <a:avLst/>
                    </a:prstGeom>
                    <a:noFill/>
                    <a:ln>
                      <a:noFill/>
                    </a:ln>
                  </pic:spPr>
                </pic:pic>
              </a:graphicData>
            </a:graphic>
          </wp:inline>
        </w:drawing>
      </w:r>
    </w:p>
    <w:p w14:paraId="258AE28A" w14:textId="77777777" w:rsidR="00692D05" w:rsidRDefault="00C74E3D">
      <w:pPr>
        <w:jc w:val="both"/>
        <w:rPr>
          <w:rFonts w:ascii="Arial" w:hAnsi="Arial" w:cs="Arial"/>
          <w:b/>
          <w:bCs/>
          <w:sz w:val="20"/>
          <w:szCs w:val="20"/>
          <w:lang w:val="en-US"/>
        </w:rPr>
      </w:pPr>
      <w:r>
        <w:rPr>
          <w:rFonts w:ascii="Arial" w:hAnsi="Arial" w:cs="Arial"/>
          <w:b/>
          <w:bCs/>
          <w:sz w:val="20"/>
          <w:szCs w:val="20"/>
          <w:lang w:val="en-US"/>
        </w:rPr>
        <w:lastRenderedPageBreak/>
        <w:t>Supplemental Figure 2: Stage-dependent variation in the cellular sources of the TSPO PET signal during tumor progression in SB28 glioblastoma mice.</w:t>
      </w:r>
    </w:p>
    <w:p w14:paraId="5C2187D2"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A</w:t>
      </w:r>
      <w:r>
        <w:rPr>
          <w:rFonts w:ascii="Arial" w:hAnsi="Arial" w:cs="Arial"/>
          <w:sz w:val="20"/>
          <w:szCs w:val="20"/>
          <w:lang w:val="en-US"/>
        </w:rPr>
        <w:t>) Longitudinal FET PET demonstrates a time-dependent increase in both tumor size and FET PET signal intensity. Group average images of early- (D5-6, n=7), middle- (D9-13, n=7) and late-stage (D18-20, n=6) SB28 mice are displayed upon an MRI template in the axial plain. D=day, SUV=standardized uptake value.</w:t>
      </w:r>
    </w:p>
    <w:p w14:paraId="0D646C44"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B</w:t>
      </w:r>
      <w:r>
        <w:rPr>
          <w:rFonts w:ascii="Arial" w:hAnsi="Arial" w:cs="Arial"/>
          <w:sz w:val="20"/>
          <w:szCs w:val="20"/>
          <w:lang w:val="en-US"/>
        </w:rPr>
        <w:t>) Quantification of tumor volumes (left) and PET signals (right) using longitudinal FET PET imaging in SB28 glioblastoma mice. Linear fit of the regression was used.</w:t>
      </w:r>
    </w:p>
    <w:p w14:paraId="609A3289"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C</w:t>
      </w:r>
      <w:r>
        <w:rPr>
          <w:rFonts w:ascii="Arial" w:hAnsi="Arial" w:cs="Arial"/>
          <w:sz w:val="20"/>
          <w:szCs w:val="20"/>
          <w:lang w:val="en-US"/>
        </w:rPr>
        <w:t>) TSPO PET group average images of early- (D5-6; n=10), middle- (D9-13; n=14) and late-stage (D18-20; n=26) SB28 tumor mice are displayed upon an MRI template in the axial plain. D=day, SUV=standardized uptake value.</w:t>
      </w:r>
    </w:p>
    <w:p w14:paraId="169196B3"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D</w:t>
      </w:r>
      <w:r>
        <w:rPr>
          <w:rFonts w:ascii="Arial" w:hAnsi="Arial" w:cs="Arial"/>
          <w:sz w:val="20"/>
          <w:szCs w:val="20"/>
          <w:lang w:val="en-US"/>
        </w:rPr>
        <w:t xml:space="preserve">) TSPO PET imaging of SB28 mice at different time points demonstrates an increase of tumor volumes over time, alongside with a U-shaped function of TSPO PET signal intensities during tumor progression. Linear fit of the regression was used for TSPO PET tumor volumes, quadratic fit of the regression was used for TSPO PET signals. </w:t>
      </w:r>
    </w:p>
    <w:p w14:paraId="6A4F1E34"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E</w:t>
      </w:r>
      <w:r>
        <w:rPr>
          <w:rFonts w:ascii="Arial" w:hAnsi="Arial" w:cs="Arial"/>
          <w:sz w:val="20"/>
          <w:szCs w:val="20"/>
          <w:lang w:val="en-US"/>
        </w:rPr>
        <w:t>) 3-dimensional histology using light sheet microscopy of whole brains of SB28 tumor mice illustrates the abundance of TAMs (blue, CD11b+) and tumor cells (dark red, GFP+) during tumor progression. Each image represents the brain of a single mouse sacrificed at different time-points after tumor inoculation as displayed above. D=day.</w:t>
      </w:r>
    </w:p>
    <w:p w14:paraId="78468E2C"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F</w:t>
      </w:r>
      <w:r>
        <w:rPr>
          <w:rFonts w:ascii="Arial" w:hAnsi="Arial" w:cs="Arial"/>
          <w:sz w:val="20"/>
          <w:szCs w:val="20"/>
          <w:lang w:val="en-US"/>
        </w:rPr>
        <w:t>) Immunofluorescence in SB28 mice at different time-points (D7, n=1; D14, n=3; D21, n=2) reveals a continuous increase in the area of tumor cells (GFP, orange) and TSPO expression (green), whereas the area of TAMs (Iba1, blue) follows an inverse U-shaped trajectory. N=2 slices were analyzed per animal. Dashed lines depict trajectories of the area of tumor cells, TAMs and TSPO over time. D=Day.</w:t>
      </w:r>
    </w:p>
    <w:p w14:paraId="45C933A8"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G</w:t>
      </w:r>
      <w:r>
        <w:rPr>
          <w:rFonts w:ascii="Arial" w:hAnsi="Arial" w:cs="Arial"/>
          <w:sz w:val="20"/>
          <w:szCs w:val="20"/>
          <w:lang w:val="en-US"/>
        </w:rPr>
        <w:t>) Representative overview images of individual SB28 glioblastoma-bearing mice at different time-points. Tumor cells (GFP, orange), TAMs (Iba1, blue) and TSPO (green) are illustrated for one mouse of each early- (D6), middle- (D13) and late-stage (D20). Coronal slices are shown.</w:t>
      </w:r>
    </w:p>
    <w:p w14:paraId="52CF8FAB"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H</w:t>
      </w:r>
      <w:r>
        <w:rPr>
          <w:rFonts w:ascii="Arial" w:hAnsi="Arial" w:cs="Arial"/>
          <w:sz w:val="20"/>
          <w:szCs w:val="20"/>
          <w:lang w:val="en-US"/>
        </w:rPr>
        <w:t>) Across all time points, the area of TSPO in immunofluorescence (n=12 slices of n=6 animals) shows a high correlation with the area of tumor cells (GFP, orange) but no correlation with the area of TAMs (Iba1, blue). Simple linear regression.</w:t>
      </w:r>
    </w:p>
    <w:p w14:paraId="7FC77293"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I</w:t>
      </w:r>
      <w:r>
        <w:rPr>
          <w:rFonts w:ascii="Arial" w:hAnsi="Arial" w:cs="Arial"/>
          <w:sz w:val="20"/>
          <w:szCs w:val="20"/>
          <w:lang w:val="en-US"/>
        </w:rPr>
        <w:t xml:space="preserve">) Cell sorting after </w:t>
      </w:r>
      <w:r>
        <w:rPr>
          <w:rFonts w:ascii="Arial" w:hAnsi="Arial" w:cs="Arial"/>
          <w:i/>
          <w:iCs/>
          <w:sz w:val="20"/>
          <w:szCs w:val="20"/>
          <w:lang w:val="en-US"/>
        </w:rPr>
        <w:t>in vivo</w:t>
      </w:r>
      <w:r>
        <w:rPr>
          <w:rFonts w:ascii="Arial" w:hAnsi="Arial" w:cs="Arial"/>
          <w:sz w:val="20"/>
          <w:szCs w:val="20"/>
          <w:lang w:val="en-US"/>
        </w:rPr>
        <w:t xml:space="preserve"> tracer injection (i.e. scRadiotracing) reveals decreasing TSPO tracer uptake in single cells of both tumor cells and TAMs during tumor progression. Unpaired Student’s t-test for day 6 (n=5) vs. day 18 (n=12). ***p&lt;0.001.</w:t>
      </w:r>
    </w:p>
    <w:p w14:paraId="21838157" w14:textId="4D8381EF"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J</w:t>
      </w:r>
      <w:r>
        <w:rPr>
          <w:rFonts w:ascii="Arial" w:hAnsi="Arial" w:cs="Arial"/>
          <w:sz w:val="20"/>
          <w:szCs w:val="20"/>
          <w:lang w:val="en-US"/>
        </w:rPr>
        <w:t>) Comparison of the proteome of CD11b(+) immune cells of late-stage SB28 tumors and control microglia from therapy-naïve wild-type mice shows a strong immunosuppressive phenotype in late-stage tumors, exemplarily showing high protein levels of Arg1, Cd74 or Tnfrsf14. Proteins with related genes that were previously reported as highly expressed in immunosuppressive condition</w:t>
      </w:r>
      <w:r>
        <w:rPr>
          <w:rFonts w:ascii="Arial" w:hAnsi="Arial" w:cs="Arial"/>
          <w:sz w:val="20"/>
          <w:szCs w:val="20"/>
          <w:lang w:val="en-US"/>
        </w:rPr>
        <w:fldChar w:fldCharType="begin">
          <w:fldData xml:space="preserve">PEVuZE5vdGU+PENpdGU+PEF1dGhvcj5NYWlyZTwvQXV0aG9yPjxZZWFyPjIwMjA8L1llYXI+PFJl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</w:fldData>
        </w:fldChar>
      </w:r>
      <w:r w:rsidR="00870DCE">
        <w:rPr>
          <w:rFonts w:ascii="Arial" w:hAnsi="Arial" w:cs="Arial"/>
          <w:sz w:val="20"/>
          <w:szCs w:val="20"/>
          <w:lang w:val="en-US"/>
        </w:rPr>
        <w:instrText xml:space="preserve"> ADDIN EN.CITE </w:instrText>
      </w:r>
      <w:r w:rsidR="00870DCE">
        <w:rPr>
          <w:rFonts w:ascii="Arial" w:hAnsi="Arial" w:cs="Arial"/>
          <w:sz w:val="20"/>
          <w:szCs w:val="20"/>
          <w:lang w:val="en-US"/>
        </w:rPr>
        <w:fldChar w:fldCharType="begin">
          <w:fldData xml:space="preserve">PEVuZE5vdGU+PENpdGU+PEF1dGhvcj5NYWlyZTwvQXV0aG9yPjxZZWFyPjIwMjA8L1llYXI+PFJl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</w:fldData>
        </w:fldChar>
      </w:r>
      <w:r w:rsidR="00870DCE">
        <w:rPr>
          <w:rFonts w:ascii="Arial" w:hAnsi="Arial" w:cs="Arial"/>
          <w:sz w:val="20"/>
          <w:szCs w:val="20"/>
          <w:lang w:val="en-US"/>
        </w:rPr>
        <w:instrText xml:space="preserve"> ADDIN EN.CITE.DATA </w:instrText>
      </w:r>
      <w:r w:rsidR="00870DCE">
        <w:rPr>
          <w:rFonts w:ascii="Arial" w:hAnsi="Arial" w:cs="Arial"/>
          <w:sz w:val="20"/>
          <w:szCs w:val="20"/>
          <w:lang w:val="en-US"/>
        </w:rPr>
      </w:r>
      <w:r w:rsidR="00870DCE">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sidR="00870DCE" w:rsidRPr="00870DCE">
        <w:rPr>
          <w:rFonts w:ascii="Arial" w:hAnsi="Arial" w:cs="Arial"/>
          <w:noProof/>
          <w:sz w:val="20"/>
          <w:szCs w:val="20"/>
          <w:vertAlign w:val="superscript"/>
          <w:lang w:val="en-US"/>
        </w:rPr>
        <w:t>1</w:t>
      </w:r>
      <w:r>
        <w:rPr>
          <w:rFonts w:ascii="Arial" w:hAnsi="Arial" w:cs="Arial"/>
          <w:sz w:val="20"/>
          <w:szCs w:val="20"/>
          <w:lang w:val="en-US"/>
        </w:rPr>
        <w:fldChar w:fldCharType="end"/>
      </w:r>
      <w:r>
        <w:rPr>
          <w:rFonts w:ascii="Arial" w:hAnsi="Arial" w:cs="Arial"/>
          <w:sz w:val="20"/>
          <w:szCs w:val="20"/>
          <w:lang w:val="en-US"/>
        </w:rPr>
        <w:t xml:space="preserve"> (&gt;2-fold) are labeled in red whereas low expression in immunosuppressive condition (&lt;50%) are labeled in blue. MG=microglia.</w:t>
      </w:r>
    </w:p>
    <w:p w14:paraId="4D05BDE5" w14:textId="77777777" w:rsidR="00692D05" w:rsidRDefault="00692D05">
      <w:pPr>
        <w:jc w:val="both"/>
        <w:rPr>
          <w:rFonts w:ascii="Arial" w:hAnsi="Arial" w:cs="Arial"/>
          <w:b/>
          <w:bCs/>
          <w:sz w:val="20"/>
          <w:szCs w:val="20"/>
          <w:lang w:val="en-US"/>
        </w:rPr>
      </w:pPr>
    </w:p>
    <w:p w14:paraId="7052EB7B" w14:textId="77777777" w:rsidR="00692D05" w:rsidRDefault="00692D05">
      <w:pPr>
        <w:jc w:val="both"/>
        <w:rPr>
          <w:rFonts w:ascii="Arial" w:hAnsi="Arial" w:cs="Arial"/>
          <w:b/>
          <w:bCs/>
          <w:sz w:val="20"/>
          <w:szCs w:val="20"/>
          <w:lang w:val="en-US"/>
        </w:rPr>
      </w:pPr>
    </w:p>
    <w:p w14:paraId="3820C01A" w14:textId="77777777" w:rsidR="00692D05" w:rsidRDefault="00692D05">
      <w:pPr>
        <w:jc w:val="both"/>
        <w:rPr>
          <w:rFonts w:ascii="Arial" w:hAnsi="Arial" w:cs="Arial"/>
          <w:b/>
          <w:bCs/>
          <w:sz w:val="20"/>
          <w:szCs w:val="20"/>
          <w:lang w:val="en-US"/>
        </w:rPr>
      </w:pPr>
    </w:p>
    <w:p w14:paraId="5B766702" w14:textId="77777777" w:rsidR="00692D05" w:rsidRDefault="00692D05">
      <w:pPr>
        <w:jc w:val="both"/>
        <w:rPr>
          <w:rFonts w:ascii="Arial" w:hAnsi="Arial" w:cs="Arial"/>
          <w:b/>
          <w:bCs/>
          <w:sz w:val="20"/>
          <w:szCs w:val="20"/>
          <w:lang w:val="en-US"/>
        </w:rPr>
      </w:pPr>
    </w:p>
    <w:p w14:paraId="685A8F17" w14:textId="77777777" w:rsidR="00692D05" w:rsidRDefault="00692D05">
      <w:pPr>
        <w:jc w:val="both"/>
        <w:rPr>
          <w:rFonts w:ascii="Arial" w:hAnsi="Arial" w:cs="Arial"/>
          <w:b/>
          <w:bCs/>
          <w:sz w:val="20"/>
          <w:szCs w:val="20"/>
          <w:lang w:val="en-US"/>
        </w:rPr>
      </w:pPr>
    </w:p>
    <w:p w14:paraId="75305D9D" w14:textId="77777777" w:rsidR="00692D05" w:rsidRDefault="00692D05">
      <w:pPr>
        <w:jc w:val="both"/>
        <w:rPr>
          <w:rFonts w:ascii="Arial" w:hAnsi="Arial" w:cs="Arial"/>
          <w:b/>
          <w:bCs/>
          <w:sz w:val="20"/>
          <w:szCs w:val="20"/>
          <w:lang w:val="en-US"/>
        </w:rPr>
      </w:pPr>
    </w:p>
    <w:p w14:paraId="5B843E54" w14:textId="77777777" w:rsidR="00692D05" w:rsidRDefault="00692D05">
      <w:pPr>
        <w:jc w:val="both"/>
        <w:rPr>
          <w:rFonts w:ascii="Arial" w:hAnsi="Arial" w:cs="Arial"/>
          <w:b/>
          <w:bCs/>
          <w:sz w:val="20"/>
          <w:szCs w:val="20"/>
          <w:lang w:val="en-US"/>
        </w:rPr>
      </w:pPr>
    </w:p>
    <w:p w14:paraId="7B5804BD" w14:textId="77777777" w:rsidR="00692D05" w:rsidRDefault="00692D05">
      <w:pPr>
        <w:jc w:val="both"/>
        <w:rPr>
          <w:rFonts w:ascii="Arial" w:hAnsi="Arial" w:cs="Arial"/>
          <w:b/>
          <w:bCs/>
          <w:sz w:val="20"/>
          <w:szCs w:val="20"/>
          <w:lang w:val="en-US"/>
        </w:rPr>
      </w:pPr>
    </w:p>
    <w:p w14:paraId="7ABAB9E6" w14:textId="77777777" w:rsidR="00692D05" w:rsidRDefault="00C74E3D">
      <w:pPr>
        <w:jc w:val="both"/>
        <w:rPr>
          <w:rFonts w:ascii="Arial" w:hAnsi="Arial" w:cs="Arial"/>
          <w:b/>
          <w:bCs/>
          <w:sz w:val="20"/>
          <w:szCs w:val="20"/>
          <w:lang w:val="en-US"/>
        </w:rPr>
      </w:pPr>
      <w:r>
        <w:rPr>
          <w:rFonts w:ascii="Arial" w:hAnsi="Arial" w:cs="Arial"/>
          <w:b/>
          <w:bCs/>
          <w:noProof/>
          <w:lang w:val="en-US"/>
        </w:rPr>
        <w:lastRenderedPageBreak/>
        <w:t>Supplemental Figure 3</w:t>
      </w:r>
    </w:p>
    <w:p w14:paraId="687A947A" w14:textId="3AC6B451" w:rsidR="00692D05" w:rsidRDefault="001642F4">
      <w:pPr>
        <w:jc w:val="both"/>
        <w:rPr>
          <w:rFonts w:ascii="Arial" w:hAnsi="Arial" w:cs="Arial"/>
          <w:b/>
          <w:bCs/>
          <w:sz w:val="20"/>
          <w:szCs w:val="20"/>
          <w:highlight w:val="yellow"/>
          <w:lang w:val="en-US"/>
        </w:rPr>
      </w:pPr>
      <w:r>
        <w:rPr>
          <w:rFonts w:ascii="Arial" w:hAnsi="Arial" w:cs="Arial"/>
          <w:b/>
          <w:bCs/>
          <w:noProof/>
          <w:sz w:val="20"/>
          <w:szCs w:val="20"/>
          <w:lang w:val="en-US"/>
        </w:rPr>
        <w:drawing>
          <wp:inline distT="0" distB="0" distL="0" distR="0" wp14:anchorId="5E615BD3" wp14:editId="153C749F">
            <wp:extent cx="4491532" cy="6203725"/>
            <wp:effectExtent l="0" t="0" r="4445" b="698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12611" cy="6232840"/>
                    </a:xfrm>
                    <a:prstGeom prst="rect">
                      <a:avLst/>
                    </a:prstGeom>
                    <a:noFill/>
                    <a:ln>
                      <a:noFill/>
                    </a:ln>
                  </pic:spPr>
                </pic:pic>
              </a:graphicData>
            </a:graphic>
          </wp:inline>
        </w:drawing>
      </w:r>
    </w:p>
    <w:p w14:paraId="6718980D" w14:textId="2A506F09" w:rsidR="00692D05" w:rsidRDefault="00C74E3D">
      <w:pPr>
        <w:jc w:val="both"/>
        <w:rPr>
          <w:rFonts w:ascii="Arial" w:hAnsi="Arial" w:cs="Arial"/>
          <w:b/>
          <w:bCs/>
          <w:sz w:val="20"/>
          <w:szCs w:val="20"/>
          <w:lang w:val="en-US"/>
        </w:rPr>
      </w:pPr>
      <w:r>
        <w:rPr>
          <w:rFonts w:ascii="Arial" w:hAnsi="Arial" w:cs="Arial"/>
          <w:b/>
          <w:bCs/>
          <w:sz w:val="20"/>
          <w:szCs w:val="20"/>
          <w:lang w:val="en-US"/>
        </w:rPr>
        <w:t xml:space="preserve">Supplemental Figure 3: </w:t>
      </w:r>
      <w:r w:rsidR="00A04595">
        <w:rPr>
          <w:rFonts w:ascii="Arial" w:hAnsi="Arial" w:cs="Arial"/>
          <w:b/>
          <w:bCs/>
          <w:sz w:val="20"/>
          <w:szCs w:val="20"/>
          <w:lang w:val="en-US"/>
        </w:rPr>
        <w:t xml:space="preserve">Extended analyses of </w:t>
      </w:r>
      <w:r>
        <w:rPr>
          <w:rFonts w:ascii="Arial" w:hAnsi="Arial" w:cs="Arial"/>
          <w:b/>
          <w:bCs/>
          <w:sz w:val="20"/>
          <w:szCs w:val="20"/>
          <w:lang w:val="en-US"/>
        </w:rPr>
        <w:t>TREM2 PET imaging in murine glioblastoma.</w:t>
      </w:r>
    </w:p>
    <w:p w14:paraId="358E1C64" w14:textId="57212DBC"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A</w:t>
      </w:r>
      <w:r>
        <w:rPr>
          <w:rFonts w:ascii="Arial" w:hAnsi="Arial" w:cs="Arial"/>
          <w:sz w:val="20"/>
          <w:szCs w:val="20"/>
          <w:lang w:val="en-US"/>
        </w:rPr>
        <w:t>)  Repetitive TREM2 PET imaging (2–68h p.i.) in one single mouse revealed progressive signal increases in distinct brain and tumor regions, with peak uptake at 20h p.i., followed by gradual washout. This kinetic profile is consistent with the anticipated dynamics of a transport vehicle antibody PET tracer</w:t>
      </w:r>
      <w:r>
        <w:rPr>
          <w:rFonts w:ascii="Arial" w:hAnsi="Arial" w:cs="Arial"/>
          <w:sz w:val="20"/>
          <w:szCs w:val="20"/>
          <w:lang w:val="en-US"/>
        </w:rPr>
        <w:fldChar w:fldCharType="begin">
          <w:fldData xml:space="preserve">PEVuZE5vdGU+PENpdGU+PEF1dGhvcj52YW4gTGVuZ2VyaWNoPC9BdXRob3I+PFllYXI+MjAyMzwv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</w:fldData>
        </w:fldChar>
      </w:r>
      <w:r w:rsidR="00870DCE">
        <w:rPr>
          <w:rFonts w:ascii="Arial" w:hAnsi="Arial" w:cs="Arial"/>
          <w:sz w:val="20"/>
          <w:szCs w:val="20"/>
          <w:lang w:val="en-US"/>
        </w:rPr>
        <w:instrText xml:space="preserve"> ADDIN EN.CITE </w:instrText>
      </w:r>
      <w:r w:rsidR="00870DCE">
        <w:rPr>
          <w:rFonts w:ascii="Arial" w:hAnsi="Arial" w:cs="Arial"/>
          <w:sz w:val="20"/>
          <w:szCs w:val="20"/>
          <w:lang w:val="en-US"/>
        </w:rPr>
        <w:fldChar w:fldCharType="begin">
          <w:fldData xml:space="preserve">PEVuZE5vdGU+PENpdGU+PEF1dGhvcj52YW4gTGVuZ2VyaWNoPC9BdXRob3I+PFllYXI+MjAyMzwv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</w:fldData>
        </w:fldChar>
      </w:r>
      <w:r w:rsidR="00870DCE">
        <w:rPr>
          <w:rFonts w:ascii="Arial" w:hAnsi="Arial" w:cs="Arial"/>
          <w:sz w:val="20"/>
          <w:szCs w:val="20"/>
          <w:lang w:val="en-US"/>
        </w:rPr>
        <w:instrText xml:space="preserve"> ADDIN EN.CITE.DATA </w:instrText>
      </w:r>
      <w:r w:rsidR="00870DCE">
        <w:rPr>
          <w:rFonts w:ascii="Arial" w:hAnsi="Arial" w:cs="Arial"/>
          <w:sz w:val="20"/>
          <w:szCs w:val="20"/>
          <w:lang w:val="en-US"/>
        </w:rPr>
      </w:r>
      <w:r w:rsidR="00870DCE">
        <w:rPr>
          <w:rFonts w:ascii="Arial" w:hAnsi="Arial" w:cs="Arial"/>
          <w:sz w:val="20"/>
          <w:szCs w:val="20"/>
          <w:lang w:val="en-US"/>
        </w:rPr>
        <w:fldChar w:fldCharType="end"/>
      </w:r>
      <w:r>
        <w:rPr>
          <w:rFonts w:ascii="Arial" w:hAnsi="Arial" w:cs="Arial"/>
          <w:sz w:val="20"/>
          <w:szCs w:val="20"/>
          <w:lang w:val="en-US"/>
        </w:rPr>
      </w:r>
      <w:r>
        <w:rPr>
          <w:rFonts w:ascii="Arial" w:hAnsi="Arial" w:cs="Arial"/>
          <w:sz w:val="20"/>
          <w:szCs w:val="20"/>
          <w:lang w:val="en-US"/>
        </w:rPr>
        <w:fldChar w:fldCharType="separate"/>
      </w:r>
      <w:r w:rsidR="00870DCE" w:rsidRPr="00870DCE">
        <w:rPr>
          <w:rFonts w:ascii="Arial" w:hAnsi="Arial" w:cs="Arial"/>
          <w:noProof/>
          <w:sz w:val="20"/>
          <w:szCs w:val="20"/>
          <w:vertAlign w:val="superscript"/>
          <w:lang w:val="en-US"/>
        </w:rPr>
        <w:t>2</w:t>
      </w:r>
      <w:r>
        <w:rPr>
          <w:rFonts w:ascii="Arial" w:hAnsi="Arial" w:cs="Arial"/>
          <w:sz w:val="20"/>
          <w:szCs w:val="20"/>
          <w:lang w:val="en-US"/>
        </w:rPr>
        <w:fldChar w:fldCharType="end"/>
      </w:r>
      <w:r>
        <w:rPr>
          <w:rFonts w:ascii="Arial" w:hAnsi="Arial" w:cs="Arial"/>
          <w:sz w:val="20"/>
          <w:szCs w:val="20"/>
          <w:lang w:val="en-US"/>
        </w:rPr>
        <w:t xml:space="preserve">. PET images are shown in the axial plain upon an MRI template. CTX=cortex. ID=injected dose. </w:t>
      </w:r>
    </w:p>
    <w:p w14:paraId="27E3F0DC"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B</w:t>
      </w:r>
      <w:r>
        <w:rPr>
          <w:rFonts w:ascii="Arial" w:hAnsi="Arial" w:cs="Arial"/>
          <w:sz w:val="20"/>
          <w:szCs w:val="20"/>
          <w:lang w:val="en-US"/>
        </w:rPr>
        <w:t xml:space="preserve">) In four mice undergoing both TREM2 PET (day 9) and TSPO PET (day 8) imaging, regional correlation analysis revealed limited spatial concordance between the two tracers. Representative coronal PET images of two mice are displayed over an MRI template. ID=injected dose. Simple linear regression. </w:t>
      </w:r>
    </w:p>
    <w:p w14:paraId="6E9BFB2A"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C</w:t>
      </w:r>
      <w:r>
        <w:rPr>
          <w:rFonts w:ascii="Arial" w:hAnsi="Arial" w:cs="Arial"/>
          <w:sz w:val="20"/>
          <w:szCs w:val="20"/>
          <w:lang w:val="en-US"/>
        </w:rPr>
        <w:t xml:space="preserve">) Increase in </w:t>
      </w:r>
      <w:r>
        <w:rPr>
          <w:rFonts w:ascii="Arial" w:hAnsi="Arial" w:cs="Arial"/>
          <w:i/>
          <w:iCs/>
          <w:sz w:val="20"/>
          <w:szCs w:val="20"/>
          <w:lang w:val="en-US"/>
        </w:rPr>
        <w:t>ex vivo</w:t>
      </w:r>
      <w:r>
        <w:rPr>
          <w:rFonts w:ascii="Arial" w:hAnsi="Arial" w:cs="Arial"/>
          <w:sz w:val="20"/>
          <w:szCs w:val="20"/>
          <w:lang w:val="en-US"/>
        </w:rPr>
        <w:t xml:space="preserve"> TREM2 tracer blood levels as well as </w:t>
      </w:r>
      <w:r>
        <w:rPr>
          <w:rFonts w:ascii="Arial" w:hAnsi="Arial" w:cs="Arial"/>
          <w:i/>
          <w:iCs/>
          <w:sz w:val="20"/>
          <w:szCs w:val="20"/>
          <w:lang w:val="en-US"/>
        </w:rPr>
        <w:t>in vivo</w:t>
      </w:r>
      <w:r>
        <w:rPr>
          <w:rFonts w:ascii="Arial" w:hAnsi="Arial" w:cs="Arial"/>
          <w:sz w:val="20"/>
          <w:szCs w:val="20"/>
          <w:lang w:val="en-US"/>
        </w:rPr>
        <w:t xml:space="preserve"> TREM2 PET signals in the contralateral hemisphere in mice treated with the TREM2 agonist ATV:4D9 compared with the ATV isotype control at day 7 after inoculation. Imaging was performed two days after treatment (day 9). ID=injected dose. Unpaired Student’s t-tests. *p &lt; 0.05, **p &lt; 0.01</w:t>
      </w:r>
    </w:p>
    <w:p w14:paraId="609BAD10" w14:textId="77777777" w:rsidR="00692D05" w:rsidRDefault="00C74E3D">
      <w:pPr>
        <w:jc w:val="both"/>
        <w:rPr>
          <w:rFonts w:ascii="Arial" w:hAnsi="Arial" w:cs="Arial"/>
          <w:b/>
          <w:bCs/>
          <w:sz w:val="20"/>
          <w:szCs w:val="20"/>
          <w:lang w:val="en-US"/>
        </w:rPr>
      </w:pPr>
      <w:r>
        <w:rPr>
          <w:rFonts w:ascii="Arial" w:hAnsi="Arial" w:cs="Arial"/>
          <w:b/>
          <w:bCs/>
          <w:noProof/>
          <w:lang w:val="en-US"/>
        </w:rPr>
        <w:lastRenderedPageBreak/>
        <w:t>Supplemental Figure 4</w:t>
      </w:r>
    </w:p>
    <w:p w14:paraId="4F4B337A" w14:textId="598474BE" w:rsidR="00692D05" w:rsidRDefault="001642F4">
      <w:pPr>
        <w:rPr>
          <w:highlight w:val="yellow"/>
          <w:lang w:val="en-US"/>
        </w:rPr>
      </w:pPr>
      <w:r>
        <w:rPr>
          <w:rFonts w:ascii="Arial" w:hAnsi="Arial" w:cs="Arial"/>
          <w:noProof/>
          <w:sz w:val="20"/>
          <w:szCs w:val="20"/>
          <w:lang w:val="en-US"/>
        </w:rPr>
        <w:drawing>
          <wp:inline distT="0" distB="0" distL="0" distR="0" wp14:anchorId="5F2DE2C2" wp14:editId="0EF7F526">
            <wp:extent cx="5749925" cy="2282190"/>
            <wp:effectExtent l="0" t="0" r="3175"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9925" cy="2282190"/>
                    </a:xfrm>
                    <a:prstGeom prst="rect">
                      <a:avLst/>
                    </a:prstGeom>
                    <a:noFill/>
                    <a:ln>
                      <a:noFill/>
                    </a:ln>
                  </pic:spPr>
                </pic:pic>
              </a:graphicData>
            </a:graphic>
          </wp:inline>
        </w:drawing>
      </w:r>
    </w:p>
    <w:p w14:paraId="1302A20B" w14:textId="77777777" w:rsidR="00692D05" w:rsidRDefault="00C74E3D">
      <w:pPr>
        <w:jc w:val="both"/>
        <w:rPr>
          <w:rFonts w:ascii="Arial" w:hAnsi="Arial" w:cs="Arial"/>
          <w:b/>
          <w:bCs/>
          <w:sz w:val="20"/>
          <w:szCs w:val="20"/>
          <w:lang w:val="en-US"/>
        </w:rPr>
      </w:pPr>
      <w:r>
        <w:rPr>
          <w:rFonts w:ascii="Arial" w:hAnsi="Arial" w:cs="Arial"/>
          <w:b/>
          <w:bCs/>
          <w:sz w:val="20"/>
          <w:szCs w:val="20"/>
          <w:lang w:val="en-US"/>
        </w:rPr>
        <w:t>Supplemental Figure 4: Multiplex immunofluorescence of human glioblastoma shows high colocalization of TREM2 with immune cells but not with tumor cells.</w:t>
      </w:r>
    </w:p>
    <w:p w14:paraId="670F47DA" w14:textId="502E2778" w:rsidR="00692D05" w:rsidRDefault="00C74E3D">
      <w:pPr>
        <w:jc w:val="both"/>
        <w:rPr>
          <w:rFonts w:ascii="Arial" w:hAnsi="Arial" w:cs="Arial"/>
          <w:sz w:val="20"/>
          <w:szCs w:val="20"/>
          <w:lang w:val="en-US"/>
        </w:rPr>
      </w:pPr>
      <w:r>
        <w:rPr>
          <w:rFonts w:ascii="Arial" w:hAnsi="Arial" w:cs="Arial"/>
          <w:sz w:val="20"/>
          <w:szCs w:val="20"/>
          <w:lang w:val="en-US"/>
        </w:rPr>
        <w:t>Representative images of multiplex immunofluorescence staining of three glioblastoma samples showing TREM2 (orange), CD68 (pink), and p53 (green) with nuclear counterstaining by DAPI (blue). TREM2 expression was largely absent in p53(+) tumor cells, whereas nearly all CD68(+) tumor-associated TAMs also showed strong TREM2-positivity. Quantitative analysis confirmed these observations, revealing almost no TREM2(+) cells within the p53(+) tumor cell fraction, while the majority of CD68(+) TAMs were TREM2(+).</w:t>
      </w:r>
    </w:p>
    <w:p w14:paraId="50445774" w14:textId="77777777" w:rsidR="00692D05" w:rsidRDefault="00692D05">
      <w:pPr>
        <w:rPr>
          <w:rFonts w:ascii="Arial" w:hAnsi="Arial" w:cs="Arial"/>
          <w:sz w:val="20"/>
          <w:szCs w:val="20"/>
          <w:lang w:val="en-US"/>
        </w:rPr>
      </w:pPr>
    </w:p>
    <w:p w14:paraId="68DBCE23" w14:textId="77777777" w:rsidR="00692D05" w:rsidRDefault="00692D05">
      <w:pPr>
        <w:rPr>
          <w:rFonts w:ascii="Arial" w:hAnsi="Arial" w:cs="Arial"/>
          <w:sz w:val="20"/>
          <w:szCs w:val="20"/>
          <w:lang w:val="en-US"/>
        </w:rPr>
      </w:pPr>
    </w:p>
    <w:p w14:paraId="537FFC1D" w14:textId="77777777" w:rsidR="00692D05" w:rsidRDefault="00692D05">
      <w:pPr>
        <w:rPr>
          <w:rFonts w:ascii="Arial" w:hAnsi="Arial" w:cs="Arial"/>
          <w:sz w:val="20"/>
          <w:szCs w:val="20"/>
          <w:lang w:val="en-US"/>
        </w:rPr>
      </w:pPr>
    </w:p>
    <w:p w14:paraId="6FF7D7D9" w14:textId="77777777" w:rsidR="00692D05" w:rsidRDefault="00692D05">
      <w:pPr>
        <w:rPr>
          <w:rFonts w:ascii="Arial" w:hAnsi="Arial" w:cs="Arial"/>
          <w:sz w:val="20"/>
          <w:szCs w:val="20"/>
          <w:lang w:val="en-US"/>
        </w:rPr>
      </w:pPr>
    </w:p>
    <w:p w14:paraId="12208E94" w14:textId="77777777" w:rsidR="00692D05" w:rsidRDefault="00692D05">
      <w:pPr>
        <w:rPr>
          <w:rFonts w:ascii="Arial" w:hAnsi="Arial" w:cs="Arial"/>
          <w:sz w:val="20"/>
          <w:szCs w:val="20"/>
          <w:lang w:val="en-US"/>
        </w:rPr>
      </w:pPr>
    </w:p>
    <w:p w14:paraId="060A893A" w14:textId="77777777" w:rsidR="00692D05" w:rsidRDefault="00692D05">
      <w:pPr>
        <w:rPr>
          <w:rFonts w:ascii="Arial" w:hAnsi="Arial" w:cs="Arial"/>
          <w:sz w:val="20"/>
          <w:szCs w:val="20"/>
          <w:lang w:val="en-US"/>
        </w:rPr>
      </w:pPr>
    </w:p>
    <w:p w14:paraId="5D3F3828" w14:textId="77777777" w:rsidR="00692D05" w:rsidRDefault="00692D05">
      <w:pPr>
        <w:rPr>
          <w:rFonts w:ascii="Arial" w:hAnsi="Arial" w:cs="Arial"/>
          <w:sz w:val="20"/>
          <w:szCs w:val="20"/>
          <w:lang w:val="en-US"/>
        </w:rPr>
      </w:pPr>
    </w:p>
    <w:p w14:paraId="5D5A3850" w14:textId="77777777" w:rsidR="00692D05" w:rsidRDefault="00692D05">
      <w:pPr>
        <w:rPr>
          <w:rFonts w:ascii="Arial" w:hAnsi="Arial" w:cs="Arial"/>
          <w:sz w:val="20"/>
          <w:szCs w:val="20"/>
          <w:lang w:val="en-US"/>
        </w:rPr>
      </w:pPr>
    </w:p>
    <w:p w14:paraId="692F3079" w14:textId="77777777" w:rsidR="00692D05" w:rsidRDefault="00692D05">
      <w:pPr>
        <w:rPr>
          <w:rFonts w:ascii="Arial" w:hAnsi="Arial" w:cs="Arial"/>
          <w:sz w:val="20"/>
          <w:szCs w:val="20"/>
          <w:lang w:val="en-US"/>
        </w:rPr>
      </w:pPr>
    </w:p>
    <w:p w14:paraId="526382E0" w14:textId="77777777" w:rsidR="00692D05" w:rsidRDefault="00692D05">
      <w:pPr>
        <w:rPr>
          <w:rFonts w:ascii="Arial" w:hAnsi="Arial" w:cs="Arial"/>
          <w:sz w:val="20"/>
          <w:szCs w:val="20"/>
          <w:lang w:val="en-US"/>
        </w:rPr>
      </w:pPr>
    </w:p>
    <w:p w14:paraId="4EA09AF3" w14:textId="77777777" w:rsidR="00692D05" w:rsidRDefault="00692D05">
      <w:pPr>
        <w:rPr>
          <w:rFonts w:ascii="Arial" w:hAnsi="Arial" w:cs="Arial"/>
          <w:sz w:val="20"/>
          <w:szCs w:val="20"/>
          <w:lang w:val="en-US"/>
        </w:rPr>
      </w:pPr>
    </w:p>
    <w:p w14:paraId="02653260" w14:textId="77777777" w:rsidR="00692D05" w:rsidRDefault="00692D05">
      <w:pPr>
        <w:rPr>
          <w:rFonts w:ascii="Arial" w:hAnsi="Arial" w:cs="Arial"/>
          <w:sz w:val="20"/>
          <w:szCs w:val="20"/>
          <w:lang w:val="en-US"/>
        </w:rPr>
      </w:pPr>
    </w:p>
    <w:p w14:paraId="7F4A3508" w14:textId="77777777" w:rsidR="00692D05" w:rsidRDefault="00692D05">
      <w:pPr>
        <w:rPr>
          <w:rFonts w:ascii="Arial" w:hAnsi="Arial" w:cs="Arial"/>
          <w:sz w:val="20"/>
          <w:szCs w:val="20"/>
          <w:lang w:val="en-US"/>
        </w:rPr>
      </w:pPr>
    </w:p>
    <w:p w14:paraId="5CE181E5" w14:textId="77777777" w:rsidR="00692D05" w:rsidRDefault="00692D05">
      <w:pPr>
        <w:rPr>
          <w:rFonts w:ascii="Arial" w:hAnsi="Arial" w:cs="Arial"/>
          <w:sz w:val="20"/>
          <w:szCs w:val="20"/>
          <w:lang w:val="en-US"/>
        </w:rPr>
      </w:pPr>
    </w:p>
    <w:p w14:paraId="5241270D" w14:textId="77777777" w:rsidR="00692D05" w:rsidRDefault="00692D05">
      <w:pPr>
        <w:rPr>
          <w:rFonts w:ascii="Arial" w:hAnsi="Arial" w:cs="Arial"/>
          <w:sz w:val="20"/>
          <w:szCs w:val="20"/>
          <w:lang w:val="en-US"/>
        </w:rPr>
      </w:pPr>
    </w:p>
    <w:p w14:paraId="2883F70A" w14:textId="77777777" w:rsidR="00692D05" w:rsidRDefault="00692D05">
      <w:pPr>
        <w:rPr>
          <w:rFonts w:ascii="Arial" w:hAnsi="Arial" w:cs="Arial"/>
          <w:sz w:val="20"/>
          <w:szCs w:val="20"/>
          <w:lang w:val="en-US"/>
        </w:rPr>
      </w:pPr>
    </w:p>
    <w:p w14:paraId="69A901E3" w14:textId="77777777" w:rsidR="00692D05" w:rsidRDefault="00692D05">
      <w:pPr>
        <w:rPr>
          <w:rFonts w:ascii="Arial" w:hAnsi="Arial" w:cs="Arial"/>
          <w:sz w:val="20"/>
          <w:szCs w:val="20"/>
          <w:lang w:val="en-US"/>
        </w:rPr>
      </w:pPr>
    </w:p>
    <w:p w14:paraId="13BA57B4" w14:textId="77777777" w:rsidR="00692D05" w:rsidRDefault="00692D05">
      <w:pPr>
        <w:rPr>
          <w:rFonts w:ascii="Arial" w:hAnsi="Arial" w:cs="Arial"/>
          <w:sz w:val="20"/>
          <w:szCs w:val="20"/>
          <w:lang w:val="en-US"/>
        </w:rPr>
      </w:pPr>
    </w:p>
    <w:p w14:paraId="6EC35FFE" w14:textId="77777777" w:rsidR="00692D05" w:rsidRDefault="00692D05">
      <w:pPr>
        <w:jc w:val="both"/>
        <w:rPr>
          <w:rFonts w:ascii="Arial" w:hAnsi="Arial" w:cs="Arial"/>
          <w:sz w:val="20"/>
          <w:szCs w:val="20"/>
          <w:lang w:val="en-US"/>
        </w:rPr>
      </w:pPr>
    </w:p>
    <w:p w14:paraId="584677AD" w14:textId="77777777" w:rsidR="00692D05" w:rsidRDefault="00C74E3D">
      <w:pPr>
        <w:jc w:val="both"/>
        <w:rPr>
          <w:rFonts w:ascii="Arial" w:hAnsi="Arial" w:cs="Arial"/>
          <w:b/>
          <w:bCs/>
          <w:sz w:val="20"/>
          <w:szCs w:val="20"/>
          <w:lang w:val="en-US"/>
        </w:rPr>
      </w:pPr>
      <w:r>
        <w:rPr>
          <w:rFonts w:ascii="Arial" w:hAnsi="Arial" w:cs="Arial"/>
          <w:b/>
          <w:bCs/>
          <w:noProof/>
        </w:rPr>
        <w:lastRenderedPageBreak/>
        <w:t>Supplemental Figure 5</w:t>
      </w:r>
    </w:p>
    <w:p w14:paraId="226A10F9" w14:textId="5C8323A2" w:rsidR="00692D05" w:rsidRDefault="00B66BD2">
      <w:pPr>
        <w:rPr>
          <w:rFonts w:ascii="Arial" w:hAnsi="Arial" w:cs="Arial"/>
          <w:sz w:val="20"/>
          <w:szCs w:val="20"/>
          <w:lang w:val="en-US"/>
        </w:rPr>
      </w:pPr>
      <w:r>
        <w:rPr>
          <w:rFonts w:ascii="Arial" w:hAnsi="Arial" w:cs="Arial"/>
          <w:noProof/>
          <w:sz w:val="20"/>
          <w:szCs w:val="20"/>
          <w:lang w:val="en-US"/>
        </w:rPr>
        <w:drawing>
          <wp:inline distT="0" distB="0" distL="0" distR="0" wp14:anchorId="02FB473E" wp14:editId="095D0A1A">
            <wp:extent cx="5109587" cy="469519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0809" cy="4696313"/>
                    </a:xfrm>
                    <a:prstGeom prst="rect">
                      <a:avLst/>
                    </a:prstGeom>
                    <a:noFill/>
                    <a:ln>
                      <a:noFill/>
                    </a:ln>
                  </pic:spPr>
                </pic:pic>
              </a:graphicData>
            </a:graphic>
          </wp:inline>
        </w:drawing>
      </w:r>
    </w:p>
    <w:p w14:paraId="5A19F43A" w14:textId="77777777" w:rsidR="00692D05" w:rsidRDefault="00C74E3D">
      <w:pPr>
        <w:jc w:val="both"/>
        <w:rPr>
          <w:rFonts w:ascii="Arial" w:hAnsi="Arial" w:cs="Arial"/>
          <w:b/>
          <w:bCs/>
          <w:sz w:val="20"/>
          <w:szCs w:val="20"/>
          <w:lang w:val="en-US"/>
        </w:rPr>
      </w:pPr>
      <w:r>
        <w:rPr>
          <w:rFonts w:ascii="Arial" w:hAnsi="Arial" w:cs="Arial"/>
          <w:b/>
          <w:bCs/>
          <w:sz w:val="20"/>
          <w:szCs w:val="20"/>
          <w:lang w:val="en-US"/>
        </w:rPr>
        <w:t>Supplemental Figure 5: Extended analyses of human TREM2 PET imaging.</w:t>
      </w:r>
    </w:p>
    <w:p w14:paraId="30BB31C2" w14:textId="13D36602"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A</w:t>
      </w:r>
      <w:r>
        <w:rPr>
          <w:rFonts w:ascii="Arial" w:hAnsi="Arial" w:cs="Arial"/>
          <w:sz w:val="20"/>
          <w:szCs w:val="20"/>
          <w:lang w:val="en-US"/>
        </w:rPr>
        <w:t>) Quantification of TREM2 PET signals</w:t>
      </w:r>
      <w:r w:rsidR="009927E6">
        <w:rPr>
          <w:rFonts w:ascii="Arial" w:hAnsi="Arial" w:cs="Arial"/>
          <w:sz w:val="20"/>
          <w:szCs w:val="20"/>
          <w:lang w:val="en-US"/>
        </w:rPr>
        <w:t xml:space="preserve"> (within ceMRI+ tumor lesions)</w:t>
      </w:r>
      <w:r>
        <w:rPr>
          <w:rFonts w:ascii="Arial" w:hAnsi="Arial" w:cs="Arial"/>
          <w:sz w:val="20"/>
          <w:szCs w:val="20"/>
          <w:lang w:val="en-US"/>
        </w:rPr>
        <w:t xml:space="preserve"> in comparison of patients with an initial diagnosis of </w:t>
      </w:r>
      <w:r w:rsidR="009927E6">
        <w:rPr>
          <w:rFonts w:ascii="Arial" w:hAnsi="Arial" w:cs="Arial"/>
          <w:sz w:val="20"/>
          <w:szCs w:val="20"/>
          <w:lang w:val="en-US"/>
        </w:rPr>
        <w:t>glioblastoma</w:t>
      </w:r>
      <w:r>
        <w:rPr>
          <w:rFonts w:ascii="Arial" w:hAnsi="Arial" w:cs="Arial"/>
          <w:sz w:val="20"/>
          <w:szCs w:val="20"/>
          <w:lang w:val="en-US"/>
        </w:rPr>
        <w:t xml:space="preserve"> (</w:t>
      </w:r>
      <w:r w:rsidR="003E49EE">
        <w:rPr>
          <w:rFonts w:ascii="Arial" w:hAnsi="Arial" w:cs="Arial"/>
          <w:sz w:val="20"/>
          <w:szCs w:val="20"/>
          <w:lang w:val="en-US"/>
        </w:rPr>
        <w:t xml:space="preserve">GB, </w:t>
      </w:r>
      <w:r>
        <w:rPr>
          <w:rFonts w:ascii="Arial" w:hAnsi="Arial" w:cs="Arial"/>
          <w:sz w:val="20"/>
          <w:szCs w:val="20"/>
          <w:lang w:val="en-US"/>
        </w:rPr>
        <w:t>n=</w:t>
      </w:r>
      <w:r w:rsidR="009927E6">
        <w:rPr>
          <w:rFonts w:ascii="Arial" w:hAnsi="Arial" w:cs="Arial"/>
          <w:sz w:val="20"/>
          <w:szCs w:val="20"/>
          <w:lang w:val="en-US"/>
        </w:rPr>
        <w:t>6</w:t>
      </w:r>
      <w:r>
        <w:rPr>
          <w:rFonts w:ascii="Arial" w:hAnsi="Arial" w:cs="Arial"/>
          <w:sz w:val="20"/>
          <w:szCs w:val="20"/>
          <w:lang w:val="en-US"/>
        </w:rPr>
        <w:t>) and patients with recurrence of glio</w:t>
      </w:r>
      <w:r w:rsidR="009927E6">
        <w:rPr>
          <w:rFonts w:ascii="Arial" w:hAnsi="Arial" w:cs="Arial"/>
          <w:sz w:val="20"/>
          <w:szCs w:val="20"/>
          <w:lang w:val="en-US"/>
        </w:rPr>
        <w:t>blasto</w:t>
      </w:r>
      <w:r w:rsidR="00230914">
        <w:rPr>
          <w:rFonts w:ascii="Arial" w:hAnsi="Arial" w:cs="Arial"/>
          <w:sz w:val="20"/>
          <w:szCs w:val="20"/>
          <w:lang w:val="en-US"/>
        </w:rPr>
        <w:t>ma</w:t>
      </w:r>
      <w:r>
        <w:rPr>
          <w:rFonts w:ascii="Arial" w:hAnsi="Arial" w:cs="Arial"/>
          <w:sz w:val="20"/>
          <w:szCs w:val="20"/>
          <w:lang w:val="en-US"/>
        </w:rPr>
        <w:t xml:space="preserve"> (n=</w:t>
      </w:r>
      <w:r w:rsidR="009927E6">
        <w:rPr>
          <w:rFonts w:ascii="Arial" w:hAnsi="Arial" w:cs="Arial"/>
          <w:sz w:val="20"/>
          <w:szCs w:val="20"/>
          <w:lang w:val="en-US"/>
        </w:rPr>
        <w:t>8</w:t>
      </w:r>
      <w:r>
        <w:rPr>
          <w:rFonts w:ascii="Arial" w:hAnsi="Arial" w:cs="Arial"/>
          <w:sz w:val="20"/>
          <w:szCs w:val="20"/>
          <w:lang w:val="en-US"/>
        </w:rPr>
        <w:t xml:space="preserve">) shows </w:t>
      </w:r>
      <w:r w:rsidR="009927E6">
        <w:rPr>
          <w:rFonts w:ascii="Arial" w:hAnsi="Arial" w:cs="Arial"/>
          <w:sz w:val="20"/>
          <w:szCs w:val="20"/>
          <w:lang w:val="en-US"/>
        </w:rPr>
        <w:t>no significant difference between</w:t>
      </w:r>
      <w:r>
        <w:rPr>
          <w:rFonts w:ascii="Arial" w:hAnsi="Arial" w:cs="Arial"/>
          <w:sz w:val="20"/>
          <w:szCs w:val="20"/>
          <w:lang w:val="en-US"/>
        </w:rPr>
        <w:t xml:space="preserve"> both groups. Unpaired Student’s t-test. ns=not significant. SUVR=standardized uptake value ratio with cerebellar white matter reference (CBL).</w:t>
      </w:r>
    </w:p>
    <w:p w14:paraId="1870AD68" w14:textId="53A55205"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B</w:t>
      </w:r>
      <w:r>
        <w:rPr>
          <w:rFonts w:ascii="Arial" w:hAnsi="Arial" w:cs="Arial"/>
          <w:sz w:val="20"/>
          <w:szCs w:val="20"/>
          <w:lang w:val="en-US"/>
        </w:rPr>
        <w:t xml:space="preserve">) Quantification of TREM2 PET signals </w:t>
      </w:r>
      <w:r w:rsidR="009927E6">
        <w:rPr>
          <w:rFonts w:ascii="Arial" w:hAnsi="Arial" w:cs="Arial"/>
          <w:sz w:val="20"/>
          <w:szCs w:val="20"/>
          <w:lang w:val="en-US"/>
        </w:rPr>
        <w:t>(within ceMRI+ tumor lesions)</w:t>
      </w:r>
      <w:r w:rsidR="009927E6">
        <w:rPr>
          <w:rFonts w:ascii="Arial" w:hAnsi="Arial" w:cs="Arial"/>
          <w:sz w:val="20"/>
          <w:szCs w:val="20"/>
          <w:lang w:val="en-US"/>
        </w:rPr>
        <w:t xml:space="preserve"> </w:t>
      </w:r>
      <w:r>
        <w:rPr>
          <w:rFonts w:ascii="Arial" w:hAnsi="Arial" w:cs="Arial"/>
          <w:sz w:val="20"/>
          <w:szCs w:val="20"/>
          <w:lang w:val="en-US"/>
        </w:rPr>
        <w:t>in comparison of female (n=</w:t>
      </w:r>
      <w:r w:rsidR="00906F0C">
        <w:rPr>
          <w:rFonts w:ascii="Arial" w:hAnsi="Arial" w:cs="Arial"/>
          <w:sz w:val="20"/>
          <w:szCs w:val="20"/>
          <w:lang w:val="en-US"/>
        </w:rPr>
        <w:t>9</w:t>
      </w:r>
      <w:r>
        <w:rPr>
          <w:rFonts w:ascii="Arial" w:hAnsi="Arial" w:cs="Arial"/>
          <w:sz w:val="20"/>
          <w:szCs w:val="20"/>
          <w:lang w:val="en-US"/>
        </w:rPr>
        <w:t xml:space="preserve">) and male (n=6) patients with glioblastoma </w:t>
      </w:r>
      <w:r w:rsidR="003E49EE">
        <w:rPr>
          <w:rFonts w:ascii="Arial" w:hAnsi="Arial" w:cs="Arial"/>
          <w:sz w:val="20"/>
          <w:szCs w:val="20"/>
          <w:lang w:val="en-US"/>
        </w:rPr>
        <w:t xml:space="preserve">(GB) </w:t>
      </w:r>
      <w:r>
        <w:rPr>
          <w:rFonts w:ascii="Arial" w:hAnsi="Arial" w:cs="Arial"/>
          <w:sz w:val="20"/>
          <w:szCs w:val="20"/>
          <w:lang w:val="en-US"/>
        </w:rPr>
        <w:t>shows equal distribution across both groups. Unpaired Student’s t-test. GB=glioblastoma. ns=not significant. SUVR=standardized uptake value ratio</w:t>
      </w:r>
      <w:r w:rsidR="00906F0C" w:rsidRPr="00906F0C">
        <w:rPr>
          <w:rFonts w:ascii="Arial" w:hAnsi="Arial" w:cs="Arial"/>
          <w:sz w:val="20"/>
          <w:szCs w:val="20"/>
          <w:lang w:val="en-US"/>
        </w:rPr>
        <w:t xml:space="preserve"> </w:t>
      </w:r>
      <w:r w:rsidR="00906F0C">
        <w:rPr>
          <w:rFonts w:ascii="Arial" w:hAnsi="Arial" w:cs="Arial"/>
          <w:sz w:val="20"/>
          <w:szCs w:val="20"/>
          <w:lang w:val="en-US"/>
        </w:rPr>
        <w:t>with cerebellar white matter reference (CBL)</w:t>
      </w:r>
      <w:r>
        <w:rPr>
          <w:rFonts w:ascii="Arial" w:hAnsi="Arial" w:cs="Arial"/>
          <w:sz w:val="20"/>
          <w:szCs w:val="20"/>
          <w:lang w:val="en-US"/>
        </w:rPr>
        <w:t>.</w:t>
      </w:r>
    </w:p>
    <w:p w14:paraId="35B91EA9" w14:textId="1BF9661F"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C</w:t>
      </w:r>
      <w:r>
        <w:rPr>
          <w:rFonts w:ascii="Arial" w:hAnsi="Arial" w:cs="Arial"/>
          <w:sz w:val="20"/>
          <w:szCs w:val="20"/>
          <w:lang w:val="en-US"/>
        </w:rPr>
        <w:t>) Correlation of TREM2 PET signals in patients with glioblastoma (n=1</w:t>
      </w:r>
      <w:r w:rsidR="00906F0C">
        <w:rPr>
          <w:rFonts w:ascii="Arial" w:hAnsi="Arial" w:cs="Arial"/>
          <w:sz w:val="20"/>
          <w:szCs w:val="20"/>
          <w:lang w:val="en-US"/>
        </w:rPr>
        <w:t>4</w:t>
      </w:r>
      <w:r>
        <w:rPr>
          <w:rFonts w:ascii="Arial" w:hAnsi="Arial" w:cs="Arial"/>
          <w:sz w:val="20"/>
          <w:szCs w:val="20"/>
          <w:lang w:val="en-US"/>
        </w:rPr>
        <w:t>) with age shows a trend towards lower TREM2 PET signals</w:t>
      </w:r>
      <w:r w:rsidR="00906F0C">
        <w:rPr>
          <w:rFonts w:ascii="Arial" w:hAnsi="Arial" w:cs="Arial"/>
          <w:sz w:val="20"/>
          <w:szCs w:val="20"/>
          <w:lang w:val="en-US"/>
        </w:rPr>
        <w:t xml:space="preserve"> at higher</w:t>
      </w:r>
      <w:r>
        <w:rPr>
          <w:rFonts w:ascii="Arial" w:hAnsi="Arial" w:cs="Arial"/>
          <w:sz w:val="20"/>
          <w:szCs w:val="20"/>
          <w:lang w:val="en-US"/>
        </w:rPr>
        <w:t xml:space="preserve"> age. Simple linear regression. SUVR = standardized uptake value ratio</w:t>
      </w:r>
      <w:r w:rsidR="00906F0C" w:rsidRPr="00906F0C">
        <w:rPr>
          <w:rFonts w:ascii="Arial" w:hAnsi="Arial" w:cs="Arial"/>
          <w:sz w:val="20"/>
          <w:szCs w:val="20"/>
          <w:lang w:val="en-US"/>
        </w:rPr>
        <w:t xml:space="preserve"> </w:t>
      </w:r>
      <w:r w:rsidR="00906F0C">
        <w:rPr>
          <w:rFonts w:ascii="Arial" w:hAnsi="Arial" w:cs="Arial"/>
          <w:sz w:val="20"/>
          <w:szCs w:val="20"/>
          <w:lang w:val="en-US"/>
        </w:rPr>
        <w:t>with cerebellar white matter reference (CBL)</w:t>
      </w:r>
      <w:r>
        <w:rPr>
          <w:rFonts w:ascii="Arial" w:hAnsi="Arial" w:cs="Arial"/>
          <w:sz w:val="20"/>
          <w:szCs w:val="20"/>
          <w:lang w:val="en-US"/>
        </w:rPr>
        <w:t>.</w:t>
      </w:r>
    </w:p>
    <w:p w14:paraId="19DA15DC" w14:textId="5FE96F91"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D</w:t>
      </w:r>
      <w:r>
        <w:rPr>
          <w:rFonts w:ascii="Arial" w:hAnsi="Arial" w:cs="Arial"/>
          <w:sz w:val="20"/>
          <w:szCs w:val="20"/>
          <w:lang w:val="en-US"/>
        </w:rPr>
        <w:t>) Quantification of TREM2 PET signals in comparison of patients with glioblastoma (n=1</w:t>
      </w:r>
      <w:r w:rsidR="00906F0C">
        <w:rPr>
          <w:rFonts w:ascii="Arial" w:hAnsi="Arial" w:cs="Arial"/>
          <w:sz w:val="20"/>
          <w:szCs w:val="20"/>
          <w:lang w:val="en-US"/>
        </w:rPr>
        <w:t>4</w:t>
      </w:r>
      <w:r>
        <w:rPr>
          <w:rFonts w:ascii="Arial" w:hAnsi="Arial" w:cs="Arial"/>
          <w:sz w:val="20"/>
          <w:szCs w:val="20"/>
          <w:lang w:val="en-US"/>
        </w:rPr>
        <w:t xml:space="preserve">) </w:t>
      </w:r>
      <w:r w:rsidR="00906F0C">
        <w:rPr>
          <w:rFonts w:ascii="Arial" w:hAnsi="Arial" w:cs="Arial"/>
          <w:sz w:val="20"/>
          <w:szCs w:val="20"/>
          <w:lang w:val="en-US"/>
        </w:rPr>
        <w:t>against</w:t>
      </w:r>
      <w:r>
        <w:rPr>
          <w:rFonts w:ascii="Arial" w:hAnsi="Arial" w:cs="Arial"/>
          <w:sz w:val="20"/>
          <w:szCs w:val="20"/>
          <w:lang w:val="en-US"/>
        </w:rPr>
        <w:t xml:space="preserve"> brain metastases (n=3) </w:t>
      </w:r>
      <w:r w:rsidR="00906F0C">
        <w:rPr>
          <w:rFonts w:ascii="Arial" w:hAnsi="Arial" w:cs="Arial"/>
          <w:sz w:val="20"/>
          <w:szCs w:val="20"/>
          <w:lang w:val="en-US"/>
        </w:rPr>
        <w:t>shows no significant difference between both groups</w:t>
      </w:r>
      <w:r>
        <w:rPr>
          <w:rFonts w:ascii="Arial" w:hAnsi="Arial" w:cs="Arial"/>
          <w:sz w:val="20"/>
          <w:szCs w:val="20"/>
          <w:lang w:val="en-US"/>
        </w:rPr>
        <w:t>. Unpaired Student’s t-test. ns=not significant. SUVR=standardized uptake value ratio with cerebellar white matter reference (CBL).</w:t>
      </w:r>
    </w:p>
    <w:p w14:paraId="5E8551F1" w14:textId="21D32423"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E</w:t>
      </w:r>
      <w:r>
        <w:rPr>
          <w:rFonts w:ascii="Arial" w:hAnsi="Arial" w:cs="Arial"/>
          <w:sz w:val="20"/>
          <w:szCs w:val="20"/>
          <w:lang w:val="en-US"/>
        </w:rPr>
        <w:t>) Strong TREM2 PET signal in a patient with initial diagnosis of CNS lymphoma. TREM2 PET image is shown in the coronal and axial plain upon the individual ceMRI. SUVR=standardized uptake value ratio with cerebellar white matter reference (CBL).</w:t>
      </w:r>
    </w:p>
    <w:p w14:paraId="3C1E29A2" w14:textId="6C2FFA4D" w:rsidR="00221515" w:rsidRDefault="00221515">
      <w:pPr>
        <w:jc w:val="both"/>
        <w:rPr>
          <w:rFonts w:ascii="Arial" w:hAnsi="Arial" w:cs="Arial"/>
          <w:sz w:val="20"/>
          <w:szCs w:val="20"/>
          <w:lang w:val="en-US"/>
        </w:rPr>
      </w:pPr>
    </w:p>
    <w:p w14:paraId="07A23CA2" w14:textId="77777777" w:rsidR="00221515" w:rsidRDefault="00221515">
      <w:pPr>
        <w:jc w:val="both"/>
        <w:rPr>
          <w:rFonts w:ascii="Arial" w:hAnsi="Arial" w:cs="Arial"/>
          <w:sz w:val="20"/>
          <w:szCs w:val="20"/>
          <w:lang w:val="en-US"/>
        </w:rPr>
      </w:pPr>
    </w:p>
    <w:p w14:paraId="3BA56D28" w14:textId="77777777" w:rsidR="00692D05" w:rsidRDefault="00C74E3D">
      <w:pPr>
        <w:jc w:val="both"/>
        <w:rPr>
          <w:rFonts w:ascii="Arial" w:hAnsi="Arial" w:cs="Arial"/>
          <w:b/>
          <w:bCs/>
          <w:sz w:val="20"/>
          <w:szCs w:val="20"/>
          <w:lang w:val="en-US"/>
        </w:rPr>
      </w:pPr>
      <w:r>
        <w:rPr>
          <w:rFonts w:ascii="Arial" w:hAnsi="Arial" w:cs="Arial"/>
          <w:b/>
          <w:bCs/>
          <w:noProof/>
        </w:rPr>
        <w:lastRenderedPageBreak/>
        <w:t>Supplemental Figure 6</w:t>
      </w:r>
    </w:p>
    <w:p w14:paraId="545972DE" w14:textId="72C1ECB6" w:rsidR="00692D05" w:rsidRDefault="008B26D4">
      <w:pPr>
        <w:rPr>
          <w:highlight w:val="yellow"/>
          <w:lang w:val="en-US"/>
        </w:rPr>
      </w:pPr>
      <w:r>
        <w:rPr>
          <w:noProof/>
          <w:lang w:val="en-US"/>
        </w:rPr>
        <w:drawing>
          <wp:inline distT="0" distB="0" distL="0" distR="0" wp14:anchorId="01464C71" wp14:editId="68EC7433">
            <wp:extent cx="4949063" cy="8792109"/>
            <wp:effectExtent l="0" t="0" r="444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51639" cy="8796686"/>
                    </a:xfrm>
                    <a:prstGeom prst="rect">
                      <a:avLst/>
                    </a:prstGeom>
                    <a:noFill/>
                    <a:ln>
                      <a:noFill/>
                    </a:ln>
                  </pic:spPr>
                </pic:pic>
              </a:graphicData>
            </a:graphic>
          </wp:inline>
        </w:drawing>
      </w:r>
    </w:p>
    <w:p w14:paraId="0698989A" w14:textId="77777777" w:rsidR="00692D05" w:rsidRDefault="00C74E3D">
      <w:pPr>
        <w:jc w:val="both"/>
        <w:rPr>
          <w:rFonts w:ascii="Arial" w:hAnsi="Arial" w:cs="Arial"/>
          <w:b/>
          <w:bCs/>
          <w:sz w:val="20"/>
          <w:szCs w:val="20"/>
          <w:lang w:val="en-US"/>
        </w:rPr>
      </w:pPr>
      <w:r>
        <w:rPr>
          <w:rFonts w:ascii="Arial" w:hAnsi="Arial" w:cs="Arial"/>
          <w:b/>
          <w:bCs/>
          <w:sz w:val="20"/>
          <w:szCs w:val="20"/>
          <w:lang w:val="en-US"/>
        </w:rPr>
        <w:lastRenderedPageBreak/>
        <w:t>Supplemental Figure 6: Immunohistochemistry of human tumor tissue.</w:t>
      </w:r>
    </w:p>
    <w:p w14:paraId="2722F947" w14:textId="5CFBECAC"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A</w:t>
      </w:r>
      <w:r>
        <w:rPr>
          <w:rFonts w:ascii="Arial" w:hAnsi="Arial" w:cs="Arial"/>
          <w:sz w:val="20"/>
          <w:szCs w:val="20"/>
          <w:lang w:val="en-US"/>
        </w:rPr>
        <w:t xml:space="preserve">) Correlation between tumor TREM2 PET signal </w:t>
      </w:r>
      <w:r w:rsidR="00E87A40">
        <w:rPr>
          <w:rFonts w:ascii="Arial" w:hAnsi="Arial" w:cs="Arial"/>
          <w:sz w:val="20"/>
          <w:szCs w:val="20"/>
          <w:lang w:val="en-US"/>
        </w:rPr>
        <w:t>(</w:t>
      </w:r>
      <w:r w:rsidR="00E87A40">
        <w:rPr>
          <w:rFonts w:ascii="Arial" w:hAnsi="Arial" w:cs="Arial"/>
          <w:sz w:val="20"/>
          <w:szCs w:val="20"/>
          <w:lang w:val="en-US"/>
        </w:rPr>
        <w:t xml:space="preserve">assessed in </w:t>
      </w:r>
      <w:r w:rsidR="00E87A40">
        <w:rPr>
          <w:rFonts w:ascii="Arial" w:hAnsi="Arial" w:cs="Arial"/>
          <w:sz w:val="20"/>
          <w:szCs w:val="20"/>
          <w:lang w:val="en-US"/>
        </w:rPr>
        <w:t xml:space="preserve">ceMRI+ </w:t>
      </w:r>
      <w:r w:rsidR="00E87A40">
        <w:rPr>
          <w:rFonts w:ascii="Arial" w:hAnsi="Arial" w:cs="Arial"/>
          <w:sz w:val="20"/>
          <w:szCs w:val="20"/>
          <w:lang w:val="en-US"/>
        </w:rPr>
        <w:t>areas</w:t>
      </w:r>
      <w:r w:rsidR="00E87A40">
        <w:rPr>
          <w:rFonts w:ascii="Arial" w:hAnsi="Arial" w:cs="Arial"/>
          <w:sz w:val="20"/>
          <w:szCs w:val="20"/>
          <w:lang w:val="en-US"/>
        </w:rPr>
        <w:t xml:space="preserve">) </w:t>
      </w:r>
      <w:r>
        <w:rPr>
          <w:rFonts w:ascii="Arial" w:hAnsi="Arial" w:cs="Arial"/>
          <w:sz w:val="20"/>
          <w:szCs w:val="20"/>
          <w:lang w:val="en-US"/>
        </w:rPr>
        <w:t xml:space="preserve">and immunohistochemical quantification of CD163(+), CR3.43(+), and CD68(+) immune cells in matched tumor tissue from the same patients with glioblastoma as analyzed in </w:t>
      </w:r>
      <w:r>
        <w:rPr>
          <w:rFonts w:ascii="Arial" w:hAnsi="Arial" w:cs="Arial"/>
          <w:b/>
          <w:bCs/>
          <w:sz w:val="20"/>
          <w:szCs w:val="20"/>
          <w:lang w:val="en-US"/>
        </w:rPr>
        <w:t>Fig. 6F</w:t>
      </w:r>
      <w:r>
        <w:rPr>
          <w:rFonts w:ascii="Arial" w:hAnsi="Arial" w:cs="Arial"/>
          <w:sz w:val="20"/>
          <w:szCs w:val="20"/>
          <w:lang w:val="en-US"/>
        </w:rPr>
        <w:t>. CR3.43 was not available in two tissue samples. Turquoise dot indicates a brain tissue sample which was located adjacent to the tumor. Black dots indicate tumor tissue. Simple linear regression. SUVR=standardized uptake value ratio with cerebellar white matter reference (CBL).</w:t>
      </w:r>
    </w:p>
    <w:p w14:paraId="03C1EE84"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B</w:t>
      </w:r>
      <w:r>
        <w:rPr>
          <w:rFonts w:ascii="Arial" w:hAnsi="Arial" w:cs="Arial"/>
          <w:sz w:val="20"/>
          <w:szCs w:val="20"/>
          <w:lang w:val="en-US"/>
        </w:rPr>
        <w:t>) For TREM2(+) macrophages single-cell coordinates from image segmentation were used to generate a Delaunay triangulation analysis, defined by neighboring cells and spatial density clusters in tumor areas with present (upper row) or absent (lower row) microvascular proliferation in three patients with newly diagnosed glioblastoma. Representative images show TREM2 immunohistochemistry (left), the corresponding Delaunay cluster analysis (right) and the image overlay (middle). The color scale bar illustrates the number of neighboring cells based on a centroid distance of 15µm. Bars 50 µm.</w:t>
      </w:r>
    </w:p>
    <w:p w14:paraId="41E7E9A3" w14:textId="77777777" w:rsidR="00692D05" w:rsidRDefault="00C74E3D">
      <w:pPr>
        <w:jc w:val="both"/>
        <w:rPr>
          <w:rFonts w:ascii="Arial" w:hAnsi="Arial" w:cs="Arial"/>
          <w:sz w:val="20"/>
          <w:szCs w:val="20"/>
          <w:highlight w:val="yellow"/>
          <w:lang w:val="en-US"/>
        </w:rPr>
      </w:pPr>
      <w:r>
        <w:rPr>
          <w:rFonts w:ascii="Arial" w:hAnsi="Arial" w:cs="Arial"/>
          <w:sz w:val="20"/>
          <w:szCs w:val="20"/>
          <w:lang w:val="en-US"/>
        </w:rPr>
        <w:t>(</w:t>
      </w:r>
      <w:r>
        <w:rPr>
          <w:rFonts w:ascii="Arial" w:hAnsi="Arial" w:cs="Arial"/>
          <w:b/>
          <w:bCs/>
          <w:sz w:val="20"/>
          <w:szCs w:val="20"/>
          <w:lang w:val="en-US"/>
        </w:rPr>
        <w:t>C</w:t>
      </w:r>
      <w:r>
        <w:rPr>
          <w:rFonts w:ascii="Arial" w:hAnsi="Arial" w:cs="Arial"/>
          <w:sz w:val="20"/>
          <w:szCs w:val="20"/>
          <w:lang w:val="en-US"/>
        </w:rPr>
        <w:t>) Analysis of i) total cell density, ii) TREM2(+) cell density and iii) TREM2(+) cell clustering in tumor areas with present or absent microvascular proliferation from three patients. Dot plot graphs show n = 5 representative tissue regions analyzed per condition per patient. Mann-Whitney test. ns=non-significant, ***p &lt; 0.001</w:t>
      </w:r>
    </w:p>
    <w:p w14:paraId="78FAE814"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D</w:t>
      </w:r>
      <w:r>
        <w:rPr>
          <w:rFonts w:ascii="Arial" w:hAnsi="Arial" w:cs="Arial"/>
          <w:sz w:val="20"/>
          <w:szCs w:val="20"/>
          <w:lang w:val="en-US"/>
        </w:rPr>
        <w:t xml:space="preserve">) Immunohistochemistry of one exemplified patient who received tumor resection after TREM2 PET imaging (#11 in </w:t>
      </w:r>
      <w:r>
        <w:rPr>
          <w:rFonts w:ascii="Arial" w:hAnsi="Arial" w:cs="Arial"/>
          <w:b/>
          <w:bCs/>
          <w:sz w:val="20"/>
          <w:szCs w:val="20"/>
          <w:lang w:val="en-US"/>
        </w:rPr>
        <w:t>Fig. 6A</w:t>
      </w:r>
      <w:r>
        <w:rPr>
          <w:rFonts w:ascii="Arial" w:hAnsi="Arial" w:cs="Arial"/>
          <w:sz w:val="20"/>
          <w:szCs w:val="20"/>
          <w:lang w:val="en-US"/>
        </w:rPr>
        <w:t>) shows higher positivity of TREM2 and myeloid cell markers in the tumor margin compared to the tumor core, confirming higher TAM abundance in the infiltration zone.</w:t>
      </w:r>
      <w:r>
        <w:rPr>
          <w:lang w:val="en-US"/>
        </w:rPr>
        <w:t xml:space="preserve"> </w:t>
      </w:r>
      <w:r>
        <w:rPr>
          <w:rFonts w:ascii="Arial" w:hAnsi="Arial" w:cs="Arial"/>
          <w:sz w:val="20"/>
          <w:szCs w:val="20"/>
          <w:lang w:val="en-US"/>
        </w:rPr>
        <w:t>Bars 50 µm.</w:t>
      </w:r>
    </w:p>
    <w:p w14:paraId="4CA64D9D" w14:textId="77777777" w:rsidR="00692D05" w:rsidRDefault="00692D05">
      <w:pPr>
        <w:rPr>
          <w:lang w:val="en-US"/>
        </w:rPr>
      </w:pPr>
    </w:p>
    <w:p w14:paraId="22FC4DBD" w14:textId="77777777" w:rsidR="00692D05" w:rsidRDefault="00692D05">
      <w:pPr>
        <w:rPr>
          <w:lang w:val="en-US"/>
        </w:rPr>
      </w:pPr>
    </w:p>
    <w:p w14:paraId="443F0CFF" w14:textId="77777777" w:rsidR="00692D05" w:rsidRDefault="00692D05">
      <w:pPr>
        <w:rPr>
          <w:lang w:val="en-US"/>
        </w:rPr>
      </w:pPr>
    </w:p>
    <w:p w14:paraId="41E27B76" w14:textId="77777777" w:rsidR="00692D05" w:rsidRDefault="00692D05">
      <w:pPr>
        <w:rPr>
          <w:lang w:val="en-US"/>
        </w:rPr>
      </w:pPr>
    </w:p>
    <w:p w14:paraId="28A73C21" w14:textId="77777777" w:rsidR="00692D05" w:rsidRDefault="00692D05">
      <w:pPr>
        <w:rPr>
          <w:lang w:val="en-US"/>
        </w:rPr>
      </w:pPr>
    </w:p>
    <w:p w14:paraId="32BA84CC" w14:textId="77777777" w:rsidR="00692D05" w:rsidRDefault="00692D05">
      <w:pPr>
        <w:rPr>
          <w:lang w:val="en-US"/>
        </w:rPr>
      </w:pPr>
    </w:p>
    <w:p w14:paraId="38855289" w14:textId="77777777" w:rsidR="00692D05" w:rsidRDefault="00692D05">
      <w:pPr>
        <w:rPr>
          <w:lang w:val="en-US"/>
        </w:rPr>
      </w:pPr>
    </w:p>
    <w:p w14:paraId="6DBC3619" w14:textId="77777777" w:rsidR="00692D05" w:rsidRDefault="00692D05">
      <w:pPr>
        <w:rPr>
          <w:lang w:val="en-US"/>
        </w:rPr>
      </w:pPr>
    </w:p>
    <w:p w14:paraId="68743F3C" w14:textId="77777777" w:rsidR="00692D05" w:rsidRDefault="00692D05">
      <w:pPr>
        <w:rPr>
          <w:lang w:val="en-US"/>
        </w:rPr>
      </w:pPr>
    </w:p>
    <w:p w14:paraId="4EAADF33" w14:textId="77777777" w:rsidR="00692D05" w:rsidRDefault="00692D05">
      <w:pPr>
        <w:rPr>
          <w:lang w:val="en-US"/>
        </w:rPr>
      </w:pPr>
    </w:p>
    <w:p w14:paraId="0C4191C7" w14:textId="77777777" w:rsidR="00692D05" w:rsidRDefault="00692D05">
      <w:pPr>
        <w:rPr>
          <w:lang w:val="en-US"/>
        </w:rPr>
      </w:pPr>
    </w:p>
    <w:p w14:paraId="4A82487F" w14:textId="77777777" w:rsidR="00692D05" w:rsidRDefault="00692D05">
      <w:pPr>
        <w:rPr>
          <w:lang w:val="en-US"/>
        </w:rPr>
      </w:pPr>
    </w:p>
    <w:p w14:paraId="03241BBD" w14:textId="77777777" w:rsidR="00692D05" w:rsidRDefault="00692D05">
      <w:pPr>
        <w:rPr>
          <w:lang w:val="en-US"/>
        </w:rPr>
      </w:pPr>
    </w:p>
    <w:p w14:paraId="1B48CED8" w14:textId="77777777" w:rsidR="00692D05" w:rsidRDefault="00692D05">
      <w:pPr>
        <w:rPr>
          <w:lang w:val="en-US"/>
        </w:rPr>
      </w:pPr>
    </w:p>
    <w:p w14:paraId="5333FC40" w14:textId="77777777" w:rsidR="00692D05" w:rsidRDefault="00692D05">
      <w:pPr>
        <w:rPr>
          <w:lang w:val="en-US"/>
        </w:rPr>
      </w:pPr>
    </w:p>
    <w:p w14:paraId="0C61148C" w14:textId="77777777" w:rsidR="00692D05" w:rsidRDefault="00692D05">
      <w:pPr>
        <w:rPr>
          <w:lang w:val="en-US"/>
        </w:rPr>
      </w:pPr>
    </w:p>
    <w:p w14:paraId="035DE48D" w14:textId="77777777" w:rsidR="00692D05" w:rsidRDefault="00692D05">
      <w:pPr>
        <w:rPr>
          <w:lang w:val="en-US"/>
        </w:rPr>
      </w:pPr>
    </w:p>
    <w:p w14:paraId="4415B6B6" w14:textId="77777777" w:rsidR="00692D05" w:rsidRDefault="00692D05">
      <w:pPr>
        <w:rPr>
          <w:lang w:val="en-US"/>
        </w:rPr>
      </w:pPr>
    </w:p>
    <w:p w14:paraId="100F3485" w14:textId="77777777" w:rsidR="00692D05" w:rsidRDefault="00692D05">
      <w:pPr>
        <w:rPr>
          <w:lang w:val="en-US"/>
        </w:rPr>
      </w:pPr>
    </w:p>
    <w:p w14:paraId="325E81F9" w14:textId="77777777" w:rsidR="00692D05" w:rsidRDefault="00C74E3D">
      <w:pPr>
        <w:jc w:val="both"/>
        <w:rPr>
          <w:rFonts w:ascii="Arial" w:hAnsi="Arial" w:cs="Arial"/>
          <w:b/>
          <w:bCs/>
          <w:sz w:val="20"/>
          <w:szCs w:val="20"/>
          <w:lang w:val="en-US"/>
        </w:rPr>
      </w:pPr>
      <w:r>
        <w:rPr>
          <w:rFonts w:ascii="Arial" w:hAnsi="Arial" w:cs="Arial"/>
          <w:b/>
          <w:bCs/>
          <w:noProof/>
        </w:rPr>
        <w:lastRenderedPageBreak/>
        <w:t>Supplemental Figure 7</w:t>
      </w:r>
    </w:p>
    <w:p w14:paraId="6EACF503" w14:textId="2AE24083" w:rsidR="00692D05" w:rsidRDefault="006B6FEB">
      <w:pPr>
        <w:tabs>
          <w:tab w:val="left" w:pos="1189"/>
        </w:tabs>
        <w:rPr>
          <w:lang w:val="en-US"/>
        </w:rPr>
      </w:pPr>
      <w:r>
        <w:rPr>
          <w:noProof/>
          <w:lang w:val="en-US"/>
        </w:rPr>
        <w:drawing>
          <wp:inline distT="0" distB="0" distL="0" distR="0" wp14:anchorId="506D43A8" wp14:editId="049902A0">
            <wp:extent cx="5044902" cy="8730761"/>
            <wp:effectExtent l="0" t="0" r="381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7608" cy="8735444"/>
                    </a:xfrm>
                    <a:prstGeom prst="rect">
                      <a:avLst/>
                    </a:prstGeom>
                    <a:noFill/>
                    <a:ln>
                      <a:noFill/>
                    </a:ln>
                  </pic:spPr>
                </pic:pic>
              </a:graphicData>
            </a:graphic>
          </wp:inline>
        </w:drawing>
      </w:r>
    </w:p>
    <w:p w14:paraId="7C405FD5" w14:textId="77777777" w:rsidR="00692D05" w:rsidRDefault="00C74E3D">
      <w:pPr>
        <w:jc w:val="both"/>
        <w:rPr>
          <w:rFonts w:ascii="Arial" w:hAnsi="Arial" w:cs="Arial"/>
          <w:b/>
          <w:bCs/>
          <w:sz w:val="20"/>
          <w:szCs w:val="20"/>
          <w:lang w:val="en-US"/>
        </w:rPr>
      </w:pPr>
      <w:r>
        <w:rPr>
          <w:rFonts w:ascii="Arial" w:hAnsi="Arial" w:cs="Arial"/>
          <w:b/>
          <w:bCs/>
          <w:sz w:val="20"/>
          <w:szCs w:val="20"/>
          <w:lang w:val="en-US"/>
        </w:rPr>
        <w:lastRenderedPageBreak/>
        <w:t>Supplemental Figure 7: Comparison of TREM2 PET with FET and TSPO PET in a subset of patients.</w:t>
      </w:r>
    </w:p>
    <w:p w14:paraId="4CA97660" w14:textId="6E269B2C"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A</w:t>
      </w:r>
      <w:r>
        <w:rPr>
          <w:rFonts w:ascii="Arial" w:hAnsi="Arial" w:cs="Arial"/>
          <w:sz w:val="20"/>
          <w:szCs w:val="20"/>
          <w:lang w:val="en-US"/>
        </w:rPr>
        <w:t xml:space="preserve">) Subset of n=7 patients with glioblastoma who received FET PET imaging in addition to TREM2 PET. Exemplary images of </w:t>
      </w:r>
      <w:r w:rsidR="008C3EC5">
        <w:rPr>
          <w:rFonts w:ascii="Arial" w:hAnsi="Arial" w:cs="Arial"/>
          <w:sz w:val="20"/>
          <w:szCs w:val="20"/>
          <w:lang w:val="en-US"/>
        </w:rPr>
        <w:t xml:space="preserve">contrast enhanced </w:t>
      </w:r>
      <w:r>
        <w:rPr>
          <w:rFonts w:ascii="Arial" w:hAnsi="Arial" w:cs="Arial"/>
          <w:sz w:val="20"/>
          <w:szCs w:val="20"/>
          <w:lang w:val="en-US"/>
        </w:rPr>
        <w:t>MRI (</w:t>
      </w:r>
      <w:r w:rsidR="008C3EC5">
        <w:rPr>
          <w:rFonts w:ascii="Arial" w:hAnsi="Arial" w:cs="Arial"/>
          <w:sz w:val="20"/>
          <w:szCs w:val="20"/>
          <w:lang w:val="en-US"/>
        </w:rPr>
        <w:t xml:space="preserve">ceMRI, </w:t>
      </w:r>
      <w:r>
        <w:rPr>
          <w:rFonts w:ascii="Arial" w:hAnsi="Arial" w:cs="Arial"/>
          <w:sz w:val="20"/>
          <w:szCs w:val="20"/>
          <w:lang w:val="en-US"/>
        </w:rPr>
        <w:t>upper row), TREM2 PET (middle row) and FET PET (lower row) are shown in the axial plain. Interestingly, TREM2 PET signal hotspots did not always colocalize with areas of high contrast enhancement or FET PET signals. y=years. M=male. F=female. SUVR=standardized uptake value ratio with cerebellar white matter reference (CBL).</w:t>
      </w:r>
    </w:p>
    <w:p w14:paraId="1C2F0E6E" w14:textId="6562AA3E"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B, C</w:t>
      </w:r>
      <w:r>
        <w:rPr>
          <w:rFonts w:ascii="Arial" w:hAnsi="Arial" w:cs="Arial"/>
          <w:sz w:val="20"/>
          <w:szCs w:val="20"/>
          <w:lang w:val="en-US"/>
        </w:rPr>
        <w:t xml:space="preserve">) No correlation was observed between tumor TREM2 PET signal intensity </w:t>
      </w:r>
      <w:r w:rsidR="00E87A40">
        <w:rPr>
          <w:rFonts w:ascii="Arial" w:hAnsi="Arial" w:cs="Arial"/>
          <w:sz w:val="20"/>
          <w:szCs w:val="20"/>
          <w:lang w:val="en-US"/>
        </w:rPr>
        <w:t>(</w:t>
      </w:r>
      <w:r w:rsidR="00E87A40">
        <w:rPr>
          <w:rFonts w:ascii="Arial" w:hAnsi="Arial" w:cs="Arial"/>
          <w:sz w:val="20"/>
          <w:szCs w:val="20"/>
          <w:lang w:val="en-US"/>
        </w:rPr>
        <w:t>assessed in</w:t>
      </w:r>
      <w:r w:rsidR="00E87A40">
        <w:rPr>
          <w:rFonts w:ascii="Arial" w:hAnsi="Arial" w:cs="Arial"/>
          <w:sz w:val="20"/>
          <w:szCs w:val="20"/>
          <w:lang w:val="en-US"/>
        </w:rPr>
        <w:t xml:space="preserve"> ceMRI+ </w:t>
      </w:r>
      <w:r w:rsidR="00E87A40">
        <w:rPr>
          <w:rFonts w:ascii="Arial" w:hAnsi="Arial" w:cs="Arial"/>
          <w:sz w:val="20"/>
          <w:szCs w:val="20"/>
          <w:lang w:val="en-US"/>
        </w:rPr>
        <w:t>areas</w:t>
      </w:r>
      <w:r w:rsidR="00E87A40">
        <w:rPr>
          <w:rFonts w:ascii="Arial" w:hAnsi="Arial" w:cs="Arial"/>
          <w:sz w:val="20"/>
          <w:szCs w:val="20"/>
          <w:lang w:val="en-US"/>
        </w:rPr>
        <w:t xml:space="preserve">) </w:t>
      </w:r>
      <w:r>
        <w:rPr>
          <w:rFonts w:ascii="Arial" w:hAnsi="Arial" w:cs="Arial"/>
          <w:sz w:val="20"/>
          <w:szCs w:val="20"/>
          <w:lang w:val="en-US"/>
        </w:rPr>
        <w:t xml:space="preserve">and </w:t>
      </w:r>
      <w:r w:rsidR="00E87A40">
        <w:rPr>
          <w:rFonts w:ascii="Arial" w:hAnsi="Arial" w:cs="Arial"/>
          <w:sz w:val="20"/>
          <w:szCs w:val="20"/>
          <w:lang w:val="en-US"/>
        </w:rPr>
        <w:t xml:space="preserve">tumor amino acid metabolism as expressed by </w:t>
      </w:r>
      <w:r>
        <w:rPr>
          <w:rFonts w:ascii="Arial" w:hAnsi="Arial" w:cs="Arial"/>
          <w:sz w:val="20"/>
          <w:szCs w:val="20"/>
          <w:lang w:val="en-US"/>
        </w:rPr>
        <w:t xml:space="preserve">FET PET </w:t>
      </w:r>
      <w:r w:rsidR="00E87A40">
        <w:rPr>
          <w:rFonts w:ascii="Arial" w:hAnsi="Arial" w:cs="Arial"/>
          <w:sz w:val="20"/>
          <w:szCs w:val="20"/>
          <w:lang w:val="en-US"/>
        </w:rPr>
        <w:t xml:space="preserve">signal intensity. Contrary, </w:t>
      </w:r>
      <w:r w:rsidR="00E87A40">
        <w:rPr>
          <w:rFonts w:ascii="Arial" w:hAnsi="Arial" w:cs="Arial"/>
          <w:sz w:val="20"/>
          <w:szCs w:val="20"/>
          <w:lang w:val="en-US"/>
        </w:rPr>
        <w:t>TREM2 PET signal intensity</w:t>
      </w:r>
      <w:r w:rsidR="00E87A40">
        <w:rPr>
          <w:rFonts w:ascii="Arial" w:hAnsi="Arial" w:cs="Arial"/>
          <w:sz w:val="20"/>
          <w:szCs w:val="20"/>
          <w:lang w:val="en-US"/>
        </w:rPr>
        <w:t xml:space="preserve"> correlated with the</w:t>
      </w:r>
      <w:r>
        <w:rPr>
          <w:rFonts w:ascii="Arial" w:hAnsi="Arial" w:cs="Arial"/>
          <w:sz w:val="20"/>
          <w:szCs w:val="20"/>
          <w:lang w:val="en-US"/>
        </w:rPr>
        <w:t xml:space="preserve"> biological tumor volume as determined by FET PET</w:t>
      </w:r>
      <w:r w:rsidR="00E87A40">
        <w:rPr>
          <w:rFonts w:ascii="Arial" w:hAnsi="Arial" w:cs="Arial"/>
          <w:sz w:val="20"/>
          <w:szCs w:val="20"/>
          <w:lang w:val="en-US"/>
        </w:rPr>
        <w:t xml:space="preserve"> positive area</w:t>
      </w:r>
      <w:r>
        <w:rPr>
          <w:rFonts w:ascii="Arial" w:hAnsi="Arial" w:cs="Arial"/>
          <w:sz w:val="20"/>
          <w:szCs w:val="20"/>
          <w:lang w:val="en-US"/>
        </w:rPr>
        <w:t xml:space="preserve">. </w:t>
      </w:r>
      <w:bookmarkStart w:id="0" w:name="OLE_LINK1"/>
      <w:r>
        <w:rPr>
          <w:rFonts w:ascii="Arial" w:hAnsi="Arial" w:cs="Arial"/>
          <w:sz w:val="20"/>
          <w:szCs w:val="20"/>
          <w:lang w:val="en-US"/>
        </w:rPr>
        <w:t>SUVR=standardized uptake value ratio with cerebellar white matter reference (CBL). TBR=tumor-to-background-ratio</w:t>
      </w:r>
      <w:bookmarkEnd w:id="0"/>
      <w:r>
        <w:rPr>
          <w:rFonts w:ascii="Arial" w:hAnsi="Arial" w:cs="Arial"/>
          <w:sz w:val="20"/>
          <w:szCs w:val="20"/>
          <w:lang w:val="en-US"/>
        </w:rPr>
        <w:t>. Simple linear regression.</w:t>
      </w:r>
    </w:p>
    <w:p w14:paraId="5449455C" w14:textId="77777777"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D</w:t>
      </w:r>
      <w:r>
        <w:rPr>
          <w:rFonts w:ascii="Arial" w:hAnsi="Arial" w:cs="Arial"/>
          <w:sz w:val="20"/>
          <w:szCs w:val="20"/>
          <w:lang w:val="en-US"/>
        </w:rPr>
        <w:t>) Schematic illustration of the voxel-wise PET analysis. The tumor was segmented using a 70% maximum threshold (middle) and subsequently subdivided into small cubic VOIs centered around individual tumor voxels (bottom).</w:t>
      </w:r>
    </w:p>
    <w:p w14:paraId="19F6CB7E" w14:textId="7998442B"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E</w:t>
      </w:r>
      <w:r>
        <w:rPr>
          <w:rFonts w:ascii="Arial" w:hAnsi="Arial" w:cs="Arial"/>
          <w:sz w:val="20"/>
          <w:szCs w:val="20"/>
          <w:lang w:val="en-US"/>
        </w:rPr>
        <w:t xml:space="preserve">) Voxel-wise correlation of TREM2 PET with FET PET and TSPO PET in three individual patients (#1, #5, and #19 in </w:t>
      </w:r>
      <w:r>
        <w:rPr>
          <w:rFonts w:ascii="Arial" w:hAnsi="Arial" w:cs="Arial"/>
          <w:b/>
          <w:bCs/>
          <w:sz w:val="20"/>
          <w:szCs w:val="20"/>
          <w:lang w:val="en-US"/>
        </w:rPr>
        <w:t xml:space="preserve">Fig. </w:t>
      </w:r>
      <w:r w:rsidR="008C3EC5">
        <w:rPr>
          <w:rFonts w:ascii="Arial" w:hAnsi="Arial" w:cs="Arial"/>
          <w:b/>
          <w:bCs/>
          <w:sz w:val="20"/>
          <w:szCs w:val="20"/>
          <w:lang w:val="en-US"/>
        </w:rPr>
        <w:t>6</w:t>
      </w:r>
      <w:r>
        <w:rPr>
          <w:rFonts w:ascii="Arial" w:hAnsi="Arial" w:cs="Arial"/>
          <w:b/>
          <w:bCs/>
          <w:sz w:val="20"/>
          <w:szCs w:val="20"/>
          <w:lang w:val="en-US"/>
        </w:rPr>
        <w:t>A</w:t>
      </w:r>
      <w:r>
        <w:rPr>
          <w:rFonts w:ascii="Arial" w:hAnsi="Arial" w:cs="Arial"/>
          <w:sz w:val="20"/>
          <w:szCs w:val="20"/>
          <w:lang w:val="en-US"/>
        </w:rPr>
        <w:t>). TREM2 PET showed only moderate regional concordance with TSPO PET and FET PET. Contrary, a strong correlation was observed between FET PET and TSPO PET, consistent with tumor cell dominance of TSPO PET signals in malignant brain tumors. Notably, the highest agreement between TREM2 and TSPO PET was observed in the one patient with brain metastasis. SUVR=standardized uptake value ratio with cerebellar white matter reference (CBL). TBR=tumor-to-background-ratio. Simple linear regression.</w:t>
      </w:r>
    </w:p>
    <w:p w14:paraId="2BE957EC" w14:textId="6F7F66F5" w:rsidR="00692D05" w:rsidRDefault="00C74E3D">
      <w:pPr>
        <w:jc w:val="both"/>
        <w:rPr>
          <w:rFonts w:ascii="Arial" w:hAnsi="Arial" w:cs="Arial"/>
          <w:sz w:val="20"/>
          <w:szCs w:val="20"/>
          <w:lang w:val="en-US"/>
        </w:rPr>
      </w:pPr>
      <w:r>
        <w:rPr>
          <w:rFonts w:ascii="Arial" w:hAnsi="Arial" w:cs="Arial"/>
          <w:sz w:val="20"/>
          <w:szCs w:val="20"/>
          <w:lang w:val="en-US"/>
        </w:rPr>
        <w:t>(</w:t>
      </w:r>
      <w:r>
        <w:rPr>
          <w:rFonts w:ascii="Arial" w:hAnsi="Arial" w:cs="Arial"/>
          <w:b/>
          <w:bCs/>
          <w:sz w:val="20"/>
          <w:szCs w:val="20"/>
          <w:lang w:val="en-US"/>
        </w:rPr>
        <w:t>F</w:t>
      </w:r>
      <w:r>
        <w:rPr>
          <w:rFonts w:ascii="Arial" w:hAnsi="Arial" w:cs="Arial"/>
          <w:sz w:val="20"/>
          <w:szCs w:val="20"/>
          <w:lang w:val="en-US"/>
        </w:rPr>
        <w:t xml:space="preserve">) Representative case (#1 in </w:t>
      </w:r>
      <w:r>
        <w:rPr>
          <w:rFonts w:ascii="Arial" w:hAnsi="Arial" w:cs="Arial"/>
          <w:b/>
          <w:bCs/>
          <w:sz w:val="20"/>
          <w:szCs w:val="20"/>
          <w:lang w:val="en-US"/>
        </w:rPr>
        <w:t xml:space="preserve">Fig. </w:t>
      </w:r>
      <w:r w:rsidR="008C3EC5">
        <w:rPr>
          <w:rFonts w:ascii="Arial" w:hAnsi="Arial" w:cs="Arial"/>
          <w:b/>
          <w:bCs/>
          <w:sz w:val="20"/>
          <w:szCs w:val="20"/>
          <w:lang w:val="en-US"/>
        </w:rPr>
        <w:t>6</w:t>
      </w:r>
      <w:r>
        <w:rPr>
          <w:rFonts w:ascii="Arial" w:hAnsi="Arial" w:cs="Arial"/>
          <w:b/>
          <w:bCs/>
          <w:sz w:val="20"/>
          <w:szCs w:val="20"/>
          <w:lang w:val="en-US"/>
        </w:rPr>
        <w:t>A</w:t>
      </w:r>
      <w:r>
        <w:rPr>
          <w:rFonts w:ascii="Arial" w:hAnsi="Arial" w:cs="Arial"/>
          <w:sz w:val="20"/>
          <w:szCs w:val="20"/>
          <w:lang w:val="en-US"/>
        </w:rPr>
        <w:t>) illustrating high regional agreement of TSPO and FET PET hotspot regions, whereas TREM2 PET signal enhancement localized to a separate hotspot.</w:t>
      </w:r>
    </w:p>
    <w:p w14:paraId="31DEC696" w14:textId="77777777" w:rsidR="00692D05" w:rsidRDefault="00692D05">
      <w:pPr>
        <w:tabs>
          <w:tab w:val="left" w:pos="1189"/>
        </w:tabs>
        <w:rPr>
          <w:lang w:val="en-US"/>
        </w:rPr>
      </w:pPr>
    </w:p>
    <w:p w14:paraId="4A7537C4" w14:textId="77777777" w:rsidR="00692D05" w:rsidRDefault="00692D05">
      <w:pPr>
        <w:tabs>
          <w:tab w:val="left" w:pos="1189"/>
        </w:tabs>
        <w:rPr>
          <w:lang w:val="en-US"/>
        </w:rPr>
      </w:pPr>
    </w:p>
    <w:p w14:paraId="0DE93ACA" w14:textId="77777777" w:rsidR="00692D05" w:rsidRDefault="00692D05">
      <w:pPr>
        <w:tabs>
          <w:tab w:val="left" w:pos="1189"/>
        </w:tabs>
        <w:rPr>
          <w:lang w:val="en-US"/>
        </w:rPr>
      </w:pPr>
    </w:p>
    <w:p w14:paraId="47811007" w14:textId="77777777" w:rsidR="00692D05" w:rsidRDefault="00692D05">
      <w:pPr>
        <w:tabs>
          <w:tab w:val="left" w:pos="1189"/>
        </w:tabs>
        <w:rPr>
          <w:lang w:val="en-US"/>
        </w:rPr>
      </w:pPr>
    </w:p>
    <w:p w14:paraId="3D50C2AC" w14:textId="77777777" w:rsidR="00692D05" w:rsidRDefault="00692D05">
      <w:pPr>
        <w:tabs>
          <w:tab w:val="left" w:pos="1189"/>
        </w:tabs>
        <w:rPr>
          <w:lang w:val="en-US"/>
        </w:rPr>
      </w:pPr>
    </w:p>
    <w:p w14:paraId="5E490A10" w14:textId="77777777" w:rsidR="00692D05" w:rsidRDefault="00692D05">
      <w:pPr>
        <w:tabs>
          <w:tab w:val="left" w:pos="1189"/>
        </w:tabs>
        <w:rPr>
          <w:lang w:val="en-US"/>
        </w:rPr>
      </w:pPr>
    </w:p>
    <w:p w14:paraId="3313EFE4" w14:textId="77777777" w:rsidR="00692D05" w:rsidRDefault="00692D05">
      <w:pPr>
        <w:tabs>
          <w:tab w:val="left" w:pos="1189"/>
        </w:tabs>
        <w:rPr>
          <w:lang w:val="en-US"/>
        </w:rPr>
      </w:pPr>
    </w:p>
    <w:p w14:paraId="1EE6BCC5" w14:textId="77777777" w:rsidR="00692D05" w:rsidRDefault="00692D05">
      <w:pPr>
        <w:tabs>
          <w:tab w:val="left" w:pos="1189"/>
        </w:tabs>
        <w:rPr>
          <w:lang w:val="en-US"/>
        </w:rPr>
      </w:pPr>
    </w:p>
    <w:p w14:paraId="14E49B39" w14:textId="77777777" w:rsidR="00692D05" w:rsidRDefault="00692D05">
      <w:pPr>
        <w:tabs>
          <w:tab w:val="left" w:pos="1189"/>
        </w:tabs>
        <w:rPr>
          <w:lang w:val="en-US"/>
        </w:rPr>
      </w:pPr>
    </w:p>
    <w:p w14:paraId="2123A264" w14:textId="77777777" w:rsidR="00692D05" w:rsidRDefault="00692D05">
      <w:pPr>
        <w:tabs>
          <w:tab w:val="left" w:pos="1189"/>
        </w:tabs>
        <w:rPr>
          <w:lang w:val="en-US"/>
        </w:rPr>
      </w:pPr>
    </w:p>
    <w:p w14:paraId="6F199125" w14:textId="77777777" w:rsidR="00692D05" w:rsidRDefault="00692D05">
      <w:pPr>
        <w:tabs>
          <w:tab w:val="left" w:pos="1189"/>
        </w:tabs>
        <w:rPr>
          <w:lang w:val="en-US"/>
        </w:rPr>
      </w:pPr>
    </w:p>
    <w:p w14:paraId="42E228D6" w14:textId="77777777" w:rsidR="00692D05" w:rsidRDefault="00692D05">
      <w:pPr>
        <w:tabs>
          <w:tab w:val="left" w:pos="1189"/>
        </w:tabs>
        <w:rPr>
          <w:lang w:val="en-US"/>
        </w:rPr>
      </w:pPr>
    </w:p>
    <w:p w14:paraId="79455EE6" w14:textId="77777777" w:rsidR="00692D05" w:rsidRDefault="00692D05">
      <w:pPr>
        <w:tabs>
          <w:tab w:val="left" w:pos="1189"/>
        </w:tabs>
        <w:rPr>
          <w:lang w:val="en-US"/>
        </w:rPr>
      </w:pPr>
    </w:p>
    <w:p w14:paraId="7556907E" w14:textId="77777777" w:rsidR="00692D05" w:rsidRDefault="00692D05">
      <w:pPr>
        <w:tabs>
          <w:tab w:val="left" w:pos="1189"/>
        </w:tabs>
        <w:rPr>
          <w:lang w:val="en-US"/>
        </w:rPr>
      </w:pPr>
    </w:p>
    <w:p w14:paraId="14F22431" w14:textId="77777777" w:rsidR="00692D05" w:rsidRDefault="00692D05">
      <w:pPr>
        <w:tabs>
          <w:tab w:val="left" w:pos="1189"/>
        </w:tabs>
        <w:rPr>
          <w:lang w:val="en-US"/>
        </w:rPr>
      </w:pPr>
    </w:p>
    <w:p w14:paraId="28632D5D" w14:textId="77777777" w:rsidR="00692D05" w:rsidRDefault="00692D05">
      <w:pPr>
        <w:tabs>
          <w:tab w:val="left" w:pos="1189"/>
        </w:tabs>
        <w:rPr>
          <w:lang w:val="en-US"/>
        </w:rPr>
      </w:pPr>
    </w:p>
    <w:p w14:paraId="6E6E4A10" w14:textId="77777777" w:rsidR="00692D05" w:rsidRDefault="00C74E3D">
      <w:pPr>
        <w:jc w:val="both"/>
        <w:rPr>
          <w:rFonts w:ascii="Arial" w:hAnsi="Arial" w:cs="Arial"/>
          <w:b/>
          <w:bCs/>
          <w:lang w:val="en-US"/>
        </w:rPr>
      </w:pPr>
      <w:r>
        <w:rPr>
          <w:rFonts w:ascii="Arial" w:hAnsi="Arial" w:cs="Arial"/>
          <w:b/>
          <w:bCs/>
          <w:lang w:val="en-US"/>
        </w:rPr>
        <w:lastRenderedPageBreak/>
        <w:t>References</w:t>
      </w:r>
    </w:p>
    <w:p w14:paraId="32061779" w14:textId="406CB3F7" w:rsidR="00870DCE" w:rsidRPr="00870DCE" w:rsidRDefault="00C74E3D" w:rsidP="00870DCE">
      <w:pPr>
        <w:pStyle w:val="EndNoteBibliography"/>
        <w:spacing w:after="0"/>
        <w:ind w:left="720" w:hanging="720"/>
      </w:pPr>
      <w:r>
        <w:rPr>
          <w:rFonts w:ascii="Arial" w:hAnsi="Arial" w:cs="Arial"/>
          <w:i/>
          <w:iCs/>
          <w:sz w:val="20"/>
          <w:szCs w:val="20"/>
          <w:highlight w:val="yellow"/>
        </w:rPr>
        <w:fldChar w:fldCharType="begin"/>
      </w:r>
      <w:r>
        <w:rPr>
          <w:rFonts w:ascii="Arial" w:hAnsi="Arial" w:cs="Arial"/>
          <w:i/>
          <w:iCs/>
          <w:sz w:val="20"/>
          <w:szCs w:val="20"/>
          <w:highlight w:val="yellow"/>
        </w:rPr>
        <w:instrText xml:space="preserve"> ADDIN EN.REFLIST </w:instrText>
      </w:r>
      <w:r>
        <w:rPr>
          <w:rFonts w:ascii="Arial" w:hAnsi="Arial" w:cs="Arial"/>
          <w:i/>
          <w:iCs/>
          <w:sz w:val="20"/>
          <w:szCs w:val="20"/>
          <w:highlight w:val="yellow"/>
        </w:rPr>
        <w:fldChar w:fldCharType="separate"/>
      </w:r>
      <w:r w:rsidR="00870DCE" w:rsidRPr="00870DCE">
        <w:t>1</w:t>
      </w:r>
      <w:r w:rsidR="00870DCE" w:rsidRPr="00870DCE">
        <w:tab/>
        <w:t>Maire, C. L.</w:t>
      </w:r>
      <w:r w:rsidR="00870DCE" w:rsidRPr="00870DCE">
        <w:rPr>
          <w:i/>
        </w:rPr>
        <w:t xml:space="preserve"> et al.</w:t>
      </w:r>
      <w:r w:rsidR="00870DCE" w:rsidRPr="00870DCE">
        <w:t xml:space="preserve"> Glioma escape signature and clonal development under immune pressure. </w:t>
      </w:r>
      <w:r w:rsidR="00870DCE" w:rsidRPr="00870DCE">
        <w:rPr>
          <w:i/>
        </w:rPr>
        <w:t>J Clin Invest</w:t>
      </w:r>
      <w:r w:rsidR="00870DCE" w:rsidRPr="00870DCE">
        <w:t xml:space="preserve"> </w:t>
      </w:r>
      <w:r w:rsidR="00870DCE" w:rsidRPr="00870DCE">
        <w:rPr>
          <w:b/>
        </w:rPr>
        <w:t>130</w:t>
      </w:r>
      <w:r w:rsidR="00870DCE" w:rsidRPr="00870DCE">
        <w:t xml:space="preserve">, 5257-5271 (2020). </w:t>
      </w:r>
      <w:hyperlink r:id="rId13" w:history="1">
        <w:r w:rsidR="00870DCE" w:rsidRPr="00870DCE">
          <w:rPr>
            <w:rStyle w:val="Hyperlink"/>
          </w:rPr>
          <w:t>https://doi.org/10.1172/JCI138760</w:t>
        </w:r>
      </w:hyperlink>
    </w:p>
    <w:p w14:paraId="0DBBA78A" w14:textId="64CE933E" w:rsidR="00870DCE" w:rsidRPr="00870DCE" w:rsidRDefault="00870DCE" w:rsidP="00870DCE">
      <w:pPr>
        <w:pStyle w:val="EndNoteBibliography"/>
        <w:ind w:left="720" w:hanging="720"/>
      </w:pPr>
      <w:r w:rsidRPr="00870DCE">
        <w:t>2</w:t>
      </w:r>
      <w:r w:rsidRPr="00870DCE">
        <w:tab/>
        <w:t>van Lengerich, B.</w:t>
      </w:r>
      <w:r w:rsidRPr="00870DCE">
        <w:rPr>
          <w:i/>
        </w:rPr>
        <w:t xml:space="preserve"> et al.</w:t>
      </w:r>
      <w:r w:rsidRPr="00870DCE">
        <w:t xml:space="preserve"> A TREM2-activating antibody with a blood-brain barrier transport vehicle enhances microglial metabolism in Alzheimer's disease models. </w:t>
      </w:r>
      <w:r w:rsidRPr="00870DCE">
        <w:rPr>
          <w:i/>
        </w:rPr>
        <w:t>Nat Neurosci</w:t>
      </w:r>
      <w:r w:rsidRPr="00870DCE">
        <w:t xml:space="preserve"> (2023). </w:t>
      </w:r>
      <w:hyperlink r:id="rId14" w:history="1">
        <w:r w:rsidRPr="00870DCE">
          <w:rPr>
            <w:rStyle w:val="Hyperlink"/>
          </w:rPr>
          <w:t>https://doi.org/10.1038/s41593-022-01240-0</w:t>
        </w:r>
      </w:hyperlink>
    </w:p>
    <w:p w14:paraId="4F9D9D4F" w14:textId="7AEDBEBF" w:rsidR="00692D05" w:rsidRDefault="00C74E3D">
      <w:pPr>
        <w:rPr>
          <w:highlight w:val="yellow"/>
          <w:lang w:val="en-US"/>
        </w:rPr>
      </w:pPr>
      <w:r>
        <w:rPr>
          <w:highlight w:val="yellow"/>
          <w:lang w:val="en-US"/>
        </w:rPr>
        <w:fldChar w:fldCharType="end"/>
      </w:r>
    </w:p>
    <w:p w14:paraId="6CA8CC6B" w14:textId="77777777" w:rsidR="00692D05" w:rsidRDefault="00692D05">
      <w:pPr>
        <w:rPr>
          <w:highlight w:val="yellow"/>
          <w:lang w:val="en-US"/>
        </w:rPr>
      </w:pPr>
    </w:p>
    <w:p w14:paraId="22B71437" w14:textId="77777777" w:rsidR="00692D05" w:rsidRDefault="00692D05">
      <w:pPr>
        <w:tabs>
          <w:tab w:val="left" w:pos="1189"/>
        </w:tabs>
        <w:rPr>
          <w:lang w:val="en-US"/>
        </w:rPr>
      </w:pPr>
    </w:p>
    <w:sectPr w:rsidR="00692D05">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749B8"/>
    <w:multiLevelType w:val="hybridMultilevel"/>
    <w:tmpl w:val="FA66A56E"/>
    <w:lvl w:ilvl="0" w:tplc="E5126A8C">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6715B40"/>
    <w:multiLevelType w:val="hybridMultilevel"/>
    <w:tmpl w:val="7418284A"/>
    <w:lvl w:ilvl="0" w:tplc="70D8A95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687139F"/>
    <w:multiLevelType w:val="hybridMultilevel"/>
    <w:tmpl w:val="1C624D96"/>
    <w:lvl w:ilvl="0" w:tplc="4B265018">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01B1D38"/>
    <w:multiLevelType w:val="hybridMultilevel"/>
    <w:tmpl w:val="AE384B8E"/>
    <w:lvl w:ilvl="0" w:tplc="BE5693B2">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4AA7182"/>
    <w:multiLevelType w:val="hybridMultilevel"/>
    <w:tmpl w:val="52CEFE5A"/>
    <w:lvl w:ilvl="0" w:tplc="FFFFFFFF">
      <w:start w:val="1"/>
      <w:numFmt w:val="upperLetter"/>
      <w:lvlText w:val="(%1)"/>
      <w:lvlJc w:val="left"/>
      <w:pPr>
        <w:ind w:left="1080" w:hanging="360"/>
      </w:pPr>
      <w:rPr>
        <w:rFonts w:ascii="Arial" w:eastAsiaTheme="minorHAnsi" w:hAnsi="Arial" w:cs="Arial"/>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CB030A4"/>
    <w:multiLevelType w:val="multilevel"/>
    <w:tmpl w:val="52CEFE5A"/>
    <w:styleLink w:val="AktuelleListe1"/>
    <w:lvl w:ilvl="0">
      <w:start w:val="1"/>
      <w:numFmt w:val="upperLetter"/>
      <w:lvlText w:val="(%1)"/>
      <w:lvlJc w:val="left"/>
      <w:pPr>
        <w:ind w:left="1080" w:hanging="360"/>
      </w:pPr>
      <w:rPr>
        <w:rFonts w:ascii="Arial" w:eastAsiaTheme="minorHAnsi" w:hAnsi="Arial" w:cs="Arial"/>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15:restartNumberingAfterBreak="0">
    <w:nsid w:val="21EA3970"/>
    <w:multiLevelType w:val="hybridMultilevel"/>
    <w:tmpl w:val="419C7A76"/>
    <w:lvl w:ilvl="0" w:tplc="D88E7C68">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96F3BD2"/>
    <w:multiLevelType w:val="hybridMultilevel"/>
    <w:tmpl w:val="30C4252A"/>
    <w:lvl w:ilvl="0" w:tplc="2E0E37E6">
      <w:start w:val="1"/>
      <w:numFmt w:val="upperLetter"/>
      <w:lvlText w:val="(%1)"/>
      <w:lvlJc w:val="left"/>
      <w:pPr>
        <w:ind w:left="1080" w:hanging="360"/>
      </w:pPr>
      <w:rPr>
        <w:rFonts w:ascii="Arial" w:eastAsiaTheme="minorHAnsi" w:hAnsi="Arial" w:cs="Arial"/>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15:restartNumberingAfterBreak="0">
    <w:nsid w:val="311C47E9"/>
    <w:multiLevelType w:val="hybridMultilevel"/>
    <w:tmpl w:val="F092971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229535D"/>
    <w:multiLevelType w:val="hybridMultilevel"/>
    <w:tmpl w:val="16CE4F54"/>
    <w:lvl w:ilvl="0" w:tplc="1242F3B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6B1300C8"/>
    <w:multiLevelType w:val="hybridMultilevel"/>
    <w:tmpl w:val="3E1C3EA4"/>
    <w:lvl w:ilvl="0" w:tplc="244A792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70C75A94"/>
    <w:multiLevelType w:val="hybridMultilevel"/>
    <w:tmpl w:val="1DB27F82"/>
    <w:lvl w:ilvl="0" w:tplc="216A5BF4">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75017C83"/>
    <w:multiLevelType w:val="hybridMultilevel"/>
    <w:tmpl w:val="9594FCDE"/>
    <w:lvl w:ilvl="0" w:tplc="54BE853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7C4D6857"/>
    <w:multiLevelType w:val="hybridMultilevel"/>
    <w:tmpl w:val="234EE0DC"/>
    <w:lvl w:ilvl="0" w:tplc="216A5BF4">
      <w:start w:val="1"/>
      <w:numFmt w:val="upp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num w:numId="1">
    <w:abstractNumId w:val="6"/>
  </w:num>
  <w:num w:numId="2">
    <w:abstractNumId w:val="12"/>
  </w:num>
  <w:num w:numId="3">
    <w:abstractNumId w:val="0"/>
  </w:num>
  <w:num w:numId="4">
    <w:abstractNumId w:val="10"/>
  </w:num>
  <w:num w:numId="5">
    <w:abstractNumId w:val="2"/>
  </w:num>
  <w:num w:numId="6">
    <w:abstractNumId w:val="9"/>
  </w:num>
  <w:num w:numId="7">
    <w:abstractNumId w:val="3"/>
  </w:num>
  <w:num w:numId="8">
    <w:abstractNumId w:val="1"/>
  </w:num>
  <w:num w:numId="9">
    <w:abstractNumId w:val="11"/>
  </w:num>
  <w:num w:numId="10">
    <w:abstractNumId w:val="13"/>
  </w:num>
  <w:num w:numId="11">
    <w:abstractNumId w:val="7"/>
  </w:num>
  <w:num w:numId="12">
    <w:abstractNumId w:val="4"/>
  </w:num>
  <w:num w:numId="13">
    <w:abstractNumId w:val="5"/>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ptos&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zzafawsvswprxerpx8xred39ss9def22tsx&quot;&gt;2022_Library&lt;record-ids&gt;&lt;item&gt;395&lt;/item&gt;&lt;/record-ids&gt;&lt;/item&gt;&lt;/Libraries&gt;"/>
  </w:docVars>
  <w:rsids>
    <w:rsidRoot w:val="00692D05"/>
    <w:rsid w:val="0011798A"/>
    <w:rsid w:val="001642F4"/>
    <w:rsid w:val="001F7988"/>
    <w:rsid w:val="00221515"/>
    <w:rsid w:val="00230914"/>
    <w:rsid w:val="00315CF6"/>
    <w:rsid w:val="00330DFC"/>
    <w:rsid w:val="00363AAC"/>
    <w:rsid w:val="003E49EE"/>
    <w:rsid w:val="00692D05"/>
    <w:rsid w:val="006B6FEB"/>
    <w:rsid w:val="00870DCE"/>
    <w:rsid w:val="008B26D4"/>
    <w:rsid w:val="008C3EC5"/>
    <w:rsid w:val="00906F0C"/>
    <w:rsid w:val="009927E6"/>
    <w:rsid w:val="00A04595"/>
    <w:rsid w:val="00A614C7"/>
    <w:rsid w:val="00B66BD2"/>
    <w:rsid w:val="00C74E3D"/>
    <w:rsid w:val="00E87A4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0CF3D5"/>
  <w15:chartTrackingRefBased/>
  <w15:docId w15:val="{8F2CF911-D023-4640-BC3B-B8D2CE320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semiHidden/>
    <w:unhideWhenUsed/>
    <w:qFormat/>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semiHidden/>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semiHidden/>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semiHidden/>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Pr>
      <w:rFonts w:eastAsiaTheme="majorEastAsia" w:cstheme="majorBidi"/>
      <w:color w:val="272727" w:themeColor="text1" w:themeTint="D8"/>
    </w:rPr>
  </w:style>
  <w:style w:type="paragraph" w:styleId="Titel">
    <w:name w:val="Title"/>
    <w:basedOn w:val="Standard"/>
    <w:next w:val="Standard"/>
    <w:link w:val="TitelZchn"/>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pPr>
      <w:numPr>
        <w:ilvl w:val="1"/>
      </w:numPr>
    </w:pPr>
    <w:rPr>
      <w:rFonts w:eastAsiaTheme="majorEastAsia"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pPr>
      <w:spacing w:before="160"/>
      <w:jc w:val="center"/>
    </w:pPr>
    <w:rPr>
      <w:i/>
      <w:iCs/>
      <w:color w:val="404040" w:themeColor="text1" w:themeTint="BF"/>
    </w:rPr>
  </w:style>
  <w:style w:type="character" w:customStyle="1" w:styleId="ZitatZchn">
    <w:name w:val="Zitat Zchn"/>
    <w:basedOn w:val="Absatz-Standardschriftart"/>
    <w:link w:val="Zitat"/>
    <w:uiPriority w:val="29"/>
    <w:rPr>
      <w:i/>
      <w:iCs/>
      <w:color w:val="404040" w:themeColor="text1" w:themeTint="BF"/>
    </w:rPr>
  </w:style>
  <w:style w:type="paragraph" w:styleId="Listenabsatz">
    <w:name w:val="List Paragraph"/>
    <w:basedOn w:val="Standard"/>
    <w:link w:val="ListenabsatzZchn"/>
    <w:uiPriority w:val="34"/>
    <w:qFormat/>
    <w:pPr>
      <w:ind w:left="720"/>
      <w:contextualSpacing/>
    </w:pPr>
  </w:style>
  <w:style w:type="character" w:styleId="IntensiveHervorhebung">
    <w:name w:val="Intense Emphasis"/>
    <w:basedOn w:val="Absatz-Standardschriftart"/>
    <w:uiPriority w:val="21"/>
    <w:qFormat/>
    <w:rPr>
      <w:i/>
      <w:iCs/>
      <w:color w:val="0F4761" w:themeColor="accent1" w:themeShade="BF"/>
    </w:rPr>
  </w:style>
  <w:style w:type="paragraph" w:styleId="IntensivesZitat">
    <w:name w:val="Intense Quote"/>
    <w:basedOn w:val="Standard"/>
    <w:next w:val="Standard"/>
    <w:link w:val="IntensivesZitatZchn"/>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ivesZitatZchn">
    <w:name w:val="Intensives Zitat Zchn"/>
    <w:basedOn w:val="Absatz-Standardschriftart"/>
    <w:link w:val="IntensivesZitat"/>
    <w:uiPriority w:val="30"/>
    <w:rPr>
      <w:i/>
      <w:iCs/>
      <w:color w:val="0F4761" w:themeColor="accent1" w:themeShade="BF"/>
    </w:rPr>
  </w:style>
  <w:style w:type="character" w:styleId="IntensiverVerweis">
    <w:name w:val="Intense Reference"/>
    <w:basedOn w:val="Absatz-Standardschriftart"/>
    <w:uiPriority w:val="32"/>
    <w:qFormat/>
    <w:rPr>
      <w:b/>
      <w:bCs/>
      <w:smallCaps/>
      <w:color w:val="0F4761" w:themeColor="accent1" w:themeShade="BF"/>
      <w:spacing w:val="5"/>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pPr>
      <w:spacing w:line="240" w:lineRule="auto"/>
    </w:pPr>
    <w:rPr>
      <w:sz w:val="20"/>
      <w:szCs w:val="20"/>
    </w:rPr>
  </w:style>
  <w:style w:type="character" w:customStyle="1" w:styleId="KommentartextZchn">
    <w:name w:val="Kommentartext Zchn"/>
    <w:basedOn w:val="Absatz-Standardschriftart"/>
    <w:link w:val="Kommentartext"/>
    <w:uiPriority w:val="99"/>
    <w:semiHidden/>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paragraph" w:customStyle="1" w:styleId="EndNoteBibliographyTitle">
    <w:name w:val="EndNote Bibliography Title"/>
    <w:basedOn w:val="Standard"/>
    <w:link w:val="EndNoteBibliographyTitleZchn"/>
    <w:pPr>
      <w:spacing w:after="0"/>
      <w:jc w:val="center"/>
    </w:pPr>
    <w:rPr>
      <w:rFonts w:ascii="Aptos" w:hAnsi="Aptos"/>
      <w:noProof/>
      <w:lang w:val="en-US"/>
    </w:rPr>
  </w:style>
  <w:style w:type="character" w:customStyle="1" w:styleId="ListenabsatzZchn">
    <w:name w:val="Listenabsatz Zchn"/>
    <w:basedOn w:val="Absatz-Standardschriftart"/>
    <w:link w:val="Listenabsatz"/>
    <w:uiPriority w:val="34"/>
  </w:style>
  <w:style w:type="character" w:customStyle="1" w:styleId="EndNoteBibliographyTitleZchn">
    <w:name w:val="EndNote Bibliography Title Zchn"/>
    <w:basedOn w:val="ListenabsatzZchn"/>
    <w:link w:val="EndNoteBibliographyTitle"/>
    <w:rPr>
      <w:rFonts w:ascii="Aptos" w:hAnsi="Aptos"/>
      <w:noProof/>
      <w:lang w:val="en-US"/>
    </w:rPr>
  </w:style>
  <w:style w:type="paragraph" w:customStyle="1" w:styleId="EndNoteBibliography">
    <w:name w:val="EndNote Bibliography"/>
    <w:basedOn w:val="Standard"/>
    <w:link w:val="EndNoteBibliographyZchn"/>
    <w:pPr>
      <w:spacing w:line="240" w:lineRule="auto"/>
      <w:jc w:val="both"/>
    </w:pPr>
    <w:rPr>
      <w:rFonts w:ascii="Aptos" w:hAnsi="Aptos"/>
      <w:noProof/>
      <w:lang w:val="en-US"/>
    </w:rPr>
  </w:style>
  <w:style w:type="character" w:customStyle="1" w:styleId="EndNoteBibliographyZchn">
    <w:name w:val="EndNote Bibliography Zchn"/>
    <w:basedOn w:val="ListenabsatzZchn"/>
    <w:link w:val="EndNoteBibliography"/>
    <w:rPr>
      <w:rFonts w:ascii="Aptos" w:hAnsi="Aptos"/>
      <w:noProof/>
      <w:lang w:val="en-US"/>
    </w:rPr>
  </w:style>
  <w:style w:type="character" w:styleId="Hyperlink">
    <w:name w:val="Hyperlink"/>
    <w:basedOn w:val="Absatz-Standardschriftart"/>
    <w:uiPriority w:val="99"/>
    <w:unhideWhenUsed/>
    <w:rPr>
      <w:color w:val="467886" w:themeColor="hyperlink"/>
      <w:u w:val="single"/>
    </w:rPr>
  </w:style>
  <w:style w:type="character" w:styleId="NichtaufgelsteErwhnung">
    <w:name w:val="Unresolved Mention"/>
    <w:basedOn w:val="Absatz-Standardschriftart"/>
    <w:uiPriority w:val="99"/>
    <w:semiHidden/>
    <w:unhideWhenUsed/>
    <w:rPr>
      <w:color w:val="605E5C"/>
      <w:shd w:val="clear" w:color="auto" w:fill="E1DFDD"/>
    </w:rPr>
  </w:style>
  <w:style w:type="paragraph" w:styleId="StandardWeb">
    <w:name w:val="Normal (Web)"/>
    <w:basedOn w:val="Standard"/>
    <w:uiPriority w:val="99"/>
    <w:semiHidden/>
    <w:unhideWhenUsed/>
    <w:pPr>
      <w:spacing w:before="100" w:beforeAutospacing="1" w:after="100" w:afterAutospacing="1" w:line="240" w:lineRule="auto"/>
    </w:pPr>
    <w:rPr>
      <w:rFonts w:ascii="Times New Roman" w:eastAsia="Times New Roman" w:hAnsi="Times New Roman" w:cs="Times New Roman"/>
      <w:kern w:val="0"/>
      <w:sz w:val="24"/>
      <w:szCs w:val="24"/>
      <w:lang w:eastAsia="de-DE"/>
      <w14:ligatures w14:val="none"/>
    </w:rPr>
  </w:style>
  <w:style w:type="numbering" w:customStyle="1" w:styleId="AktuelleListe1">
    <w:name w:val="Aktuelle Liste1"/>
    <w:uiPriority w:val="99"/>
    <w:pPr>
      <w:numPr>
        <w:numId w:val="13"/>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76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hyperlink" Target="https://doi.org/10.1172/JCI138760" TargetMode="External"/><Relationship Id="rId3" Type="http://schemas.openxmlformats.org/officeDocument/2006/relationships/styles" Target="style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hyperlink" Target="https://doi.org/10.1038/s41593-022-01240-0"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37978-F7E6-4096-851B-E355BA163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1791</Words>
  <Characters>11290</Characters>
  <Application>Microsoft Office Word</Application>
  <DocSecurity>0</DocSecurity>
  <Lines>94</Lines>
  <Paragraphs>26</Paragraphs>
  <ScaleCrop>false</ScaleCrop>
  <HeadingPairs>
    <vt:vector size="2" baseType="variant">
      <vt:variant>
        <vt:lpstr>Titel</vt:lpstr>
      </vt:variant>
      <vt:variant>
        <vt:i4>1</vt:i4>
      </vt:variant>
    </vt:vector>
  </HeadingPairs>
  <TitlesOfParts>
    <vt:vector size="1" baseType="lpstr">
      <vt:lpstr/>
    </vt:vector>
  </TitlesOfParts>
  <Company>LMU Klinikum</Company>
  <LinksUpToDate>false</LinksUpToDate>
  <CharactersWithSpaces>13055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Bartos, Laura</dc:creator>
  <cp:keywords/>
  <dc:description/>
  <cp:lastModifiedBy>Matthias Brendel</cp:lastModifiedBy>
  <cp:revision>5</cp:revision>
  <dcterms:created xsi:type="dcterms:W3CDTF">2026-01-17T10:08:00Z</dcterms:created>
  <dcterms:modified xsi:type="dcterms:W3CDTF">2026-01-17T15:13:00Z</dcterms:modified>
</cp:coreProperties>
</file>