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45370" w14:textId="77777777" w:rsidR="00724F1B" w:rsidRDefault="00724F1B" w:rsidP="00724F1B">
      <w:pPr>
        <w:spacing w:line="480" w:lineRule="auto"/>
        <w:rPr>
          <w:lang w:val="en-US"/>
        </w:rPr>
      </w:pPr>
      <w:r>
        <w:rPr>
          <w:lang w:val="en-US"/>
        </w:rPr>
        <w:t>Supplementary appendix</w:t>
      </w:r>
    </w:p>
    <w:p w14:paraId="09E1C33C" w14:textId="77777777" w:rsidR="00724F1B" w:rsidRDefault="00724F1B" w:rsidP="00724F1B">
      <w:pPr>
        <w:rPr>
          <w:lang w:val="en-US"/>
        </w:rPr>
      </w:pPr>
      <w:r>
        <w:rPr>
          <w:lang w:val="en-US"/>
        </w:rPr>
        <w:br w:type="page"/>
      </w:r>
    </w:p>
    <w:p w14:paraId="350B9C94" w14:textId="77777777" w:rsidR="00724F1B" w:rsidRDefault="00724F1B" w:rsidP="00724F1B">
      <w:pPr>
        <w:spacing w:line="480" w:lineRule="auto"/>
        <w:rPr>
          <w:lang w:val="en-US"/>
        </w:rPr>
      </w:pPr>
      <w:r>
        <w:rPr>
          <w:lang w:val="en-US"/>
        </w:rPr>
        <w:lastRenderedPageBreak/>
        <w:t>Supplementary Method</w:t>
      </w:r>
    </w:p>
    <w:p w14:paraId="1982B40F" w14:textId="77777777" w:rsidR="00724F1B" w:rsidRDefault="00724F1B" w:rsidP="00724F1B">
      <w:pPr>
        <w:spacing w:line="480" w:lineRule="auto"/>
        <w:rPr>
          <w:lang w:val="en-US"/>
        </w:rPr>
      </w:pPr>
      <w:r>
        <w:rPr>
          <w:lang w:val="en-US"/>
        </w:rPr>
        <w:t>Luminex assay</w:t>
      </w:r>
    </w:p>
    <w:p w14:paraId="46425234" w14:textId="77777777" w:rsidR="00724F1B" w:rsidRDefault="00724F1B" w:rsidP="00724F1B">
      <w:pPr>
        <w:spacing w:line="480" w:lineRule="auto"/>
        <w:rPr>
          <w:lang w:val="en-US"/>
        </w:rPr>
      </w:pPr>
      <w:r w:rsidRPr="000C07B8">
        <w:rPr>
          <w:lang w:val="en-US"/>
        </w:rPr>
        <w:t>Recombinant MPXV antigens A29, A35, H3, and M1, as well as VACV antigens A27, A33, and B5, were procured from Sino Biological (product codes 40891V08E, 40886V08H, 40893V08H1, 40904V07H, 40897V07E, 40896V07E, 40900V08H). Recombinant MPXV antigens B2 and A27 were sourced from Abbexa (product codes ABX620113, ABX620105), and recombinant MPXV antigen A5 was obtained from The Native Antigen Company (product code REC32033). Antigens were coupled to MagPlex Microspheres (DiaSorin; product code MC100##) using the xMAP Antibody Coupling Kit (DiaSorin; product code 40-50016), with 2×10^6 microspheres per 200 pmol antigen, each on a unique bead region. Beads were resuspended to 2×10^6 beads/ml, counted (Countess II, Thermo Scientific), and stored at 4°C. Samples diluted 1:400 in Wash Solution (Thermo Scientific; product code WB04) were incubated with 1,000 beads/well for 1 h at room temperature, light-protected, on a shaker. After washing, beads were incubated with R-Phycoerythrin AffiniPure F(ab')₂ Goat Anti-Human IgG (Jackson ImmunoResearch; product code 109-116-097) for 1 h under identical conditions. After washing, antigen-antibody reactions were read on an INTELLIFLEX system (DiaSorin)</w:t>
      </w:r>
      <w:r>
        <w:rPr>
          <w:lang w:val="en-US"/>
        </w:rPr>
        <w:t xml:space="preserve"> </w:t>
      </w:r>
      <w:r w:rsidRPr="000C07B8">
        <w:rPr>
          <w:lang w:val="en-US"/>
        </w:rPr>
        <w:t>with a minimum bead count of 100 per well per region</w:t>
      </w:r>
      <w:r>
        <w:rPr>
          <w:lang w:val="en-US"/>
        </w:rPr>
        <w:t>.</w:t>
      </w:r>
    </w:p>
    <w:p w14:paraId="79587BEA" w14:textId="77777777" w:rsidR="00724F1B" w:rsidRDefault="00724F1B" w:rsidP="00724F1B">
      <w:pPr>
        <w:spacing w:line="480" w:lineRule="auto"/>
        <w:rPr>
          <w:lang w:val="en-US"/>
        </w:rPr>
      </w:pPr>
    </w:p>
    <w:p w14:paraId="5296B6D8" w14:textId="77777777" w:rsidR="00724F1B" w:rsidRDefault="00724F1B" w:rsidP="00724F1B">
      <w:pPr>
        <w:rPr>
          <w:lang w:val="en-US"/>
        </w:rPr>
      </w:pPr>
      <w:r>
        <w:rPr>
          <w:lang w:val="en-US"/>
        </w:rPr>
        <w:br w:type="page"/>
      </w:r>
    </w:p>
    <w:p w14:paraId="7AF1599A" w14:textId="77777777" w:rsidR="00724F1B" w:rsidRDefault="00724F1B" w:rsidP="00724F1B">
      <w:pPr>
        <w:spacing w:line="480" w:lineRule="auto"/>
        <w:rPr>
          <w:lang w:val="en-US"/>
        </w:rPr>
      </w:pPr>
    </w:p>
    <w:tbl>
      <w:tblPr>
        <w:tblStyle w:val="TableGridLight"/>
        <w:tblW w:w="9936" w:type="dxa"/>
        <w:tblLayout w:type="fixed"/>
        <w:tblLook w:val="04A0" w:firstRow="1" w:lastRow="0" w:firstColumn="1" w:lastColumn="0" w:noHBand="0" w:noVBand="1"/>
      </w:tblPr>
      <w:tblGrid>
        <w:gridCol w:w="2547"/>
        <w:gridCol w:w="1134"/>
        <w:gridCol w:w="1276"/>
        <w:gridCol w:w="1275"/>
        <w:gridCol w:w="1134"/>
        <w:gridCol w:w="1276"/>
        <w:gridCol w:w="1294"/>
      </w:tblGrid>
      <w:tr w:rsidR="00724F1B" w:rsidRPr="00743E26" w14:paraId="6E14D73D" w14:textId="77777777" w:rsidTr="00531F6A">
        <w:trPr>
          <w:trHeight w:val="495"/>
        </w:trPr>
        <w:tc>
          <w:tcPr>
            <w:tcW w:w="9936" w:type="dxa"/>
            <w:gridSpan w:val="7"/>
          </w:tcPr>
          <w:p w14:paraId="180760AF" w14:textId="77777777" w:rsidR="00724F1B" w:rsidRPr="00621EB0" w:rsidRDefault="00724F1B" w:rsidP="00531F6A">
            <w:pPr>
              <w:spacing w:line="480" w:lineRule="auto"/>
              <w:rPr>
                <w:b/>
                <w:bCs/>
                <w:lang w:val="en-US"/>
              </w:rPr>
            </w:pPr>
            <w:r>
              <w:rPr>
                <w:b/>
                <w:bCs/>
                <w:lang w:val="en-US"/>
              </w:rPr>
              <w:t xml:space="preserve">Supplementary table 1. </w:t>
            </w:r>
            <w:r w:rsidRPr="00621EB0">
              <w:rPr>
                <w:b/>
                <w:bCs/>
                <w:lang w:val="en-US"/>
              </w:rPr>
              <w:t>Doses received by population and year or birth</w:t>
            </w:r>
          </w:p>
        </w:tc>
      </w:tr>
      <w:tr w:rsidR="00724F1B" w:rsidRPr="002B2884" w14:paraId="1B0EC02D" w14:textId="77777777" w:rsidTr="00531F6A">
        <w:trPr>
          <w:trHeight w:val="495"/>
        </w:trPr>
        <w:tc>
          <w:tcPr>
            <w:tcW w:w="2547" w:type="dxa"/>
            <w:hideMark/>
          </w:tcPr>
          <w:p w14:paraId="30922BCF" w14:textId="77777777" w:rsidR="00724F1B" w:rsidRPr="000E4648" w:rsidRDefault="00724F1B" w:rsidP="00531F6A">
            <w:pPr>
              <w:spacing w:line="480" w:lineRule="auto"/>
              <w:rPr>
                <w:lang w:val="en-US"/>
              </w:rPr>
            </w:pPr>
            <w:r w:rsidRPr="000E4648">
              <w:rPr>
                <w:lang w:val="en-US"/>
              </w:rPr>
              <w:t> </w:t>
            </w:r>
          </w:p>
        </w:tc>
        <w:tc>
          <w:tcPr>
            <w:tcW w:w="7389" w:type="dxa"/>
            <w:gridSpan w:val="6"/>
            <w:hideMark/>
          </w:tcPr>
          <w:p w14:paraId="72A7665C" w14:textId="77777777" w:rsidR="00724F1B" w:rsidRPr="000E4648" w:rsidRDefault="00724F1B" w:rsidP="00531F6A">
            <w:pPr>
              <w:spacing w:line="480" w:lineRule="auto"/>
              <w:jc w:val="center"/>
            </w:pPr>
            <w:r w:rsidRPr="000E4648">
              <w:t>Population</w:t>
            </w:r>
          </w:p>
        </w:tc>
      </w:tr>
      <w:tr w:rsidR="00724F1B" w:rsidRPr="002B2884" w14:paraId="6025063B" w14:textId="77777777" w:rsidTr="00531F6A">
        <w:trPr>
          <w:trHeight w:val="495"/>
        </w:trPr>
        <w:tc>
          <w:tcPr>
            <w:tcW w:w="2547" w:type="dxa"/>
            <w:hideMark/>
          </w:tcPr>
          <w:p w14:paraId="1FEF2F6E" w14:textId="77777777" w:rsidR="00724F1B" w:rsidRPr="000E4648" w:rsidRDefault="00724F1B" w:rsidP="00531F6A">
            <w:pPr>
              <w:spacing w:line="480" w:lineRule="auto"/>
            </w:pPr>
            <w:r w:rsidRPr="000E4648">
              <w:t> </w:t>
            </w:r>
          </w:p>
        </w:tc>
        <w:tc>
          <w:tcPr>
            <w:tcW w:w="3685" w:type="dxa"/>
            <w:gridSpan w:val="3"/>
            <w:hideMark/>
          </w:tcPr>
          <w:p w14:paraId="35FB4177" w14:textId="77777777" w:rsidR="00724F1B" w:rsidRPr="000E4648" w:rsidRDefault="00724F1B" w:rsidP="00531F6A">
            <w:pPr>
              <w:spacing w:line="480" w:lineRule="auto"/>
            </w:pPr>
            <w:r w:rsidRPr="000E4648">
              <w:t>PEP</w:t>
            </w:r>
          </w:p>
        </w:tc>
        <w:tc>
          <w:tcPr>
            <w:tcW w:w="3704" w:type="dxa"/>
            <w:gridSpan w:val="3"/>
            <w:hideMark/>
          </w:tcPr>
          <w:p w14:paraId="030B360B" w14:textId="77777777" w:rsidR="00724F1B" w:rsidRPr="000E4648" w:rsidRDefault="00724F1B" w:rsidP="00531F6A">
            <w:pPr>
              <w:spacing w:line="480" w:lineRule="auto"/>
            </w:pPr>
            <w:r w:rsidRPr="000E4648">
              <w:t>Pr</w:t>
            </w:r>
            <w:r>
              <w:t>E</w:t>
            </w:r>
            <w:r w:rsidRPr="000E4648">
              <w:t>P</w:t>
            </w:r>
          </w:p>
        </w:tc>
      </w:tr>
      <w:tr w:rsidR="00724F1B" w:rsidRPr="002B2884" w14:paraId="1F88C51D" w14:textId="77777777" w:rsidTr="00531F6A">
        <w:trPr>
          <w:trHeight w:val="989"/>
        </w:trPr>
        <w:tc>
          <w:tcPr>
            <w:tcW w:w="2547" w:type="dxa"/>
            <w:hideMark/>
          </w:tcPr>
          <w:p w14:paraId="076CF528" w14:textId="77777777" w:rsidR="00724F1B" w:rsidRPr="000E4648" w:rsidRDefault="00724F1B" w:rsidP="00531F6A">
            <w:pPr>
              <w:spacing w:line="480" w:lineRule="auto"/>
            </w:pPr>
            <w:r w:rsidRPr="000E4648">
              <w:t> </w:t>
            </w:r>
          </w:p>
        </w:tc>
        <w:tc>
          <w:tcPr>
            <w:tcW w:w="1134" w:type="dxa"/>
            <w:hideMark/>
          </w:tcPr>
          <w:p w14:paraId="7A05C357" w14:textId="77777777" w:rsidR="00724F1B" w:rsidRPr="000E4648" w:rsidRDefault="00724F1B" w:rsidP="00531F6A">
            <w:pPr>
              <w:spacing w:line="480" w:lineRule="auto"/>
            </w:pPr>
            <w:r w:rsidRPr="000E4648">
              <w:t>&lt; 1980 (N=10)</w:t>
            </w:r>
          </w:p>
        </w:tc>
        <w:tc>
          <w:tcPr>
            <w:tcW w:w="1276" w:type="dxa"/>
            <w:hideMark/>
          </w:tcPr>
          <w:p w14:paraId="4A23C934" w14:textId="77777777" w:rsidR="00724F1B" w:rsidRPr="000E4648" w:rsidRDefault="00724F1B" w:rsidP="00531F6A">
            <w:pPr>
              <w:spacing w:line="480" w:lineRule="auto"/>
            </w:pPr>
            <w:r w:rsidRPr="000E4648">
              <w:t>≥ 1980</w:t>
            </w:r>
            <w:r w:rsidRPr="000E4648">
              <w:br/>
              <w:t>(N=36)</w:t>
            </w:r>
          </w:p>
        </w:tc>
        <w:tc>
          <w:tcPr>
            <w:tcW w:w="1275" w:type="dxa"/>
            <w:hideMark/>
          </w:tcPr>
          <w:p w14:paraId="59EABF9C" w14:textId="77777777" w:rsidR="00724F1B" w:rsidRPr="000E4648" w:rsidRDefault="00724F1B" w:rsidP="00531F6A">
            <w:pPr>
              <w:spacing w:line="480" w:lineRule="auto"/>
            </w:pPr>
            <w:r w:rsidRPr="000E4648">
              <w:t>Total</w:t>
            </w:r>
            <w:r w:rsidRPr="000E4648">
              <w:br/>
              <w:t>(N=46)</w:t>
            </w:r>
          </w:p>
        </w:tc>
        <w:tc>
          <w:tcPr>
            <w:tcW w:w="1134" w:type="dxa"/>
            <w:hideMark/>
          </w:tcPr>
          <w:p w14:paraId="1DC596D8" w14:textId="77777777" w:rsidR="00724F1B" w:rsidRPr="000E4648" w:rsidRDefault="00724F1B" w:rsidP="00531F6A">
            <w:pPr>
              <w:spacing w:line="480" w:lineRule="auto"/>
            </w:pPr>
            <w:r w:rsidRPr="000E4648">
              <w:t>&lt; 1980</w:t>
            </w:r>
            <w:r w:rsidRPr="000E4648">
              <w:br/>
              <w:t>(N=38)</w:t>
            </w:r>
          </w:p>
        </w:tc>
        <w:tc>
          <w:tcPr>
            <w:tcW w:w="1276" w:type="dxa"/>
            <w:hideMark/>
          </w:tcPr>
          <w:p w14:paraId="4038A7C6" w14:textId="77777777" w:rsidR="00724F1B" w:rsidRPr="000E4648" w:rsidRDefault="00724F1B" w:rsidP="00531F6A">
            <w:pPr>
              <w:spacing w:line="480" w:lineRule="auto"/>
            </w:pPr>
            <w:r w:rsidRPr="000E4648">
              <w:t>≥ 1980</w:t>
            </w:r>
            <w:r w:rsidRPr="000E4648">
              <w:br/>
              <w:t>(N=72)</w:t>
            </w:r>
          </w:p>
        </w:tc>
        <w:tc>
          <w:tcPr>
            <w:tcW w:w="1294" w:type="dxa"/>
            <w:hideMark/>
          </w:tcPr>
          <w:p w14:paraId="58891F76" w14:textId="77777777" w:rsidR="00724F1B" w:rsidRPr="000E4648" w:rsidRDefault="00724F1B" w:rsidP="00531F6A">
            <w:pPr>
              <w:spacing w:line="480" w:lineRule="auto"/>
            </w:pPr>
            <w:r w:rsidRPr="000E4648">
              <w:t>Total</w:t>
            </w:r>
            <w:r w:rsidRPr="000E4648">
              <w:br/>
              <w:t>(N=110)</w:t>
            </w:r>
          </w:p>
        </w:tc>
      </w:tr>
      <w:tr w:rsidR="00724F1B" w:rsidRPr="00743E26" w14:paraId="687E6ED4" w14:textId="77777777" w:rsidTr="00531F6A">
        <w:trPr>
          <w:trHeight w:val="495"/>
        </w:trPr>
        <w:tc>
          <w:tcPr>
            <w:tcW w:w="2547" w:type="dxa"/>
            <w:hideMark/>
          </w:tcPr>
          <w:p w14:paraId="5CFEBBCE" w14:textId="77777777" w:rsidR="00724F1B" w:rsidRPr="000E4648" w:rsidRDefault="00724F1B" w:rsidP="00531F6A">
            <w:pPr>
              <w:spacing w:line="480" w:lineRule="auto"/>
              <w:rPr>
                <w:sz w:val="21"/>
                <w:szCs w:val="21"/>
                <w:lang w:val="en-US"/>
              </w:rPr>
            </w:pPr>
            <w:r w:rsidRPr="000E4648">
              <w:rPr>
                <w:sz w:val="21"/>
                <w:szCs w:val="21"/>
                <w:lang w:val="en-US"/>
              </w:rPr>
              <w:t>Total number of doses received, n (%)</w:t>
            </w:r>
          </w:p>
        </w:tc>
        <w:tc>
          <w:tcPr>
            <w:tcW w:w="1134" w:type="dxa"/>
            <w:hideMark/>
          </w:tcPr>
          <w:p w14:paraId="3377B89C" w14:textId="77777777" w:rsidR="00724F1B" w:rsidRPr="000E4648" w:rsidRDefault="00724F1B" w:rsidP="00531F6A">
            <w:pPr>
              <w:spacing w:line="480" w:lineRule="auto"/>
              <w:rPr>
                <w:lang w:val="en-US"/>
              </w:rPr>
            </w:pPr>
            <w:r w:rsidRPr="000E4648">
              <w:rPr>
                <w:lang w:val="en-US"/>
              </w:rPr>
              <w:t> </w:t>
            </w:r>
          </w:p>
        </w:tc>
        <w:tc>
          <w:tcPr>
            <w:tcW w:w="1276" w:type="dxa"/>
            <w:hideMark/>
          </w:tcPr>
          <w:p w14:paraId="12F20C4C" w14:textId="77777777" w:rsidR="00724F1B" w:rsidRPr="000E4648" w:rsidRDefault="00724F1B" w:rsidP="00531F6A">
            <w:pPr>
              <w:spacing w:line="480" w:lineRule="auto"/>
              <w:rPr>
                <w:lang w:val="en-US"/>
              </w:rPr>
            </w:pPr>
            <w:r w:rsidRPr="000E4648">
              <w:rPr>
                <w:lang w:val="en-US"/>
              </w:rPr>
              <w:t> </w:t>
            </w:r>
          </w:p>
        </w:tc>
        <w:tc>
          <w:tcPr>
            <w:tcW w:w="1275" w:type="dxa"/>
            <w:hideMark/>
          </w:tcPr>
          <w:p w14:paraId="6ACE67FE" w14:textId="77777777" w:rsidR="00724F1B" w:rsidRPr="000E4648" w:rsidRDefault="00724F1B" w:rsidP="00531F6A">
            <w:pPr>
              <w:spacing w:line="480" w:lineRule="auto"/>
              <w:rPr>
                <w:lang w:val="en-US"/>
              </w:rPr>
            </w:pPr>
            <w:r w:rsidRPr="000E4648">
              <w:rPr>
                <w:lang w:val="en-US"/>
              </w:rPr>
              <w:t> </w:t>
            </w:r>
          </w:p>
        </w:tc>
        <w:tc>
          <w:tcPr>
            <w:tcW w:w="1134" w:type="dxa"/>
            <w:hideMark/>
          </w:tcPr>
          <w:p w14:paraId="0B7877CF" w14:textId="77777777" w:rsidR="00724F1B" w:rsidRPr="000E4648" w:rsidRDefault="00724F1B" w:rsidP="00531F6A">
            <w:pPr>
              <w:spacing w:line="480" w:lineRule="auto"/>
              <w:rPr>
                <w:lang w:val="en-US"/>
              </w:rPr>
            </w:pPr>
            <w:r w:rsidRPr="000E4648">
              <w:rPr>
                <w:lang w:val="en-US"/>
              </w:rPr>
              <w:t> </w:t>
            </w:r>
          </w:p>
        </w:tc>
        <w:tc>
          <w:tcPr>
            <w:tcW w:w="1276" w:type="dxa"/>
            <w:hideMark/>
          </w:tcPr>
          <w:p w14:paraId="2798EF7B" w14:textId="77777777" w:rsidR="00724F1B" w:rsidRPr="000E4648" w:rsidRDefault="00724F1B" w:rsidP="00531F6A">
            <w:pPr>
              <w:spacing w:line="480" w:lineRule="auto"/>
              <w:rPr>
                <w:lang w:val="en-US"/>
              </w:rPr>
            </w:pPr>
            <w:r w:rsidRPr="000E4648">
              <w:rPr>
                <w:lang w:val="en-US"/>
              </w:rPr>
              <w:t> </w:t>
            </w:r>
          </w:p>
        </w:tc>
        <w:tc>
          <w:tcPr>
            <w:tcW w:w="1294" w:type="dxa"/>
            <w:hideMark/>
          </w:tcPr>
          <w:p w14:paraId="31280CC3" w14:textId="77777777" w:rsidR="00724F1B" w:rsidRPr="000E4648" w:rsidRDefault="00724F1B" w:rsidP="00531F6A">
            <w:pPr>
              <w:spacing w:line="480" w:lineRule="auto"/>
              <w:rPr>
                <w:lang w:val="en-US"/>
              </w:rPr>
            </w:pPr>
            <w:r w:rsidRPr="000E4648">
              <w:rPr>
                <w:lang w:val="en-US"/>
              </w:rPr>
              <w:t> </w:t>
            </w:r>
          </w:p>
        </w:tc>
      </w:tr>
      <w:tr w:rsidR="00724F1B" w:rsidRPr="002B2884" w14:paraId="102BDB53" w14:textId="77777777" w:rsidTr="00531F6A">
        <w:trPr>
          <w:trHeight w:val="495"/>
        </w:trPr>
        <w:tc>
          <w:tcPr>
            <w:tcW w:w="2547" w:type="dxa"/>
            <w:hideMark/>
          </w:tcPr>
          <w:p w14:paraId="556E9AA0" w14:textId="77777777" w:rsidR="00724F1B" w:rsidRPr="000E4648" w:rsidRDefault="00724F1B" w:rsidP="00531F6A">
            <w:pPr>
              <w:spacing w:line="480" w:lineRule="auto"/>
            </w:pPr>
            <w:r w:rsidRPr="000E4648">
              <w:t>1</w:t>
            </w:r>
          </w:p>
        </w:tc>
        <w:tc>
          <w:tcPr>
            <w:tcW w:w="1134" w:type="dxa"/>
            <w:vAlign w:val="bottom"/>
            <w:hideMark/>
          </w:tcPr>
          <w:p w14:paraId="0F2EBD47" w14:textId="77777777" w:rsidR="00724F1B" w:rsidRPr="000E4648" w:rsidRDefault="00724F1B" w:rsidP="00531F6A">
            <w:pPr>
              <w:spacing w:line="480" w:lineRule="auto"/>
            </w:pPr>
            <w:r w:rsidRPr="000E4648">
              <w:rPr>
                <w:color w:val="000000"/>
                <w:sz w:val="22"/>
                <w:szCs w:val="22"/>
              </w:rPr>
              <w:t>3 (30%)</w:t>
            </w:r>
          </w:p>
        </w:tc>
        <w:tc>
          <w:tcPr>
            <w:tcW w:w="1276" w:type="dxa"/>
            <w:vAlign w:val="bottom"/>
            <w:hideMark/>
          </w:tcPr>
          <w:p w14:paraId="0F1FF568" w14:textId="77777777" w:rsidR="00724F1B" w:rsidRPr="000E4648" w:rsidRDefault="00724F1B" w:rsidP="00531F6A">
            <w:pPr>
              <w:spacing w:line="480" w:lineRule="auto"/>
            </w:pPr>
            <w:r w:rsidRPr="000E4648">
              <w:rPr>
                <w:color w:val="000000"/>
                <w:sz w:val="22"/>
                <w:szCs w:val="22"/>
              </w:rPr>
              <w:t>1 (3%)</w:t>
            </w:r>
          </w:p>
        </w:tc>
        <w:tc>
          <w:tcPr>
            <w:tcW w:w="1275" w:type="dxa"/>
            <w:vAlign w:val="bottom"/>
            <w:hideMark/>
          </w:tcPr>
          <w:p w14:paraId="58165B7D" w14:textId="77777777" w:rsidR="00724F1B" w:rsidRPr="000E4648" w:rsidRDefault="00724F1B" w:rsidP="00531F6A">
            <w:pPr>
              <w:spacing w:line="480" w:lineRule="auto"/>
            </w:pPr>
            <w:r w:rsidRPr="000E4648">
              <w:rPr>
                <w:color w:val="000000"/>
                <w:sz w:val="22"/>
                <w:szCs w:val="22"/>
              </w:rPr>
              <w:t>4 (9%)</w:t>
            </w:r>
          </w:p>
        </w:tc>
        <w:tc>
          <w:tcPr>
            <w:tcW w:w="1134" w:type="dxa"/>
            <w:vAlign w:val="bottom"/>
            <w:hideMark/>
          </w:tcPr>
          <w:p w14:paraId="6CC0B9E7" w14:textId="77777777" w:rsidR="00724F1B" w:rsidRPr="000E4648" w:rsidRDefault="00724F1B" w:rsidP="00531F6A">
            <w:pPr>
              <w:spacing w:line="480" w:lineRule="auto"/>
            </w:pPr>
            <w:r w:rsidRPr="000E4648">
              <w:rPr>
                <w:color w:val="000000"/>
                <w:sz w:val="22"/>
                <w:szCs w:val="22"/>
              </w:rPr>
              <w:t>28 (74%)</w:t>
            </w:r>
          </w:p>
        </w:tc>
        <w:tc>
          <w:tcPr>
            <w:tcW w:w="1276" w:type="dxa"/>
            <w:vAlign w:val="bottom"/>
            <w:hideMark/>
          </w:tcPr>
          <w:p w14:paraId="38A8B78C" w14:textId="77777777" w:rsidR="00724F1B" w:rsidRPr="000E4648" w:rsidRDefault="00724F1B" w:rsidP="00531F6A">
            <w:pPr>
              <w:spacing w:line="480" w:lineRule="auto"/>
            </w:pPr>
            <w:r w:rsidRPr="000E4648">
              <w:rPr>
                <w:color w:val="000000"/>
                <w:sz w:val="22"/>
                <w:szCs w:val="22"/>
              </w:rPr>
              <w:t>1 (1%)</w:t>
            </w:r>
          </w:p>
        </w:tc>
        <w:tc>
          <w:tcPr>
            <w:tcW w:w="1294" w:type="dxa"/>
            <w:vAlign w:val="bottom"/>
            <w:hideMark/>
          </w:tcPr>
          <w:p w14:paraId="3B964D9A" w14:textId="77777777" w:rsidR="00724F1B" w:rsidRPr="000E4648" w:rsidRDefault="00724F1B" w:rsidP="00531F6A">
            <w:pPr>
              <w:spacing w:line="480" w:lineRule="auto"/>
            </w:pPr>
            <w:r w:rsidRPr="000E4648">
              <w:t>29 (26%)</w:t>
            </w:r>
          </w:p>
        </w:tc>
      </w:tr>
      <w:tr w:rsidR="00724F1B" w:rsidRPr="002B2884" w14:paraId="27BC29D8" w14:textId="77777777" w:rsidTr="00531F6A">
        <w:trPr>
          <w:trHeight w:val="495"/>
        </w:trPr>
        <w:tc>
          <w:tcPr>
            <w:tcW w:w="2547" w:type="dxa"/>
            <w:hideMark/>
          </w:tcPr>
          <w:p w14:paraId="7D89B27A" w14:textId="77777777" w:rsidR="00724F1B" w:rsidRPr="000E4648" w:rsidRDefault="00724F1B" w:rsidP="00531F6A">
            <w:pPr>
              <w:spacing w:line="480" w:lineRule="auto"/>
            </w:pPr>
            <w:r w:rsidRPr="000E4648">
              <w:t>2</w:t>
            </w:r>
          </w:p>
        </w:tc>
        <w:tc>
          <w:tcPr>
            <w:tcW w:w="1134" w:type="dxa"/>
            <w:vAlign w:val="bottom"/>
            <w:hideMark/>
          </w:tcPr>
          <w:p w14:paraId="2690DC6C" w14:textId="77777777" w:rsidR="00724F1B" w:rsidRPr="000E4648" w:rsidRDefault="00724F1B" w:rsidP="00531F6A">
            <w:pPr>
              <w:spacing w:line="480" w:lineRule="auto"/>
            </w:pPr>
            <w:r w:rsidRPr="000E4648">
              <w:rPr>
                <w:color w:val="000000"/>
                <w:sz w:val="22"/>
                <w:szCs w:val="22"/>
              </w:rPr>
              <w:t>7 (70%)</w:t>
            </w:r>
          </w:p>
        </w:tc>
        <w:tc>
          <w:tcPr>
            <w:tcW w:w="1276" w:type="dxa"/>
            <w:vAlign w:val="bottom"/>
            <w:hideMark/>
          </w:tcPr>
          <w:p w14:paraId="1E64D681" w14:textId="77777777" w:rsidR="00724F1B" w:rsidRPr="000E4648" w:rsidRDefault="00724F1B" w:rsidP="00531F6A">
            <w:pPr>
              <w:spacing w:line="480" w:lineRule="auto"/>
            </w:pPr>
            <w:r w:rsidRPr="000E4648">
              <w:rPr>
                <w:color w:val="000000"/>
                <w:sz w:val="22"/>
                <w:szCs w:val="22"/>
              </w:rPr>
              <w:t>35 (97%)</w:t>
            </w:r>
          </w:p>
        </w:tc>
        <w:tc>
          <w:tcPr>
            <w:tcW w:w="1275" w:type="dxa"/>
            <w:vAlign w:val="bottom"/>
            <w:hideMark/>
          </w:tcPr>
          <w:p w14:paraId="1D85E057" w14:textId="77777777" w:rsidR="00724F1B" w:rsidRPr="000E4648" w:rsidRDefault="00724F1B" w:rsidP="00531F6A">
            <w:pPr>
              <w:spacing w:line="480" w:lineRule="auto"/>
            </w:pPr>
            <w:r w:rsidRPr="000E4648">
              <w:rPr>
                <w:color w:val="000000"/>
                <w:sz w:val="22"/>
                <w:szCs w:val="22"/>
              </w:rPr>
              <w:t>42 (91%)</w:t>
            </w:r>
          </w:p>
        </w:tc>
        <w:tc>
          <w:tcPr>
            <w:tcW w:w="1134" w:type="dxa"/>
            <w:vAlign w:val="bottom"/>
            <w:hideMark/>
          </w:tcPr>
          <w:p w14:paraId="33FC3C67" w14:textId="77777777" w:rsidR="00724F1B" w:rsidRPr="000E4648" w:rsidRDefault="00724F1B" w:rsidP="00531F6A">
            <w:pPr>
              <w:spacing w:line="480" w:lineRule="auto"/>
            </w:pPr>
            <w:r w:rsidRPr="000E4648">
              <w:t>10 (26%)</w:t>
            </w:r>
          </w:p>
        </w:tc>
        <w:tc>
          <w:tcPr>
            <w:tcW w:w="1276" w:type="dxa"/>
            <w:vAlign w:val="bottom"/>
            <w:hideMark/>
          </w:tcPr>
          <w:p w14:paraId="6EA60A3D" w14:textId="77777777" w:rsidR="00724F1B" w:rsidRPr="000E4648" w:rsidRDefault="00724F1B" w:rsidP="00531F6A">
            <w:pPr>
              <w:spacing w:line="480" w:lineRule="auto"/>
            </w:pPr>
            <w:r w:rsidRPr="000E4648">
              <w:t>71 (97%)</w:t>
            </w:r>
          </w:p>
        </w:tc>
        <w:tc>
          <w:tcPr>
            <w:tcW w:w="1294" w:type="dxa"/>
            <w:vAlign w:val="bottom"/>
            <w:hideMark/>
          </w:tcPr>
          <w:p w14:paraId="72E3C9A8" w14:textId="77777777" w:rsidR="00724F1B" w:rsidRPr="000E4648" w:rsidRDefault="00724F1B" w:rsidP="00531F6A">
            <w:pPr>
              <w:spacing w:line="480" w:lineRule="auto"/>
            </w:pPr>
            <w:r w:rsidRPr="000E4648">
              <w:t>81 (74%)</w:t>
            </w:r>
          </w:p>
        </w:tc>
      </w:tr>
    </w:tbl>
    <w:p w14:paraId="789E0806" w14:textId="77777777" w:rsidR="00724F1B" w:rsidRDefault="00724F1B" w:rsidP="00724F1B">
      <w:pPr>
        <w:spacing w:line="480" w:lineRule="auto"/>
        <w:rPr>
          <w:lang w:val="en-US"/>
        </w:rPr>
      </w:pPr>
    </w:p>
    <w:p w14:paraId="61A6D619" w14:textId="77777777" w:rsidR="00724F1B" w:rsidRDefault="00724F1B" w:rsidP="00724F1B">
      <w:pPr>
        <w:rPr>
          <w:lang w:val="en-US"/>
        </w:rPr>
      </w:pPr>
      <w:r>
        <w:rPr>
          <w:lang w:val="en-US"/>
        </w:rPr>
        <w:br w:type="page"/>
      </w:r>
    </w:p>
    <w:p w14:paraId="58706A1A" w14:textId="77777777" w:rsidR="00724F1B" w:rsidRDefault="00724F1B" w:rsidP="00724F1B">
      <w:pPr>
        <w:spacing w:line="480" w:lineRule="auto"/>
        <w:rPr>
          <w:lang w:val="en-US"/>
        </w:rPr>
      </w:pPr>
      <w:r>
        <w:rPr>
          <w:lang w:val="en-US"/>
        </w:rPr>
        <w:lastRenderedPageBreak/>
        <w:t>Supplementary figures</w:t>
      </w:r>
    </w:p>
    <w:p w14:paraId="6BA34C4C" w14:textId="77777777" w:rsidR="00724F1B" w:rsidRDefault="00724F1B" w:rsidP="00724F1B">
      <w:pPr>
        <w:spacing w:line="480" w:lineRule="auto"/>
        <w:rPr>
          <w:lang w:val="en-US"/>
        </w:rPr>
      </w:pPr>
      <w:r>
        <w:rPr>
          <w:lang w:val="en-US"/>
        </w:rPr>
        <w:t xml:space="preserve">Supplementary Figure 1. </w:t>
      </w:r>
      <w:r w:rsidRPr="0021345E">
        <w:rPr>
          <w:b/>
          <w:lang w:val="en-US"/>
        </w:rPr>
        <w:t>Vaccinia neutralizing antibodies titers in participants living with HIV compared to participants not living with HIV</w:t>
      </w:r>
      <w:r>
        <w:rPr>
          <w:lang w:val="en-US"/>
        </w:rPr>
        <w:t>. GMTs of vaccinia virus neutralizing antibodies titers in participants living with HIV (Grey) compared to participants not living with HIV (Black), according to primary vaccine regimen before vaccination (D0), 28 days (D28), 43 days (D43), 3 months (M3), 6 months (M6) and 12 months (M12) after the first dose. nAb: neutralizing antibodies. GMT: Geometric mean titers. 95% CI: 95% confidence interval.</w:t>
      </w:r>
    </w:p>
    <w:p w14:paraId="72B2EC2D" w14:textId="77777777" w:rsidR="00724F1B" w:rsidRDefault="00724F1B" w:rsidP="00724F1B">
      <w:pPr>
        <w:spacing w:line="480" w:lineRule="auto"/>
        <w:rPr>
          <w:lang w:val="en-US"/>
        </w:rPr>
      </w:pPr>
    </w:p>
    <w:p w14:paraId="551B8231" w14:textId="77777777" w:rsidR="00724F1B" w:rsidRDefault="00724F1B" w:rsidP="00724F1B">
      <w:pPr>
        <w:spacing w:line="480" w:lineRule="auto"/>
        <w:rPr>
          <w:lang w:val="en-US"/>
        </w:rPr>
      </w:pPr>
      <w:r>
        <w:rPr>
          <w:lang w:val="en-US"/>
        </w:rPr>
        <w:t xml:space="preserve">Supplementary Figure 2 : </w:t>
      </w:r>
      <w:r w:rsidRPr="000E5BEF">
        <w:rPr>
          <w:lang w:val="en-US"/>
        </w:rPr>
        <w:t xml:space="preserve">Biplots of the first two axes of the principal component analysis (PCA) describing different populations at D0, D28, M3, M6 and M12 with the </w:t>
      </w:r>
      <w:r>
        <w:rPr>
          <w:lang w:val="en-US"/>
        </w:rPr>
        <w:t xml:space="preserve">15 </w:t>
      </w:r>
      <w:r w:rsidRPr="000E5BEF">
        <w:rPr>
          <w:lang w:val="en-US"/>
        </w:rPr>
        <w:t xml:space="preserve">log-transformed variables: Vaccinia virus nAb titer (VACV_titer), MSD Ratios (MPXV_A35R, MPXV_B6R, MPXV_E8L, MPXV_M1R, , VACV_A33R, VACV_B5R, VACV_D8L, VACV_L1R), Luminex Ratios </w:t>
      </w:r>
      <w:r w:rsidRPr="008E74F6">
        <w:rPr>
          <w:lang w:val="en-US"/>
        </w:rPr>
        <w:t>(</w:t>
      </w:r>
      <w:r w:rsidRPr="00D7756C">
        <w:rPr>
          <w:lang w:val="en-US"/>
        </w:rPr>
        <w:t>Lum_MPXV_H3</w:t>
      </w:r>
      <w:r>
        <w:rPr>
          <w:lang w:val="en-US"/>
        </w:rPr>
        <w:t xml:space="preserve">, </w:t>
      </w:r>
      <w:r w:rsidRPr="00D7756C">
        <w:rPr>
          <w:lang w:val="en-US"/>
        </w:rPr>
        <w:t>Lum_MPXV_A35</w:t>
      </w:r>
      <w:r>
        <w:rPr>
          <w:lang w:val="en-US"/>
        </w:rPr>
        <w:t>,</w:t>
      </w:r>
      <w:r w:rsidRPr="00D7756C">
        <w:rPr>
          <w:lang w:val="en-US"/>
        </w:rPr>
        <w:t xml:space="preserve"> Lum_MPXV_M1R</w:t>
      </w:r>
      <w:r>
        <w:rPr>
          <w:lang w:val="en-US"/>
        </w:rPr>
        <w:t>,</w:t>
      </w:r>
      <w:r w:rsidRPr="00D7756C">
        <w:rPr>
          <w:lang w:val="en-US"/>
        </w:rPr>
        <w:t xml:space="preserve"> Lum_MPXV_B2R</w:t>
      </w:r>
      <w:r>
        <w:rPr>
          <w:lang w:val="en-US"/>
        </w:rPr>
        <w:t>,</w:t>
      </w:r>
      <w:r w:rsidRPr="00D7756C">
        <w:rPr>
          <w:lang w:val="en-US"/>
        </w:rPr>
        <w:t xml:space="preserve">  Lum_VACV_A33R</w:t>
      </w:r>
      <w:r>
        <w:rPr>
          <w:lang w:val="en-US"/>
        </w:rPr>
        <w:t>,</w:t>
      </w:r>
      <w:r w:rsidRPr="00D7756C">
        <w:rPr>
          <w:lang w:val="en-US"/>
        </w:rPr>
        <w:t xml:space="preserve"> Lum_VACV_B5</w:t>
      </w:r>
      <w:r w:rsidRPr="000E5BEF">
        <w:rPr>
          <w:lang w:val="en-US"/>
        </w:rPr>
        <w:t>). The cosine of the angle between a vector and an axis indicates the importance of the contribution of the corresponding variable to the principal component. The cosine of the angle between pairs of vectors indicates correlation between the corresponding variables. Highly correlated variables point in similar directions; uncorrelated variables are nearly perpendicular to each other.</w:t>
      </w:r>
      <w:r>
        <w:rPr>
          <w:lang w:val="en-US"/>
        </w:rPr>
        <w:t xml:space="preserve"> </w:t>
      </w:r>
      <w:r w:rsidRPr="000E5BEF">
        <w:rPr>
          <w:lang w:val="en-US"/>
        </w:rPr>
        <w:t>Points that are close to each other in the biplot represent observations with similar values.</w:t>
      </w:r>
    </w:p>
    <w:p w14:paraId="1B5E77C8" w14:textId="77777777" w:rsidR="00724F1B" w:rsidRDefault="00724F1B" w:rsidP="00724F1B">
      <w:pPr>
        <w:spacing w:line="480" w:lineRule="auto"/>
        <w:rPr>
          <w:lang w:val="en-US"/>
        </w:rPr>
      </w:pPr>
    </w:p>
    <w:p w14:paraId="1225EF4D" w14:textId="77777777" w:rsidR="00724F1B" w:rsidRPr="000E5BEF" w:rsidRDefault="00724F1B" w:rsidP="00724F1B">
      <w:pPr>
        <w:spacing w:line="480" w:lineRule="auto"/>
        <w:rPr>
          <w:lang w:val="en-US"/>
        </w:rPr>
      </w:pPr>
      <w:r>
        <w:rPr>
          <w:lang w:val="en-US"/>
        </w:rPr>
        <w:t xml:space="preserve">Supplementary figure 3: </w:t>
      </w:r>
      <w:r w:rsidRPr="00ED4E45">
        <w:rPr>
          <w:lang w:val="en-US"/>
        </w:rPr>
        <w:t xml:space="preserve">Correlations between IFN-γ/IL-2 ELISpot assay and Vaccinia </w:t>
      </w:r>
      <w:r>
        <w:rPr>
          <w:lang w:val="en-US"/>
        </w:rPr>
        <w:t xml:space="preserve">virus </w:t>
      </w:r>
      <w:r w:rsidRPr="00ED4E45">
        <w:rPr>
          <w:lang w:val="en-US"/>
        </w:rPr>
        <w:t>neutralizing antibodies tit</w:t>
      </w:r>
      <w:r>
        <w:rPr>
          <w:lang w:val="en-US"/>
        </w:rPr>
        <w:t>er</w:t>
      </w:r>
      <w:r w:rsidRPr="00ED4E45">
        <w:rPr>
          <w:lang w:val="en-US"/>
        </w:rPr>
        <w:t>s in per-protocol population</w:t>
      </w:r>
      <w:r>
        <w:rPr>
          <w:lang w:val="en-US"/>
        </w:rPr>
        <w:t xml:space="preserve"> </w:t>
      </w:r>
      <w:r w:rsidRPr="00ED4E45">
        <w:rPr>
          <w:lang w:val="en-US"/>
        </w:rPr>
        <w:t xml:space="preserve">(born &lt; 1980 who received 1 dose and born ≥1980 who received 2 doses, n=16). Non-parametric Spearman correlations heatmap </w:t>
      </w:r>
      <w:r>
        <w:rPr>
          <w:lang w:val="en-US"/>
        </w:rPr>
        <w:lastRenderedPageBreak/>
        <w:t>showing</w:t>
      </w:r>
      <w:r w:rsidRPr="00ED4E45">
        <w:rPr>
          <w:lang w:val="en-US"/>
        </w:rPr>
        <w:t xml:space="preserve"> </w:t>
      </w:r>
      <w:r>
        <w:rPr>
          <w:lang w:val="en-US"/>
        </w:rPr>
        <w:t>Holm-</w:t>
      </w:r>
      <w:r w:rsidRPr="00ED4E45">
        <w:rPr>
          <w:lang w:val="en-US"/>
        </w:rPr>
        <w:t>adjusted p-values (</w:t>
      </w:r>
      <w:r w:rsidRPr="008F4540">
        <w:rPr>
          <w:lang w:val="en-US"/>
        </w:rPr>
        <w:t>Holm, S. (1979). A simple sequentially rejective multiple test procedure. Scandinavian Journal of Statistics, 6(2), 65–70.</w:t>
      </w:r>
      <w:r>
        <w:rPr>
          <w:lang w:val="en-US"/>
        </w:rPr>
        <w:t xml:space="preserve">) </w:t>
      </w:r>
      <w:r w:rsidRPr="00ED4E45">
        <w:rPr>
          <w:lang w:val="en-US"/>
        </w:rPr>
        <w:t>obtained with PROC MULTTEST.</w:t>
      </w:r>
    </w:p>
    <w:p w14:paraId="545A26ED" w14:textId="77777777" w:rsidR="00724F1B" w:rsidRDefault="00724F1B" w:rsidP="00724F1B">
      <w:pPr>
        <w:spacing w:line="480" w:lineRule="auto"/>
        <w:rPr>
          <w:lang w:val="en-US"/>
        </w:rPr>
      </w:pPr>
    </w:p>
    <w:p w14:paraId="219436A7" w14:textId="77777777" w:rsidR="00724F1B" w:rsidRDefault="00724F1B" w:rsidP="00724F1B">
      <w:pPr>
        <w:spacing w:line="480" w:lineRule="auto"/>
        <w:rPr>
          <w:lang w:val="en-US"/>
        </w:rPr>
      </w:pPr>
    </w:p>
    <w:p w14:paraId="4E01755D" w14:textId="77777777" w:rsidR="00724F1B" w:rsidRDefault="00724F1B" w:rsidP="00724F1B">
      <w:pPr>
        <w:rPr>
          <w:lang w:val="en-US"/>
        </w:rPr>
      </w:pPr>
      <w:r>
        <w:rPr>
          <w:lang w:val="en-US"/>
        </w:rPr>
        <w:br w:type="page"/>
      </w:r>
    </w:p>
    <w:p w14:paraId="290062AE" w14:textId="77777777" w:rsidR="00724F1B" w:rsidRDefault="00724F1B" w:rsidP="00724F1B">
      <w:pPr>
        <w:spacing w:line="480" w:lineRule="auto"/>
        <w:rPr>
          <w:lang w:val="en-US"/>
        </w:rPr>
      </w:pPr>
      <w:r>
        <w:rPr>
          <w:lang w:val="en-US"/>
        </w:rPr>
        <w:lastRenderedPageBreak/>
        <w:t xml:space="preserve">Supplementary Figure 1. </w:t>
      </w:r>
    </w:p>
    <w:p w14:paraId="0ED66449" w14:textId="77777777" w:rsidR="00724F1B" w:rsidRDefault="00724F1B" w:rsidP="00724F1B">
      <w:pPr>
        <w:pStyle w:val="NormalWeb"/>
        <w:rPr>
          <w:lang w:val="en-US"/>
        </w:rPr>
      </w:pPr>
      <w:r>
        <w:rPr>
          <w:noProof/>
          <w:lang w:eastAsia="fr-FR"/>
        </w:rPr>
        <w:drawing>
          <wp:inline distT="0" distB="0" distL="0" distR="0" wp14:anchorId="3DDCA7B7" wp14:editId="421D9094">
            <wp:extent cx="4910400" cy="3391200"/>
            <wp:effectExtent l="0" t="0" r="508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uppl1_finale.tif"/>
                    <pic:cNvPicPr/>
                  </pic:nvPicPr>
                  <pic:blipFill rotWithShape="1">
                    <a:blip r:embed="rId4" cstate="print">
                      <a:extLst>
                        <a:ext uri="{28A0092B-C50C-407E-A947-70E740481C1C}">
                          <a14:useLocalDpi xmlns:a14="http://schemas.microsoft.com/office/drawing/2010/main" val="0"/>
                        </a:ext>
                      </a:extLst>
                    </a:blip>
                    <a:srcRect l="14325" t="7471" r="13303" b="57128"/>
                    <a:stretch/>
                  </pic:blipFill>
                  <pic:spPr bwMode="auto">
                    <a:xfrm>
                      <a:off x="0" y="0"/>
                      <a:ext cx="4910400" cy="3391200"/>
                    </a:xfrm>
                    <a:prstGeom prst="rect">
                      <a:avLst/>
                    </a:prstGeom>
                    <a:ln>
                      <a:noFill/>
                    </a:ln>
                    <a:extLst>
                      <a:ext uri="{53640926-AAD7-44D8-BBD7-CCE9431645EC}">
                        <a14:shadowObscured xmlns:a14="http://schemas.microsoft.com/office/drawing/2010/main"/>
                      </a:ext>
                    </a:extLst>
                  </pic:spPr>
                </pic:pic>
              </a:graphicData>
            </a:graphic>
          </wp:inline>
        </w:drawing>
      </w:r>
    </w:p>
    <w:p w14:paraId="51D20B67" w14:textId="77777777" w:rsidR="00724F1B" w:rsidRPr="009114F4" w:rsidRDefault="00724F1B" w:rsidP="00724F1B">
      <w:pPr>
        <w:pStyle w:val="NormalWeb"/>
        <w:rPr>
          <w:noProof/>
          <w:lang w:val="en-GB"/>
        </w:rPr>
      </w:pPr>
    </w:p>
    <w:p w14:paraId="020C41D1" w14:textId="77777777" w:rsidR="00724F1B" w:rsidRPr="00310B43" w:rsidRDefault="00724F1B" w:rsidP="00724F1B">
      <w:pPr>
        <w:pStyle w:val="NormalWeb"/>
        <w:rPr>
          <w:lang w:val="en-US"/>
        </w:rPr>
      </w:pPr>
    </w:p>
    <w:p w14:paraId="2B45A8C6" w14:textId="77777777" w:rsidR="00724F1B" w:rsidRPr="009114F4" w:rsidRDefault="00724F1B" w:rsidP="00724F1B">
      <w:pPr>
        <w:pStyle w:val="NormalWeb"/>
        <w:rPr>
          <w:lang w:val="en-GB"/>
        </w:rPr>
      </w:pPr>
    </w:p>
    <w:p w14:paraId="2A68701A" w14:textId="77777777" w:rsidR="00724F1B" w:rsidRDefault="00724F1B" w:rsidP="00724F1B">
      <w:pPr>
        <w:rPr>
          <w:lang w:val="en-US"/>
        </w:rPr>
      </w:pPr>
      <w:r>
        <w:rPr>
          <w:lang w:val="en-US"/>
        </w:rPr>
        <w:br w:type="page"/>
      </w:r>
    </w:p>
    <w:p w14:paraId="03A15A75" w14:textId="77777777" w:rsidR="00724F1B" w:rsidRDefault="00724F1B" w:rsidP="00724F1B">
      <w:pPr>
        <w:spacing w:line="480" w:lineRule="auto"/>
        <w:rPr>
          <w:lang w:val="en-US"/>
        </w:rPr>
      </w:pPr>
      <w:r>
        <w:rPr>
          <w:lang w:val="en-US"/>
        </w:rPr>
        <w:lastRenderedPageBreak/>
        <w:t xml:space="preserve">Supplementary Figure 2. </w:t>
      </w:r>
    </w:p>
    <w:p w14:paraId="6017F924" w14:textId="77777777" w:rsidR="00724F1B" w:rsidRDefault="00724F1B" w:rsidP="00724F1B">
      <w:pPr>
        <w:spacing w:line="480" w:lineRule="auto"/>
        <w:rPr>
          <w:rFonts w:ascii="Arial" w:hAnsi="Arial" w:cs="Arial"/>
          <w:noProof/>
          <w:color w:val="000000"/>
          <w:sz w:val="20"/>
          <w:szCs w:val="20"/>
        </w:rPr>
      </w:pPr>
      <w:r>
        <w:rPr>
          <w:rFonts w:ascii="Arial" w:hAnsi="Arial" w:cs="Arial"/>
          <w:noProof/>
          <w:color w:val="000000"/>
          <w:sz w:val="20"/>
          <w:szCs w:val="20"/>
        </w:rPr>
        <w:lastRenderedPageBreak/>
        <w:drawing>
          <wp:inline distT="0" distB="0" distL="0" distR="0" wp14:anchorId="05668B70" wp14:editId="14ACBEBA">
            <wp:extent cx="5731510" cy="8094980"/>
            <wp:effectExtent l="0" t="0" r="2540" b="1270"/>
            <wp:docPr id="1374822209" name="Image 1374822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822209" name="Suppl2_finale.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8094980"/>
                    </a:xfrm>
                    <a:prstGeom prst="rect">
                      <a:avLst/>
                    </a:prstGeom>
                  </pic:spPr>
                </pic:pic>
              </a:graphicData>
            </a:graphic>
          </wp:inline>
        </w:drawing>
      </w:r>
      <w:r w:rsidRPr="00ED1514">
        <w:rPr>
          <w:rFonts w:ascii="Arial" w:hAnsi="Arial" w:cs="Arial"/>
          <w:noProof/>
          <w:color w:val="000000"/>
          <w:sz w:val="20"/>
          <w:szCs w:val="20"/>
        </w:rPr>
        <w:t xml:space="preserve"> </w:t>
      </w:r>
    </w:p>
    <w:p w14:paraId="12BDD497" w14:textId="77777777" w:rsidR="00724F1B" w:rsidRDefault="00724F1B" w:rsidP="00724F1B">
      <w:pPr>
        <w:spacing w:line="480" w:lineRule="auto"/>
        <w:rPr>
          <w:lang w:val="en-US"/>
        </w:rPr>
      </w:pPr>
      <w:r w:rsidRPr="00ED1514">
        <w:rPr>
          <w:rFonts w:ascii="Arial" w:hAnsi="Arial" w:cs="Arial"/>
          <w:noProof/>
          <w:color w:val="000000"/>
          <w:sz w:val="20"/>
          <w:szCs w:val="20"/>
        </w:rPr>
        <w:lastRenderedPageBreak/>
        <w:t xml:space="preserve"> </w:t>
      </w:r>
    </w:p>
    <w:p w14:paraId="7F15C668" w14:textId="179157A9" w:rsidR="00F553FF" w:rsidRDefault="00724F1B" w:rsidP="00724F1B">
      <w:r w:rsidRPr="000677BF">
        <w:rPr>
          <w:rFonts w:ascii="Arial" w:hAnsi="Arial" w:cs="Arial"/>
          <w:color w:val="000000"/>
          <w:sz w:val="20"/>
          <w:szCs w:val="20"/>
        </w:rPr>
        <w:t xml:space="preserve"> </w:t>
      </w:r>
      <w:r w:rsidRPr="00D7756C">
        <w:t>Supple</w:t>
      </w:r>
      <w:r>
        <w:t>m</w:t>
      </w:r>
      <w:r w:rsidRPr="00D7756C">
        <w:t>e</w:t>
      </w:r>
      <w:r>
        <w:t>n</w:t>
      </w:r>
      <w:r w:rsidRPr="00D7756C">
        <w:t xml:space="preserve">tary </w:t>
      </w:r>
      <w:r>
        <w:t>F</w:t>
      </w:r>
      <w:r w:rsidRPr="00D7756C">
        <w:t>igure 3</w:t>
      </w:r>
      <w:r>
        <w:t>.</w:t>
      </w:r>
    </w:p>
    <w:p w14:paraId="28AD71F7" w14:textId="20F9E8C6" w:rsidR="00724F1B" w:rsidRDefault="00724F1B" w:rsidP="00724F1B">
      <w:r>
        <w:rPr>
          <w:noProof/>
        </w:rPr>
        <w:drawing>
          <wp:inline distT="0" distB="0" distL="0" distR="0" wp14:anchorId="2E63B7D1" wp14:editId="5297628E">
            <wp:extent cx="5943600" cy="3695977"/>
            <wp:effectExtent l="0" t="0" r="0" b="0"/>
            <wp:docPr id="1374822210" name="Image 1374822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822210" name="SupplFig3_finale.tif"/>
                    <pic:cNvPicPr/>
                  </pic:nvPicPr>
                  <pic:blipFill rotWithShape="1">
                    <a:blip r:embed="rId6" cstate="print">
                      <a:extLst>
                        <a:ext uri="{28A0092B-C50C-407E-A947-70E740481C1C}">
                          <a14:useLocalDpi xmlns:a14="http://schemas.microsoft.com/office/drawing/2010/main" val="0"/>
                        </a:ext>
                      </a:extLst>
                    </a:blip>
                    <a:srcRect l="6077" r="5568" b="22419"/>
                    <a:stretch/>
                  </pic:blipFill>
                  <pic:spPr bwMode="auto">
                    <a:xfrm>
                      <a:off x="0" y="0"/>
                      <a:ext cx="5943600" cy="3695977"/>
                    </a:xfrm>
                    <a:prstGeom prst="rect">
                      <a:avLst/>
                    </a:prstGeom>
                    <a:ln>
                      <a:noFill/>
                    </a:ln>
                    <a:extLst>
                      <a:ext uri="{53640926-AAD7-44D8-BBD7-CCE9431645EC}">
                        <a14:shadowObscured xmlns:a14="http://schemas.microsoft.com/office/drawing/2010/main"/>
                      </a:ext>
                    </a:extLst>
                  </pic:spPr>
                </pic:pic>
              </a:graphicData>
            </a:graphic>
          </wp:inline>
        </w:drawing>
      </w:r>
    </w:p>
    <w:sectPr w:rsidR="00724F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F1B"/>
    <w:rsid w:val="00165DF0"/>
    <w:rsid w:val="003C2EF4"/>
    <w:rsid w:val="00446799"/>
    <w:rsid w:val="006A7E07"/>
    <w:rsid w:val="00701021"/>
    <w:rsid w:val="00724F1B"/>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A0B30"/>
  <w15:chartTrackingRefBased/>
  <w15:docId w15:val="{1FE65517-F4D5-4FE6-A6CD-36ACD709F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F1B"/>
    <w:pPr>
      <w:spacing w:after="0" w:line="240" w:lineRule="auto"/>
    </w:pPr>
    <w:rPr>
      <w:rFonts w:ascii="Times New Roman" w:eastAsia="Times New Roman" w:hAnsi="Times New Roman" w:cs="Times New Roman"/>
      <w:kern w:val="0"/>
      <w:lang w:val="fr-FR" w:eastAsia="fr-FR"/>
      <w14:ligatures w14:val="none"/>
    </w:rPr>
  </w:style>
  <w:style w:type="paragraph" w:styleId="Heading1">
    <w:name w:val="heading 1"/>
    <w:basedOn w:val="Normal"/>
    <w:next w:val="Normal"/>
    <w:link w:val="Heading1Char"/>
    <w:uiPriority w:val="9"/>
    <w:qFormat/>
    <w:rsid w:val="00724F1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724F1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724F1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724F1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724F1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724F1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724F1B"/>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724F1B"/>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724F1B"/>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4F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4F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4F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4F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4F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4F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4F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4F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4F1B"/>
    <w:rPr>
      <w:rFonts w:eastAsiaTheme="majorEastAsia" w:cstheme="majorBidi"/>
      <w:color w:val="272727" w:themeColor="text1" w:themeTint="D8"/>
    </w:rPr>
  </w:style>
  <w:style w:type="paragraph" w:styleId="Title">
    <w:name w:val="Title"/>
    <w:basedOn w:val="Normal"/>
    <w:next w:val="Normal"/>
    <w:link w:val="TitleChar"/>
    <w:uiPriority w:val="10"/>
    <w:qFormat/>
    <w:rsid w:val="00724F1B"/>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724F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4F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724F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4F1B"/>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724F1B"/>
    <w:rPr>
      <w:i/>
      <w:iCs/>
      <w:color w:val="404040" w:themeColor="text1" w:themeTint="BF"/>
    </w:rPr>
  </w:style>
  <w:style w:type="paragraph" w:styleId="ListParagraph">
    <w:name w:val="List Paragraph"/>
    <w:basedOn w:val="Normal"/>
    <w:uiPriority w:val="34"/>
    <w:qFormat/>
    <w:rsid w:val="00724F1B"/>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724F1B"/>
    <w:rPr>
      <w:i/>
      <w:iCs/>
      <w:color w:val="0F4761" w:themeColor="accent1" w:themeShade="BF"/>
    </w:rPr>
  </w:style>
  <w:style w:type="paragraph" w:styleId="IntenseQuote">
    <w:name w:val="Intense Quote"/>
    <w:basedOn w:val="Normal"/>
    <w:next w:val="Normal"/>
    <w:link w:val="IntenseQuoteChar"/>
    <w:uiPriority w:val="30"/>
    <w:qFormat/>
    <w:rsid w:val="00724F1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724F1B"/>
    <w:rPr>
      <w:i/>
      <w:iCs/>
      <w:color w:val="0F4761" w:themeColor="accent1" w:themeShade="BF"/>
    </w:rPr>
  </w:style>
  <w:style w:type="character" w:styleId="IntenseReference">
    <w:name w:val="Intense Reference"/>
    <w:basedOn w:val="DefaultParagraphFont"/>
    <w:uiPriority w:val="32"/>
    <w:qFormat/>
    <w:rsid w:val="00724F1B"/>
    <w:rPr>
      <w:b/>
      <w:bCs/>
      <w:smallCaps/>
      <w:color w:val="0F4761" w:themeColor="accent1" w:themeShade="BF"/>
      <w:spacing w:val="5"/>
    </w:rPr>
  </w:style>
  <w:style w:type="paragraph" w:styleId="NormalWeb">
    <w:name w:val="Normal (Web)"/>
    <w:basedOn w:val="Normal"/>
    <w:link w:val="NormalWebChar"/>
    <w:uiPriority w:val="99"/>
    <w:unhideWhenUsed/>
    <w:rsid w:val="00724F1B"/>
    <w:pPr>
      <w:spacing w:before="100" w:beforeAutospacing="1" w:after="100" w:afterAutospacing="1"/>
    </w:pPr>
    <w:rPr>
      <w:lang w:eastAsia="zh-CN"/>
    </w:rPr>
  </w:style>
  <w:style w:type="character" w:customStyle="1" w:styleId="NormalWebChar">
    <w:name w:val="Normal (Web) Char"/>
    <w:basedOn w:val="DefaultParagraphFont"/>
    <w:link w:val="NormalWeb"/>
    <w:uiPriority w:val="99"/>
    <w:rsid w:val="00724F1B"/>
    <w:rPr>
      <w:rFonts w:ascii="Times New Roman" w:eastAsia="Times New Roman" w:hAnsi="Times New Roman" w:cs="Times New Roman"/>
      <w:kern w:val="0"/>
      <w:lang w:val="fr-FR" w:eastAsia="zh-CN"/>
      <w14:ligatures w14:val="none"/>
    </w:rPr>
  </w:style>
  <w:style w:type="table" w:styleId="TableGridLight">
    <w:name w:val="Grid Table Light"/>
    <w:basedOn w:val="TableNormal"/>
    <w:uiPriority w:val="40"/>
    <w:rsid w:val="00724F1B"/>
    <w:pPr>
      <w:spacing w:after="0" w:line="240" w:lineRule="auto"/>
    </w:pPr>
    <w:rPr>
      <w:rFonts w:eastAsiaTheme="minorEastAsia"/>
      <w:kern w:val="0"/>
      <w:lang w:val="fr-FR" w:eastAsia="zh-CN"/>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510</Words>
  <Characters>3175</Characters>
  <Application>Microsoft Office Word</Application>
  <DocSecurity>0</DocSecurity>
  <Lines>55</Lines>
  <Paragraphs>13</Paragraphs>
  <ScaleCrop>false</ScaleCrop>
  <Company>Springer Nature</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2026-02-27T03:01:00Z</dcterms:created>
  <dcterms:modified xsi:type="dcterms:W3CDTF">2026-02-27T03:01:00Z</dcterms:modified>
</cp:coreProperties>
</file>