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4E" w:rsidRDefault="00DA19B4" w:rsidP="00635B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1</w:t>
      </w:r>
      <w:r w:rsidR="00635B4E">
        <w:rPr>
          <w:rFonts w:ascii="Times New Roman" w:hAnsi="Times New Roman"/>
          <w:b/>
          <w:bCs/>
          <w:sz w:val="24"/>
          <w:szCs w:val="24"/>
        </w:rPr>
        <w:t xml:space="preserve"> Phytochemical analysis of </w:t>
      </w:r>
      <w:r w:rsidR="00635B4E">
        <w:rPr>
          <w:rFonts w:ascii="Times New Roman" w:hAnsi="Times New Roman"/>
          <w:b/>
          <w:bCs/>
          <w:i/>
          <w:iCs/>
          <w:sz w:val="24"/>
          <w:szCs w:val="24"/>
        </w:rPr>
        <w:t>L. camara</w:t>
      </w:r>
      <w:r w:rsidR="00635B4E">
        <w:rPr>
          <w:rFonts w:ascii="Times New Roman" w:hAnsi="Times New Roman"/>
          <w:b/>
          <w:bCs/>
          <w:sz w:val="24"/>
          <w:szCs w:val="24"/>
        </w:rPr>
        <w:t xml:space="preserve"> leaf extract</w:t>
      </w:r>
    </w:p>
    <w:p w:rsidR="00635B4E" w:rsidRDefault="00635B4E" w:rsidP="00635B4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910" w:tblpY="1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121"/>
        <w:gridCol w:w="4084"/>
        <w:gridCol w:w="1202"/>
      </w:tblGrid>
      <w:tr w:rsidR="00635B4E" w:rsidTr="00635B4E">
        <w:trPr>
          <w:trHeight w:val="356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635B4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Phytoconstituent</w:t>
            </w:r>
            <w:proofErr w:type="spellEnd"/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Reagents/ Test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Presence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Alkaloids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Wagner’s reagent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Flavonoids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Alkaline reagent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35B4E" w:rsidTr="00635B4E">
        <w:trPr>
          <w:trHeight w:val="27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Carbohydrates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Benedict’s reagent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Saponins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Distilled water (Froth and Foam test)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Tannins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Ferric chloride test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Resin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Acetone (Solubility test)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35B4E" w:rsidTr="00635B4E">
        <w:trPr>
          <w:trHeight w:val="41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Oils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Spot Test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Default="00635B4E" w:rsidP="00FD55E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194BE4" w:rsidRDefault="000E081D"/>
    <w:p w:rsidR="00635B4E" w:rsidRDefault="00DA19B4" w:rsidP="00635B4E">
      <w:pPr>
        <w:rPr>
          <w:rFonts w:ascii="Times New Roman" w:hAnsi="Times New Roman"/>
          <w:b/>
          <w:bCs/>
          <w:sz w:val="24"/>
          <w:szCs w:val="24"/>
          <w:lang w:bidi="ar"/>
        </w:rPr>
      </w:pPr>
      <w:r>
        <w:rPr>
          <w:rFonts w:ascii="Times New Roman" w:hAnsi="Times New Roman"/>
          <w:b/>
          <w:bCs/>
          <w:sz w:val="24"/>
          <w:szCs w:val="24"/>
          <w:lang w:bidi="ar"/>
        </w:rPr>
        <w:t xml:space="preserve">Table 2 </w:t>
      </w:r>
      <w:r w:rsidR="00635B4E">
        <w:rPr>
          <w:rFonts w:ascii="Times New Roman" w:hAnsi="Times New Roman"/>
          <w:b/>
          <w:bCs/>
          <w:sz w:val="24"/>
          <w:szCs w:val="24"/>
          <w:lang w:bidi="ar"/>
        </w:rPr>
        <w:t xml:space="preserve">FTIR spectral data of </w:t>
      </w:r>
      <w:r w:rsidR="00635B4E">
        <w:rPr>
          <w:rFonts w:ascii="Times New Roman" w:hAnsi="Times New Roman"/>
          <w:b/>
          <w:bCs/>
          <w:i/>
          <w:iCs/>
          <w:sz w:val="24"/>
          <w:szCs w:val="24"/>
          <w:lang w:bidi="ar"/>
        </w:rPr>
        <w:t>L. camara</w:t>
      </w:r>
      <w:r w:rsidR="00635B4E">
        <w:rPr>
          <w:rFonts w:ascii="Times New Roman" w:hAnsi="Times New Roman"/>
          <w:b/>
          <w:bCs/>
          <w:sz w:val="24"/>
          <w:szCs w:val="24"/>
          <w:lang w:bidi="ar"/>
        </w:rPr>
        <w:t xml:space="preserve"> </w:t>
      </w:r>
      <w:r w:rsidR="000E081D">
        <w:rPr>
          <w:rFonts w:ascii="Times New Roman" w:hAnsi="Times New Roman"/>
          <w:b/>
          <w:bCs/>
          <w:sz w:val="24"/>
          <w:szCs w:val="24"/>
        </w:rPr>
        <w:t xml:space="preserve">leaf </w:t>
      </w:r>
      <w:r w:rsidR="00635B4E">
        <w:rPr>
          <w:rFonts w:ascii="Times New Roman" w:hAnsi="Times New Roman"/>
          <w:b/>
          <w:bCs/>
          <w:sz w:val="24"/>
          <w:szCs w:val="24"/>
          <w:lang w:bidi="ar"/>
        </w:rPr>
        <w:t>extract</w:t>
      </w:r>
    </w:p>
    <w:p w:rsidR="00635B4E" w:rsidRDefault="00635B4E" w:rsidP="00635B4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91"/>
        <w:gridCol w:w="2877"/>
        <w:gridCol w:w="3064"/>
      </w:tblGrid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635B4E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proofErr w:type="spellStart"/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S.No</w:t>
            </w:r>
            <w:proofErr w:type="spellEnd"/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Peak position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Functional group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Remark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3339.33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O-H stretching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Alcohols and phenols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2.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2977.98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stretching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Alkanes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3.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1644.97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 xml:space="preserve">-1 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C=C stretching 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Alkene 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4.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1383.91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stretching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Alkanes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5.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1085.61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C-O stretching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Aliphatic ether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6.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1044.01cm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C-O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Alcohols and phenols</w:t>
            </w:r>
          </w:p>
        </w:tc>
      </w:tr>
      <w:tr w:rsidR="00635B4E" w:rsidRPr="00635B4E" w:rsidTr="00635B4E">
        <w:trPr>
          <w:trHeight w:val="761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7.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718.00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out of plane bending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Aromatic compounds</w:t>
            </w:r>
          </w:p>
        </w:tc>
      </w:tr>
      <w:tr w:rsidR="00635B4E" w:rsidRPr="00635B4E" w:rsidTr="00635B4E">
        <w:trPr>
          <w:trHeight w:val="387"/>
          <w:jc w:val="center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8.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 624.83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C-X stretching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Aromatic compounds</w:t>
            </w:r>
          </w:p>
        </w:tc>
      </w:tr>
    </w:tbl>
    <w:p w:rsidR="00635B4E" w:rsidRDefault="00635B4E" w:rsidP="00635B4E">
      <w:pPr>
        <w:rPr>
          <w:rFonts w:ascii="Times New Roman" w:hAnsi="Times New Roman"/>
          <w:sz w:val="24"/>
          <w:szCs w:val="24"/>
        </w:rPr>
      </w:pPr>
    </w:p>
    <w:p w:rsidR="00635B4E" w:rsidRDefault="00DA19B4" w:rsidP="00635B4E">
      <w:pPr>
        <w:spacing w:line="360" w:lineRule="auto"/>
        <w:ind w:left="1325" w:hangingChars="550" w:hanging="1325"/>
        <w:rPr>
          <w:rFonts w:ascii="Times New Roman" w:hAnsi="Times New Roman"/>
          <w:b/>
          <w:bCs/>
          <w:sz w:val="24"/>
          <w:szCs w:val="24"/>
          <w:lang w:bidi="ar"/>
        </w:rPr>
      </w:pPr>
      <w:r>
        <w:rPr>
          <w:rFonts w:ascii="Times New Roman" w:hAnsi="Times New Roman"/>
          <w:b/>
          <w:bCs/>
          <w:sz w:val="24"/>
          <w:szCs w:val="24"/>
          <w:lang w:bidi="ar"/>
        </w:rPr>
        <w:t xml:space="preserve">Table 3 </w:t>
      </w:r>
      <w:r w:rsidR="00635B4E">
        <w:rPr>
          <w:rFonts w:ascii="Times New Roman" w:hAnsi="Times New Roman"/>
          <w:b/>
          <w:bCs/>
          <w:sz w:val="24"/>
          <w:szCs w:val="24"/>
          <w:lang w:bidi="ar"/>
        </w:rPr>
        <w:t>FTIR spectral data of biogenic nanoparticles</w:t>
      </w:r>
    </w:p>
    <w:p w:rsidR="00635B4E" w:rsidRDefault="00635B4E" w:rsidP="00635B4E">
      <w:pPr>
        <w:jc w:val="center"/>
        <w:rPr>
          <w:rFonts w:ascii="Times New Roman" w:hAnsi="Times New Roman"/>
          <w:b/>
          <w:bCs/>
          <w:sz w:val="24"/>
          <w:szCs w:val="24"/>
          <w:lang w:bidi="ar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742"/>
        <w:gridCol w:w="2809"/>
        <w:gridCol w:w="3034"/>
      </w:tblGrid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635B4E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proofErr w:type="spellStart"/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S.No</w:t>
            </w:r>
            <w:proofErr w:type="spellEnd"/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 xml:space="preserve">Peak position 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Functional group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ar"/>
              </w:rPr>
              <w:t>Remark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3680.32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O-H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Alcohols and phenols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2.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2922.42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Alkanes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3.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1698.83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C=C stretching 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 xml:space="preserve">Alkene 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4.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1506.08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Alkanes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5.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1378.28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Alkanes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6.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1251.20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C-N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Amines</w:t>
            </w:r>
          </w:p>
        </w:tc>
      </w:tr>
      <w:tr w:rsidR="00635B4E" w:rsidRPr="00635B4E" w:rsidTr="00635B4E">
        <w:trPr>
          <w:trHeight w:val="433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7.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1055.75 cm</w:t>
            </w: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C-O, C-O-C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Flavonoids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lastRenderedPageBreak/>
              <w:t>8.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1033.08 cm</w:t>
            </w: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C-O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Alcohols and phenols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9.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1015.95 cm</w:t>
            </w: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C-O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Alcohols and phenols</w:t>
            </w:r>
          </w:p>
        </w:tc>
      </w:tr>
      <w:tr w:rsidR="00635B4E" w:rsidRPr="00635B4E" w:rsidTr="00635B4E">
        <w:trPr>
          <w:trHeight w:val="418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10.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810.85 cm</w:t>
            </w: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C-H bending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Aromatic compounds</w:t>
            </w:r>
          </w:p>
        </w:tc>
      </w:tr>
      <w:tr w:rsidR="00635B4E" w:rsidRPr="00635B4E" w:rsidTr="00635B4E">
        <w:trPr>
          <w:trHeight w:val="837"/>
          <w:jc w:val="center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</w:rPr>
              <w:t>11.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560.31 cm</w:t>
            </w: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bidi="ar"/>
              </w:rPr>
              <w:t>-1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>Ag-O stretching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B4E" w:rsidRPr="00635B4E" w:rsidRDefault="00635B4E" w:rsidP="00FD55E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</w:pPr>
            <w:r w:rsidRPr="00635B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ar"/>
              </w:rPr>
              <w:t xml:space="preserve">Silver biomolecule interaction </w:t>
            </w:r>
          </w:p>
        </w:tc>
      </w:tr>
    </w:tbl>
    <w:p w:rsidR="00635B4E" w:rsidRDefault="00635B4E"/>
    <w:p w:rsidR="00635B4E" w:rsidRDefault="00DA19B4" w:rsidP="00635B4E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Table 4</w:t>
      </w:r>
      <w:r w:rsidR="00635B4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Weight% and atomic% of biogenic silver nanoparticles</w:t>
      </w:r>
    </w:p>
    <w:p w:rsidR="00635B4E" w:rsidRDefault="00635B4E" w:rsidP="00635B4E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tbl>
      <w:tblPr>
        <w:tblpPr w:leftFromText="180" w:rightFromText="180" w:vertAnchor="text" w:horzAnchor="page" w:tblpXSpec="center" w:tblpY="359"/>
        <w:tblOverlap w:val="never"/>
        <w:tblW w:w="7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92"/>
        <w:gridCol w:w="1850"/>
        <w:gridCol w:w="2988"/>
      </w:tblGrid>
      <w:tr w:rsidR="00635B4E" w:rsidTr="00DA19B4">
        <w:trPr>
          <w:trHeight w:val="19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635B4E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S. No.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Elements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Weight %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Atomic %</w:t>
            </w:r>
          </w:p>
        </w:tc>
      </w:tr>
      <w:tr w:rsidR="00635B4E" w:rsidTr="00DA19B4">
        <w:trPr>
          <w:trHeight w:val="229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B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 w:rsidR="00635B4E" w:rsidTr="00DA19B4">
        <w:trPr>
          <w:trHeight w:val="215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C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40.08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71.71</w:t>
            </w:r>
          </w:p>
        </w:tc>
      </w:tr>
      <w:tr w:rsidR="00635B4E" w:rsidTr="00DA19B4">
        <w:trPr>
          <w:trHeight w:val="189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3.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N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1.87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2.88</w:t>
            </w:r>
          </w:p>
        </w:tc>
      </w:tr>
      <w:tr w:rsidR="00635B4E" w:rsidTr="00DA19B4">
        <w:trPr>
          <w:trHeight w:val="101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4.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O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10.04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13.49</w:t>
            </w:r>
          </w:p>
        </w:tc>
      </w:tr>
      <w:tr w:rsidR="00635B4E" w:rsidTr="00DA19B4">
        <w:trPr>
          <w:trHeight w:val="162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5.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Na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0.1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0.09</w:t>
            </w:r>
          </w:p>
        </w:tc>
      </w:tr>
      <w:tr w:rsidR="00635B4E" w:rsidTr="00DA19B4">
        <w:trPr>
          <w:trHeight w:val="153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6.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Mg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0.12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0.11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7.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P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8.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0.23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0.15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9.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Cl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4.15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2.52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10.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K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0.38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0.21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11.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Ca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0.43</w:t>
            </w:r>
          </w:p>
        </w:tc>
      </w:tr>
      <w:tr w:rsidR="00635B4E" w:rsidTr="00DA19B4">
        <w:trPr>
          <w:trHeight w:val="77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12.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Ag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42.22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8.41</w:t>
            </w:r>
          </w:p>
        </w:tc>
      </w:tr>
      <w:tr w:rsidR="00635B4E" w:rsidTr="00DA19B4">
        <w:trPr>
          <w:trHeight w:val="177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5B4E" w:rsidRDefault="00635B4E" w:rsidP="00FD55E1"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ar"/>
              </w:rPr>
              <w:t>100</w:t>
            </w:r>
          </w:p>
        </w:tc>
      </w:tr>
    </w:tbl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DA19B4" w:rsidRDefault="00DA19B4"/>
    <w:p w:rsidR="00DA19B4" w:rsidRDefault="00DA19B4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635B4E" w:rsidRDefault="00635B4E"/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4" w:rsidRDefault="00DA19B4" w:rsidP="0095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46C" w:rsidRDefault="00DA19B4" w:rsidP="0095546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5</w:t>
      </w:r>
      <w:r w:rsidR="0095546C" w:rsidRPr="0095546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95546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PDI after pre-treatment and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95546C" w:rsidRPr="0095546C">
        <w:rPr>
          <w:rFonts w:ascii="Times New Roman" w:hAnsi="Times New Roman" w:cs="Times New Roman"/>
          <w:b/>
          <w:sz w:val="24"/>
          <w:szCs w:val="24"/>
        </w:rPr>
        <w:t>ost</w:t>
      </w:r>
      <w:r w:rsidR="000E081D">
        <w:rPr>
          <w:rFonts w:ascii="Times New Roman" w:hAnsi="Times New Roman" w:cs="Times New Roman"/>
          <w:b/>
          <w:sz w:val="24"/>
          <w:szCs w:val="24"/>
        </w:rPr>
        <w:t>-</w:t>
      </w:r>
      <w:r w:rsidR="0095546C" w:rsidRPr="0095546C">
        <w:rPr>
          <w:rFonts w:ascii="Times New Roman" w:hAnsi="Times New Roman" w:cs="Times New Roman"/>
          <w:b/>
          <w:sz w:val="24"/>
          <w:szCs w:val="24"/>
        </w:rPr>
        <w:t xml:space="preserve"> inoculation treatment</w:t>
      </w:r>
      <w:r w:rsidR="0095546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of biogenic </w:t>
      </w:r>
    </w:p>
    <w:p w:rsidR="00635B4E" w:rsidRPr="0095546C" w:rsidRDefault="0095546C" w:rsidP="0095546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nanoparticles and copper oxychloride</w:t>
      </w:r>
    </w:p>
    <w:tbl>
      <w:tblPr>
        <w:tblpPr w:leftFromText="180" w:rightFromText="180" w:vertAnchor="text" w:horzAnchor="page" w:tblpX="1695" w:tblpY="535"/>
        <w:tblOverlap w:val="never"/>
        <w:tblW w:w="8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614"/>
        <w:gridCol w:w="1615"/>
        <w:gridCol w:w="1632"/>
        <w:gridCol w:w="1840"/>
      </w:tblGrid>
      <w:tr w:rsidR="0095546C" w:rsidTr="0095546C">
        <w:trPr>
          <w:trHeight w:val="296"/>
        </w:trPr>
        <w:tc>
          <w:tcPr>
            <w:tcW w:w="1658" w:type="dxa"/>
            <w:vMerge w:val="restart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5546C" w:rsidRDefault="0095546C" w:rsidP="0095546C">
            <w:pPr>
              <w:pStyle w:val="NormalWeb"/>
              <w:spacing w:line="360" w:lineRule="auto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Treatments</w:t>
            </w:r>
          </w:p>
        </w:tc>
        <w:tc>
          <w:tcPr>
            <w:tcW w:w="3229" w:type="dxa"/>
            <w:gridSpan w:val="2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/>
              </w:rPr>
            </w:pPr>
            <w:r w:rsidRPr="0095546C">
              <w:rPr>
                <w:b/>
              </w:rPr>
              <w:t>Pre-treatment</w:t>
            </w:r>
          </w:p>
        </w:tc>
        <w:tc>
          <w:tcPr>
            <w:tcW w:w="3472" w:type="dxa"/>
            <w:gridSpan w:val="2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95546C">
              <w:rPr>
                <w:b/>
              </w:rPr>
              <w:t>Post inoculation treatment</w:t>
            </w:r>
          </w:p>
        </w:tc>
      </w:tr>
      <w:tr w:rsidR="0095546C" w:rsidTr="0095546C">
        <w:trPr>
          <w:trHeight w:val="296"/>
        </w:trPr>
        <w:tc>
          <w:tcPr>
            <w:tcW w:w="1658" w:type="dxa"/>
            <w:vMerge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5546C" w:rsidRDefault="0095546C" w:rsidP="0095546C">
            <w:pPr>
              <w:pStyle w:val="NormalWeb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95546C" w:rsidRDefault="0095546C" w:rsidP="0095546C">
            <w:pPr>
              <w:pStyle w:val="NormalWeb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PDI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95546C" w:rsidRDefault="0095546C" w:rsidP="0095546C">
            <w:pPr>
              <w:pStyle w:val="NormalWeb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Std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> Error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5546C" w:rsidRDefault="0095546C" w:rsidP="0095546C">
            <w:pPr>
              <w:pStyle w:val="NormalWeb"/>
              <w:spacing w:line="360" w:lineRule="auto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PDI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95546C" w:rsidRDefault="0095546C" w:rsidP="0095546C">
            <w:pPr>
              <w:pStyle w:val="NormalWeb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Std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> Error</w:t>
            </w:r>
          </w:p>
        </w:tc>
      </w:tr>
      <w:tr w:rsidR="0095546C" w:rsidTr="0095546C">
        <w:trPr>
          <w:trHeight w:val="334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T</w:t>
            </w:r>
            <w:r w:rsidRPr="0095546C">
              <w:rPr>
                <w:rFonts w:cs="Times New Roman"/>
                <w:bCs/>
                <w:color w:val="000000" w:themeColor="text1"/>
                <w:vertAlign w:val="subscript"/>
              </w:rPr>
              <w:t>0</w:t>
            </w:r>
            <w:r w:rsidRPr="0095546C">
              <w:rPr>
                <w:rFonts w:cs="Times New Roman"/>
                <w:bCs/>
                <w:color w:val="000000" w:themeColor="text1"/>
              </w:rPr>
              <w:t> (Control)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95.83(83.09)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4.17(6.91)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87.50(73.09)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7.22(8.88)</w:t>
            </w:r>
          </w:p>
        </w:tc>
      </w:tr>
      <w:tr w:rsidR="0095546C" w:rsidTr="0095546C">
        <w:trPr>
          <w:trHeight w:val="326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T</w:t>
            </w:r>
            <w:r w:rsidRPr="0095546C">
              <w:rPr>
                <w:rFonts w:cs="Times New Roman"/>
                <w:color w:val="000000" w:themeColor="text1"/>
                <w:vertAlign w:val="subscript"/>
              </w:rPr>
              <w:t>1</w:t>
            </w:r>
            <w:r w:rsidRPr="0095546C">
              <w:rPr>
                <w:rFonts w:cs="Times New Roman"/>
                <w:color w:val="000000" w:themeColor="text1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70.83(58.07)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11.02(7.07)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66.67(54.80)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4.17(2.58)</w:t>
            </w:r>
          </w:p>
        </w:tc>
      </w:tr>
      <w:tr w:rsidR="0095546C" w:rsidTr="0095546C">
        <w:trPr>
          <w:trHeight w:val="264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T</w:t>
            </w:r>
            <w:r w:rsidRPr="0095546C">
              <w:rPr>
                <w:rFonts w:cs="Times New Roman"/>
                <w:bCs/>
                <w:color w:val="000000" w:themeColor="text1"/>
                <w:vertAlign w:val="subscript"/>
              </w:rPr>
              <w:t>2</w:t>
            </w:r>
            <w:r w:rsidRPr="0095546C">
              <w:rPr>
                <w:rFonts w:cs="Times New Roman"/>
                <w:bCs/>
                <w:color w:val="000000" w:themeColor="text1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33.33(35.16)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4.17(2.59)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37.50(37.57)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7.22(4.33)</w:t>
            </w:r>
          </w:p>
        </w:tc>
      </w:tr>
      <w:tr w:rsidR="0095546C" w:rsidTr="0095546C">
        <w:trPr>
          <w:trHeight w:val="304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T</w:t>
            </w:r>
            <w:r w:rsidRPr="0095546C">
              <w:rPr>
                <w:rFonts w:cs="Times New Roman"/>
                <w:color w:val="000000" w:themeColor="text1"/>
                <w:vertAlign w:val="subscript"/>
              </w:rPr>
              <w:t>3</w:t>
            </w:r>
            <w:r w:rsidRPr="0095546C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45.83(41.89)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18.16(11.44)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50.00(44.98)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14.43(8.66)</w:t>
            </w:r>
          </w:p>
        </w:tc>
      </w:tr>
      <w:tr w:rsidR="0095546C" w:rsidTr="0095546C">
        <w:trPr>
          <w:trHeight w:val="326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T</w:t>
            </w:r>
            <w:r w:rsidRPr="0095546C">
              <w:rPr>
                <w:rFonts w:cs="Times New Roman"/>
                <w:bCs/>
                <w:color w:val="000000" w:themeColor="text1"/>
                <w:vertAlign w:val="subscript"/>
              </w:rPr>
              <w:t>4</w:t>
            </w:r>
            <w:r w:rsidRPr="0095546C">
              <w:rPr>
                <w:rFonts w:cs="Times New Roman"/>
                <w:bCs/>
                <w:color w:val="000000" w:themeColor="text1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29.17(32.57)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4.17(2.59)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54.17(47.39)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15.02(8.99)</w:t>
            </w:r>
          </w:p>
        </w:tc>
      </w:tr>
      <w:tr w:rsidR="0095546C" w:rsidTr="0095546C">
        <w:trPr>
          <w:trHeight w:val="294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T</w:t>
            </w:r>
            <w:r w:rsidRPr="0095546C">
              <w:rPr>
                <w:rFonts w:cs="Times New Roman"/>
                <w:color w:val="000000" w:themeColor="text1"/>
                <w:vertAlign w:val="subscript"/>
              </w:rPr>
              <w:t>5</w:t>
            </w:r>
            <w:r w:rsidRPr="0095546C">
              <w:rPr>
                <w:rFonts w:cs="Times New Roman"/>
                <w:color w:val="000000" w:themeColor="text1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54.17(47.39)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15.02(8.99)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45.84(42.57)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8.33(4.83)</w:t>
            </w:r>
          </w:p>
        </w:tc>
      </w:tr>
      <w:tr w:rsidR="0095546C" w:rsidTr="0095546C">
        <w:trPr>
          <w:trHeight w:val="336"/>
        </w:trPr>
        <w:tc>
          <w:tcPr>
            <w:tcW w:w="165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T</w:t>
            </w:r>
            <w:r w:rsidRPr="0095546C">
              <w:rPr>
                <w:rFonts w:cs="Times New Roman"/>
                <w:color w:val="000000" w:themeColor="text1"/>
                <w:vertAlign w:val="subscript"/>
              </w:rPr>
              <w:t>6</w:t>
            </w:r>
            <w:r w:rsidRPr="0095546C">
              <w:rPr>
                <w:rFonts w:cs="Times New Roman"/>
                <w:color w:val="000000" w:themeColor="text1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50.00(45.16)</w:t>
            </w:r>
          </w:p>
        </w:tc>
        <w:tc>
          <w:tcPr>
            <w:tcW w:w="161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95546C">
              <w:rPr>
                <w:rFonts w:cs="Times New Roman"/>
                <w:color w:val="000000" w:themeColor="text1"/>
              </w:rPr>
              <w:t>12.50(7.41)</w:t>
            </w:r>
          </w:p>
        </w:tc>
        <w:tc>
          <w:tcPr>
            <w:tcW w:w="163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41.67(40.16)</w:t>
            </w:r>
          </w:p>
        </w:tc>
        <w:tc>
          <w:tcPr>
            <w:tcW w:w="184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auto"/>
            <w:vAlign w:val="center"/>
          </w:tcPr>
          <w:p w:rsidR="0095546C" w:rsidRPr="0095546C" w:rsidRDefault="0095546C" w:rsidP="0095546C">
            <w:pPr>
              <w:pStyle w:val="NormalWeb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95546C">
              <w:rPr>
                <w:rFonts w:cs="Times New Roman"/>
                <w:bCs/>
                <w:color w:val="000000" w:themeColor="text1"/>
              </w:rPr>
              <w:t>4.17(2.41)</w:t>
            </w:r>
          </w:p>
        </w:tc>
      </w:tr>
    </w:tbl>
    <w:p w:rsidR="0095546C" w:rsidRDefault="0095546C" w:rsidP="0095546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95546C" w:rsidRDefault="0095546C"/>
    <w:p w:rsidR="0095546C" w:rsidRPr="0095546C" w:rsidRDefault="0095546C" w:rsidP="0095546C"/>
    <w:p w:rsidR="0095546C" w:rsidRPr="0095546C" w:rsidRDefault="0095546C" w:rsidP="0095546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5546C">
        <w:rPr>
          <w:rFonts w:ascii="Times New Roman" w:eastAsia="SimSun" w:hAnsi="Times New Roman" w:cs="Times New Roman"/>
          <w:sz w:val="24"/>
          <w:szCs w:val="24"/>
        </w:rPr>
        <w:t>CD</w:t>
      </w:r>
      <w:r w:rsidRPr="0095546C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 (0.05)</w:t>
      </w:r>
      <w:r w:rsidRPr="0095546C">
        <w:rPr>
          <w:rFonts w:ascii="Times New Roman" w:eastAsia="SimSun" w:hAnsi="Times New Roman" w:cs="Times New Roman"/>
          <w:sz w:val="24"/>
          <w:szCs w:val="24"/>
        </w:rPr>
        <w:t xml:space="preserve"> =22.5, SE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5546C">
        <w:rPr>
          <w:rFonts w:ascii="Times New Roman" w:eastAsia="SimSun" w:hAnsi="Times New Roman" w:cs="Times New Roman"/>
          <w:sz w:val="24"/>
          <w:szCs w:val="24"/>
        </w:rPr>
        <w:t>(d</w:t>
      </w:r>
      <w:proofErr w:type="gramStart"/>
      <w:r w:rsidRPr="0095546C">
        <w:rPr>
          <w:rFonts w:ascii="Times New Roman" w:eastAsia="SimSun" w:hAnsi="Times New Roman" w:cs="Times New Roman"/>
          <w:sz w:val="24"/>
          <w:szCs w:val="24"/>
        </w:rPr>
        <w:t>)=</w:t>
      </w:r>
      <w:proofErr w:type="gramEnd"/>
      <w:r w:rsidRPr="0095546C">
        <w:rPr>
          <w:rFonts w:ascii="Times New Roman" w:eastAsia="SimSun" w:hAnsi="Times New Roman" w:cs="Times New Roman"/>
          <w:sz w:val="24"/>
          <w:szCs w:val="24"/>
        </w:rPr>
        <w:t>10.39 (</w:t>
      </w:r>
      <w:r w:rsidRPr="0095546C">
        <w:rPr>
          <w:rFonts w:ascii="Times New Roman" w:hAnsi="Times New Roman" w:cs="Times New Roman"/>
          <w:sz w:val="24"/>
          <w:szCs w:val="24"/>
        </w:rPr>
        <w:t>Pre-treatment</w:t>
      </w:r>
      <w:r w:rsidRPr="0095546C">
        <w:rPr>
          <w:rFonts w:ascii="Times New Roman" w:eastAsia="SimSun" w:hAnsi="Times New Roman" w:cs="Times New Roman"/>
          <w:sz w:val="24"/>
          <w:szCs w:val="24"/>
        </w:rPr>
        <w:t>)*; CD</w:t>
      </w:r>
      <w:r w:rsidRPr="0095546C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 (0.05)</w:t>
      </w:r>
      <w:r w:rsidRPr="0095546C">
        <w:rPr>
          <w:rFonts w:ascii="Times New Roman" w:eastAsia="SimSun" w:hAnsi="Times New Roman" w:cs="Times New Roman"/>
          <w:sz w:val="24"/>
          <w:szCs w:val="24"/>
        </w:rPr>
        <w:t xml:space="preserve"> =19.68, SE(d)=9.09 * (</w:t>
      </w:r>
      <w:r w:rsidRPr="0095546C">
        <w:rPr>
          <w:rFonts w:ascii="Times New Roman" w:hAnsi="Times New Roman" w:cs="Times New Roman"/>
          <w:sz w:val="24"/>
          <w:szCs w:val="24"/>
        </w:rPr>
        <w:t>Post inoculation treatment</w:t>
      </w:r>
      <w:r w:rsidRPr="0095546C">
        <w:rPr>
          <w:rFonts w:ascii="Times New Roman" w:eastAsia="SimSun" w:hAnsi="Times New Roman" w:cs="Times New Roman"/>
          <w:sz w:val="24"/>
          <w:szCs w:val="24"/>
        </w:rPr>
        <w:t>)</w:t>
      </w:r>
      <w:r>
        <w:rPr>
          <w:rFonts w:ascii="Times New Roman" w:eastAsia="SimSun" w:hAnsi="Times New Roman" w:cs="Times New Roman"/>
          <w:sz w:val="24"/>
          <w:szCs w:val="24"/>
        </w:rPr>
        <w:t xml:space="preserve">. All the experiments were performed in triplicates.  Values in </w:t>
      </w:r>
      <w:r w:rsidRPr="0095546C">
        <w:rPr>
          <w:rFonts w:ascii="Times New Roman" w:eastAsia="SimSun" w:hAnsi="Times New Roman" w:cs="Times New Roman"/>
          <w:sz w:val="24"/>
          <w:szCs w:val="24"/>
        </w:rPr>
        <w:t>parenthesis are angular transformed values</w:t>
      </w:r>
      <w:r w:rsidR="00DA19B4">
        <w:rPr>
          <w:rFonts w:ascii="Times New Roman" w:eastAsia="SimSun" w:hAnsi="Times New Roman" w:cs="Times New Roman"/>
          <w:sz w:val="24"/>
          <w:szCs w:val="24"/>
        </w:rPr>
        <w:t>.</w:t>
      </w:r>
    </w:p>
    <w:p w:rsidR="0095546C" w:rsidRPr="0095546C" w:rsidRDefault="0095546C" w:rsidP="0095546C">
      <w:pPr>
        <w:tabs>
          <w:tab w:val="left" w:pos="8115"/>
        </w:tabs>
      </w:pPr>
    </w:p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>
      <w:bookmarkStart w:id="0" w:name="_GoBack"/>
      <w:bookmarkEnd w:id="0"/>
    </w:p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Default="0095546C" w:rsidP="0095546C"/>
    <w:p w:rsid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95546C" w:rsidRPr="0095546C" w:rsidRDefault="0095546C" w:rsidP="0095546C"/>
    <w:p w:rsidR="00635B4E" w:rsidRPr="0095546C" w:rsidRDefault="00635B4E" w:rsidP="0095546C"/>
    <w:sectPr w:rsidR="00635B4E" w:rsidRPr="0095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E"/>
    <w:rsid w:val="000E081D"/>
    <w:rsid w:val="004000E1"/>
    <w:rsid w:val="00635B4E"/>
    <w:rsid w:val="0095546C"/>
    <w:rsid w:val="00B35B0E"/>
    <w:rsid w:val="00BB78AB"/>
    <w:rsid w:val="00C03076"/>
    <w:rsid w:val="00D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6137-E743-4C17-A446-955F9F2D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B4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95546C"/>
    <w:pPr>
      <w:spacing w:beforeAutospacing="1" w:after="0" w:afterAutospacing="1" w:line="240" w:lineRule="auto"/>
    </w:pPr>
    <w:rPr>
      <w:rFonts w:ascii="Times New Roman" w:eastAsia="SimSun" w:hAnsi="Times New Roman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2025-12-30T11:14:00Z</dcterms:created>
  <dcterms:modified xsi:type="dcterms:W3CDTF">2026-01-03T10:04:00Z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6eca49fd-776b-4bce-8362-5f19afabc6aa</vt:lpwstr>
  </property>
</Properties>
</file>