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5AB5" w14:textId="77777777" w:rsidR="00DF0423" w:rsidRDefault="00DF0423" w:rsidP="00A55A27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bookmarkStart w:id="0" w:name="_Hlk203148851"/>
    </w:p>
    <w:p w14:paraId="752920FB" w14:textId="451F6346" w:rsidR="00A55A27" w:rsidRPr="00A55A27" w:rsidRDefault="00A55A27" w:rsidP="00A55A27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A55A27">
        <w:rPr>
          <w:rFonts w:ascii="Times New Roman" w:hAnsi="Times New Roman" w:cs="Times New Roman"/>
          <w:noProof/>
          <w:sz w:val="24"/>
          <w:szCs w:val="24"/>
          <w:lang w:val="en-US"/>
        </w:rPr>
        <w:t>Supplementary information</w:t>
      </w:r>
    </w:p>
    <w:p w14:paraId="45E3215D" w14:textId="77777777" w:rsidR="00A55A27" w:rsidRPr="00A55A27" w:rsidRDefault="00A55A27" w:rsidP="00A55A27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bookmarkEnd w:id="0"/>
    <w:p w14:paraId="00FAFD92" w14:textId="21ABCC88" w:rsidR="00EA5719" w:rsidRDefault="00BB2F4C" w:rsidP="00EA571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B2F4C">
        <w:rPr>
          <w:rFonts w:ascii="Times New Roman" w:hAnsi="Times New Roman" w:cs="Times New Roman"/>
          <w:b/>
          <w:bCs/>
          <w:sz w:val="24"/>
          <w:szCs w:val="24"/>
          <w:lang w:val="en-US"/>
        </w:rPr>
        <w:t>Carbon stocks in natural forests of Colombia</w:t>
      </w:r>
    </w:p>
    <w:p w14:paraId="37DE8456" w14:textId="77777777" w:rsidR="00EA5719" w:rsidRPr="00550E5D" w:rsidRDefault="00EA5719" w:rsidP="00EA5719">
      <w:pPr>
        <w:spacing w:line="360" w:lineRule="auto"/>
        <w:rPr>
          <w:rFonts w:ascii="Times New Roman" w:eastAsiaTheme="majorEastAsia" w:hAnsi="Times New Roman" w:cs="Times New Roman"/>
          <w:bCs/>
          <w:sz w:val="24"/>
          <w:szCs w:val="24"/>
          <w:lang w:val="en-US"/>
        </w:rPr>
      </w:pPr>
    </w:p>
    <w:p w14:paraId="3F867FEB" w14:textId="40B10B1F" w:rsidR="000551F8" w:rsidRPr="00F87BE6" w:rsidRDefault="000551F8" w:rsidP="000551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>Miguel A. Peña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Claudia P. Olarte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Sebastián González-Caro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>, Sebastián Ramírez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Juan D. </w:t>
      </w:r>
      <w:r w:rsidR="002C735E" w:rsidRPr="002C735E">
        <w:rPr>
          <w:rFonts w:ascii="Times New Roman" w:hAnsi="Times New Roman" w:cs="Times New Roman"/>
          <w:color w:val="000000" w:themeColor="text1"/>
          <w:sz w:val="24"/>
          <w:szCs w:val="24"/>
        </w:rPr>
        <w:t>León-Peláez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F179E4">
        <w:rPr>
          <w:rFonts w:ascii="Times New Roman" w:eastAsiaTheme="majorEastAsia" w:hAnsi="Times New Roman" w:cs="Times New Roman"/>
          <w:sz w:val="24"/>
          <w:szCs w:val="24"/>
        </w:rPr>
        <w:t>Jorge A Rodríguez</w:t>
      </w:r>
      <w:r w:rsidRPr="004E5F6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F179E4">
        <w:rPr>
          <w:rFonts w:ascii="Times New Roman" w:eastAsiaTheme="majorEastAsia" w:hAnsi="Times New Roman" w:cs="Times New Roman"/>
          <w:sz w:val="24"/>
          <w:szCs w:val="24"/>
        </w:rPr>
        <w:t>, Oscar F Merchán</w:t>
      </w:r>
      <w:r w:rsidRPr="004E5F6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F179E4">
        <w:rPr>
          <w:rFonts w:ascii="Times New Roman" w:eastAsiaTheme="majorEastAsia" w:hAnsi="Times New Roman" w:cs="Times New Roman"/>
          <w:sz w:val="24"/>
          <w:szCs w:val="24"/>
        </w:rPr>
        <w:t>, Rubén D. Jurado</w:t>
      </w:r>
      <w:r w:rsidRPr="004E5F6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Theme="majorEastAsia" w:hAnsi="Times New Roman" w:cs="Times New Roman"/>
          <w:sz w:val="24"/>
          <w:szCs w:val="24"/>
        </w:rPr>
        <w:t xml:space="preserve">, </w:t>
      </w:r>
      <w:proofErr w:type="spellStart"/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>Alvaro</w:t>
      </w:r>
      <w:proofErr w:type="spellEnd"/>
      <w:r w:rsidRPr="00F87B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Duque</w:t>
      </w:r>
      <w:r w:rsidRPr="004E5F6E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</w:p>
    <w:p w14:paraId="25E628D3" w14:textId="77777777" w:rsidR="000551F8" w:rsidRDefault="000551F8" w:rsidP="000551F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</w:p>
    <w:p w14:paraId="09B8E0F3" w14:textId="77777777" w:rsidR="000551F8" w:rsidRPr="004E5F6E" w:rsidRDefault="000551F8" w:rsidP="000551F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4E5F6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1</w:t>
      </w:r>
      <w:r w:rsidRPr="004E5F6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4E5F6E">
        <w:rPr>
          <w:rFonts w:ascii="Times New Roman" w:eastAsiaTheme="majorEastAsia" w:hAnsi="Times New Roman" w:cs="Times New Roman"/>
          <w:sz w:val="24"/>
          <w:szCs w:val="24"/>
        </w:rPr>
        <w:t>Departamento</w:t>
      </w:r>
      <w:proofErr w:type="gramEnd"/>
      <w:r w:rsidRPr="004E5F6E">
        <w:rPr>
          <w:rFonts w:ascii="Times New Roman" w:eastAsiaTheme="majorEastAsia" w:hAnsi="Times New Roman" w:cs="Times New Roman"/>
          <w:sz w:val="24"/>
          <w:szCs w:val="24"/>
        </w:rPr>
        <w:t xml:space="preserve"> de Ciencias Forestales, Universidad Nacional de Colombia Sede Medellín, Medellín, Colombia</w:t>
      </w:r>
    </w:p>
    <w:p w14:paraId="149A89E5" w14:textId="77777777" w:rsidR="000551F8" w:rsidRPr="004E5F6E" w:rsidRDefault="000551F8" w:rsidP="000551F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4E5F6E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2</w:t>
      </w:r>
      <w:r w:rsidRPr="004E5F6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ajorEastAsia" w:hAnsi="Times New Roman" w:cs="Times New Roman"/>
          <w:sz w:val="24"/>
          <w:szCs w:val="24"/>
        </w:rPr>
        <w:t>Instituto</w:t>
      </w:r>
      <w:proofErr w:type="gramEnd"/>
      <w:r>
        <w:rPr>
          <w:rFonts w:ascii="Times New Roman" w:eastAsiaTheme="majorEastAsia" w:hAnsi="Times New Roman" w:cs="Times New Roman"/>
          <w:sz w:val="24"/>
          <w:szCs w:val="24"/>
        </w:rPr>
        <w:t xml:space="preserve"> de Hidrología Meteorología y Estudios Ambientales IDEAM</w:t>
      </w:r>
      <w:r w:rsidRPr="004E5F6E">
        <w:rPr>
          <w:rFonts w:ascii="Times New Roman" w:eastAsiaTheme="majorEastAsia" w:hAnsi="Times New Roman" w:cs="Times New Roman"/>
          <w:sz w:val="24"/>
          <w:szCs w:val="24"/>
        </w:rPr>
        <w:t>, Bogotá, Colombia</w:t>
      </w:r>
    </w:p>
    <w:p w14:paraId="07A8D1D7" w14:textId="77777777" w:rsidR="000551F8" w:rsidRPr="004E5F6E" w:rsidRDefault="000551F8" w:rsidP="000551F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</w:rPr>
      </w:pPr>
      <w:r w:rsidRPr="00D73AD4">
        <w:rPr>
          <w:rFonts w:ascii="Times New Roman" w:eastAsiaTheme="majorEastAsia" w:hAnsi="Times New Roman" w:cs="Times New Roman"/>
          <w:sz w:val="24"/>
          <w:szCs w:val="24"/>
          <w:vertAlign w:val="superscript"/>
        </w:rPr>
        <w:t>3</w:t>
      </w:r>
      <w:r w:rsidRPr="004E5F6E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proofErr w:type="gramStart"/>
      <w:r w:rsidRPr="004E5F6E">
        <w:rPr>
          <w:rFonts w:ascii="Times New Roman" w:eastAsiaTheme="majorEastAsia" w:hAnsi="Times New Roman" w:cs="Times New Roman"/>
          <w:sz w:val="24"/>
          <w:szCs w:val="24"/>
        </w:rPr>
        <w:t>Instituto</w:t>
      </w:r>
      <w:proofErr w:type="gramEnd"/>
      <w:r w:rsidRPr="004E5F6E">
        <w:rPr>
          <w:rFonts w:ascii="Times New Roman" w:eastAsiaTheme="majorEastAsia" w:hAnsi="Times New Roman" w:cs="Times New Roman"/>
          <w:sz w:val="24"/>
          <w:szCs w:val="24"/>
        </w:rPr>
        <w:t xml:space="preserve"> de Biología, Universidad de Antioquia, Medellín, Colombia</w:t>
      </w:r>
    </w:p>
    <w:p w14:paraId="2FA63344" w14:textId="77777777" w:rsidR="000551F8" w:rsidRPr="00B755CA" w:rsidRDefault="000551F8" w:rsidP="000551F8">
      <w:pPr>
        <w:spacing w:line="360" w:lineRule="auto"/>
        <w:rPr>
          <w:rFonts w:ascii="Times New Roman" w:eastAsiaTheme="majorEastAsia" w:hAnsi="Times New Roman" w:cs="Times New Roman"/>
          <w:sz w:val="24"/>
          <w:szCs w:val="24"/>
          <w:lang w:val="en-US"/>
        </w:rPr>
      </w:pPr>
      <w:r w:rsidRPr="00D73AD4">
        <w:rPr>
          <w:rFonts w:ascii="Times New Roman" w:eastAsiaTheme="majorEastAsia" w:hAnsi="Times New Roman" w:cs="Times New Roman"/>
          <w:sz w:val="24"/>
          <w:szCs w:val="24"/>
          <w:lang w:val="en-US"/>
        </w:rPr>
        <w:t>Corresponding author:</w:t>
      </w:r>
      <w:r w:rsidRPr="00B755CA">
        <w:rPr>
          <w:rFonts w:ascii="Times New Roman" w:eastAsiaTheme="majorEastAsia" w:hAnsi="Times New Roman" w:cs="Times New Roman"/>
          <w:sz w:val="24"/>
          <w:szCs w:val="24"/>
          <w:lang w:val="en-US"/>
        </w:rPr>
        <w:t xml:space="preserve"> Miguel A. Peña mapenah@unal.edu.co</w:t>
      </w:r>
    </w:p>
    <w:p w14:paraId="42CFFB29" w14:textId="16098D0D" w:rsidR="00A55A27" w:rsidRPr="00DF0423" w:rsidRDefault="00A55A27" w:rsidP="00A55A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774DAEE" w14:textId="77777777" w:rsidR="000551F8" w:rsidRPr="00DF0423" w:rsidRDefault="000551F8" w:rsidP="00A55A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7A05EB" w14:textId="6083E2AE" w:rsidR="00A55A27" w:rsidRPr="00074106" w:rsidRDefault="00074106" w:rsidP="00A55A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410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Supplementary methods</w:t>
      </w:r>
    </w:p>
    <w:p w14:paraId="4DB5C3F2" w14:textId="2442CF0F" w:rsidR="00074106" w:rsidRPr="00546169" w:rsidRDefault="001D123B" w:rsidP="0007410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1D123B">
        <w:rPr>
          <w:rFonts w:ascii="Times New Roman" w:hAnsi="Times New Roman" w:cs="Times New Roman"/>
          <w:i/>
          <w:iCs/>
          <w:sz w:val="24"/>
          <w:szCs w:val="24"/>
          <w:lang w:val="en-US"/>
        </w:rPr>
        <w:t>llometric models for height estimation</w:t>
      </w:r>
    </w:p>
    <w:p w14:paraId="37198DC7" w14:textId="20FF3567" w:rsidR="007044D3" w:rsidRDefault="00074106" w:rsidP="009340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Tree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 height (H, in m) was measured </w:t>
      </w:r>
      <w:r w:rsidR="00934047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 approximately 40% of the individuals within each cluster using a clinometer (</w:t>
      </w:r>
      <w:proofErr w:type="spellStart"/>
      <w:r w:rsidRPr="00715993">
        <w:rPr>
          <w:rFonts w:ascii="Times New Roman" w:hAnsi="Times New Roman" w:cs="Times New Roman"/>
          <w:sz w:val="24"/>
          <w:szCs w:val="24"/>
          <w:lang w:val="en-US"/>
        </w:rPr>
        <w:t>Sunto</w:t>
      </w:r>
      <w:proofErr w:type="spellEnd"/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). We estimated the heights of all trees </w:t>
      </w:r>
      <w:r w:rsidRPr="00074106">
        <w:rPr>
          <w:rFonts w:ascii="Times New Roman" w:hAnsi="Times New Roman" w:cs="Times New Roman"/>
          <w:sz w:val="24"/>
          <w:szCs w:val="24"/>
          <w:lang w:val="en-US"/>
        </w:rPr>
        <w:t xml:space="preserve">based on regional 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 xml:space="preserve">allometric relationships between height and diameter at breast height (DBH) </w:t>
      </w:r>
      <w:r w:rsidRPr="0086311A">
        <w:rPr>
          <w:rFonts w:ascii="Times New Roman" w:hAnsi="Times New Roman" w:cs="Times New Roman"/>
          <w:sz w:val="24"/>
          <w:szCs w:val="24"/>
          <w:lang w:val="en-US"/>
        </w:rPr>
        <w:t>(Table S</w:t>
      </w:r>
      <w:r w:rsidR="007044D3" w:rsidRPr="0086311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86311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044D3" w:rsidRPr="0086311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04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>For the Amazon</w:t>
      </w:r>
      <w:r w:rsidR="007C4440">
        <w:rPr>
          <w:rFonts w:ascii="Times New Roman" w:hAnsi="Times New Roman" w:cs="Times New Roman"/>
          <w:sz w:val="24"/>
          <w:szCs w:val="24"/>
          <w:lang w:val="en-US"/>
        </w:rPr>
        <w:t>ia</w:t>
      </w:r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 xml:space="preserve"> region, an </w:t>
      </w:r>
      <w:proofErr w:type="gramStart"/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>H:DBH</w:t>
      </w:r>
      <w:proofErr w:type="gramEnd"/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 xml:space="preserve"> allometric regression model was fitted using the data from 16,863 individuals</w:t>
      </w:r>
      <w:r w:rsidR="007044D3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7044D3" w:rsidRPr="0007410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7044D3" w:rsidRPr="007044D3">
        <w:rPr>
          <w:rFonts w:ascii="Times New Roman" w:hAnsi="Times New Roman" w:cs="Times New Roman"/>
          <w:i/>
          <w:iCs/>
          <w:sz w:val="24"/>
          <w:szCs w:val="24"/>
          <w:lang w:val="en-US"/>
        </w:rPr>
        <w:t>modelHD</w:t>
      </w:r>
      <w:proofErr w:type="spellEnd"/>
      <w:r w:rsidR="007044D3" w:rsidRPr="00074106">
        <w:rPr>
          <w:rFonts w:ascii="Times New Roman" w:hAnsi="Times New Roman" w:cs="Times New Roman"/>
          <w:sz w:val="24"/>
          <w:szCs w:val="24"/>
          <w:lang w:val="en-US"/>
        </w:rPr>
        <w:t xml:space="preserve"> function available in the BIOMASS package for R (</w:t>
      </w:r>
      <w:proofErr w:type="spellStart"/>
      <w:r w:rsidR="007044D3" w:rsidRPr="00074106">
        <w:rPr>
          <w:rFonts w:ascii="Times New Roman" w:hAnsi="Times New Roman" w:cs="Times New Roman"/>
          <w:sz w:val="24"/>
          <w:szCs w:val="24"/>
          <w:lang w:val="en-US"/>
        </w:rPr>
        <w:t>Réjou-Méchain</w:t>
      </w:r>
      <w:proofErr w:type="spellEnd"/>
      <w:r w:rsidR="007044D3" w:rsidRPr="00074106">
        <w:rPr>
          <w:rFonts w:ascii="Times New Roman" w:hAnsi="Times New Roman" w:cs="Times New Roman"/>
          <w:sz w:val="24"/>
          <w:szCs w:val="24"/>
          <w:lang w:val="en-US"/>
        </w:rPr>
        <w:t xml:space="preserve"> et al.</w:t>
      </w:r>
      <w:r w:rsidR="009340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044D3" w:rsidRPr="00074106">
        <w:rPr>
          <w:rFonts w:ascii="Times New Roman" w:hAnsi="Times New Roman" w:cs="Times New Roman"/>
          <w:sz w:val="24"/>
          <w:szCs w:val="24"/>
          <w:lang w:val="en-US"/>
        </w:rPr>
        <w:t xml:space="preserve"> 2017).</w:t>
      </w:r>
      <w:r w:rsidR="007044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 xml:space="preserve">The Weibull model was selected as the one that best describes the </w:t>
      </w:r>
      <w:proofErr w:type="gramStart"/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>H:DBW</w:t>
      </w:r>
      <w:proofErr w:type="gramEnd"/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 xml:space="preserve"> relationship (Table </w:t>
      </w:r>
      <w:r w:rsidR="007044D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3404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 xml:space="preserve"> and was also applied to estimate tree height in the </w:t>
      </w:r>
      <w:proofErr w:type="spellStart"/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>Orinoquia</w:t>
      </w:r>
      <w:proofErr w:type="spellEnd"/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 xml:space="preserve"> region</w:t>
      </w:r>
      <w:r w:rsidR="007044D3" w:rsidRPr="007044D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34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>For the Ande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 xml:space="preserve"> and Caribe regions, height estimates were based on the 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lastRenderedPageBreak/>
        <w:t>allometric model developed by Phillips et al. (2019), which incorporates field measurements of H and DBH collected along an elevational gradient on the Amazonia flank of the Eastern Cordillera in southern Colombia.</w:t>
      </w:r>
      <w:r w:rsidR="009340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4047" w:rsidRPr="00934047">
        <w:rPr>
          <w:rFonts w:ascii="Times New Roman" w:hAnsi="Times New Roman" w:cs="Times New Roman"/>
          <w:sz w:val="24"/>
          <w:szCs w:val="24"/>
          <w:lang w:val="en-US"/>
        </w:rPr>
        <w:t>For the Pacific region, we used the models fitted by Duque et al. (2017) (Table S2).</w:t>
      </w:r>
    </w:p>
    <w:p w14:paraId="448FB4A2" w14:textId="77777777" w:rsidR="00934047" w:rsidRPr="00934047" w:rsidRDefault="00934047" w:rsidP="00A55A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D3A064" w14:textId="77777777" w:rsidR="00074106" w:rsidRPr="00715993" w:rsidRDefault="00074106" w:rsidP="00074106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715993">
        <w:rPr>
          <w:rFonts w:ascii="Times New Roman" w:hAnsi="Times New Roman" w:cs="Times New Roman"/>
          <w:i/>
          <w:iCs/>
          <w:sz w:val="24"/>
          <w:szCs w:val="24"/>
          <w:lang w:val="en-US"/>
        </w:rPr>
        <w:t>Wood debris carbon stocks</w:t>
      </w:r>
    </w:p>
    <w:p w14:paraId="4CB568AC" w14:textId="38011136" w:rsidR="00546169" w:rsidRDefault="00074106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The carbon stored in the wood debris in each cluster was obtained by summing the dry mass stored in </w:t>
      </w:r>
      <w:r w:rsidR="00546169"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fallen trees and branches, categorized as fallen coarse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169"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(FCWD) and fallen fine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6169" w:rsidRPr="00715993">
        <w:rPr>
          <w:rFonts w:ascii="Times New Roman" w:hAnsi="Times New Roman" w:cs="Times New Roman"/>
          <w:sz w:val="24"/>
          <w:szCs w:val="24"/>
          <w:lang w:val="en-US"/>
        </w:rPr>
        <w:t>(FFWD)</w:t>
      </w:r>
      <w:r w:rsidR="0054616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46169" w:rsidRPr="00715993">
        <w:rPr>
          <w:rFonts w:ascii="Times New Roman" w:hAnsi="Times New Roman" w:cs="Times New Roman"/>
          <w:sz w:val="24"/>
          <w:szCs w:val="24"/>
          <w:lang w:val="en-US"/>
        </w:rPr>
        <w:t>as well as,</w:t>
      </w:r>
      <w:r w:rsidR="00546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standing coarse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>(SCWD), and multiplying by a factor of 0.456 (Martin et al., 2018).</w:t>
      </w:r>
    </w:p>
    <w:p w14:paraId="437193FF" w14:textId="66F503FB" w:rsidR="00743FBB" w:rsidRDefault="00743FBB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Fallen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were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categorized as fallen coarse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(FCWD) and fallen fine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>(FFWD)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743FBB">
        <w:rPr>
          <w:rFonts w:ascii="Times New Roman" w:hAnsi="Times New Roman" w:cs="Times New Roman"/>
          <w:sz w:val="24"/>
          <w:szCs w:val="24"/>
          <w:lang w:val="en-US"/>
        </w:rPr>
        <w:t xml:space="preserve">were tallied </w:t>
      </w:r>
      <w:r w:rsidR="007B50F9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Pr="00743FBB">
        <w:rPr>
          <w:rFonts w:ascii="Times New Roman" w:hAnsi="Times New Roman" w:cs="Times New Roman"/>
          <w:sz w:val="24"/>
          <w:szCs w:val="24"/>
          <w:lang w:val="en-US"/>
        </w:rPr>
        <w:t>the line cross‐section mass method (</w:t>
      </w:r>
      <w:proofErr w:type="spellStart"/>
      <w:r w:rsidRPr="00743FBB">
        <w:rPr>
          <w:rFonts w:ascii="Times New Roman" w:hAnsi="Times New Roman" w:cs="Times New Roman"/>
          <w:sz w:val="24"/>
          <w:szCs w:val="24"/>
          <w:lang w:val="en-US"/>
        </w:rPr>
        <w:t>Larjavaara</w:t>
      </w:r>
      <w:proofErr w:type="spellEnd"/>
      <w:r w:rsidRPr="00743FBB">
        <w:rPr>
          <w:rFonts w:ascii="Times New Roman" w:hAnsi="Times New Roman" w:cs="Times New Roman"/>
          <w:sz w:val="24"/>
          <w:szCs w:val="24"/>
          <w:lang w:val="en-US"/>
        </w:rPr>
        <w:t xml:space="preserve"> &amp; Muller‐Landau, 2011)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6311A">
        <w:rPr>
          <w:rFonts w:ascii="Times New Roman" w:hAnsi="Times New Roman" w:cs="Times New Roman"/>
          <w:sz w:val="24"/>
          <w:szCs w:val="24"/>
          <w:lang w:val="en-US"/>
        </w:rPr>
        <w:t>To quantify the mass of FCWD, logs with a diameter ≥</w:t>
      </w:r>
      <w:r w:rsidR="002242AF" w:rsidRPr="0086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6311A">
        <w:rPr>
          <w:rFonts w:ascii="Times New Roman" w:hAnsi="Times New Roman" w:cs="Times New Roman"/>
          <w:sz w:val="24"/>
          <w:szCs w:val="24"/>
          <w:lang w:val="en-US"/>
        </w:rPr>
        <w:t xml:space="preserve">20 cm </w:t>
      </w:r>
      <w:r w:rsidR="007B50F9" w:rsidRPr="0086311A">
        <w:rPr>
          <w:rFonts w:ascii="Times New Roman" w:hAnsi="Times New Roman" w:cs="Times New Roman"/>
          <w:sz w:val="24"/>
          <w:szCs w:val="24"/>
          <w:lang w:val="en-US"/>
        </w:rPr>
        <w:t>were tallied in eight transects</w:t>
      </w:r>
      <w:r w:rsidR="00933B02" w:rsidRPr="0086311A">
        <w:rPr>
          <w:rFonts w:ascii="Times New Roman" w:hAnsi="Times New Roman" w:cs="Times New Roman"/>
          <w:sz w:val="24"/>
          <w:szCs w:val="24"/>
          <w:lang w:val="en-US"/>
        </w:rPr>
        <w:t xml:space="preserve"> of 30 m each (</w:t>
      </w:r>
      <w:r w:rsidR="00605575" w:rsidRPr="0086311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933B02" w:rsidRPr="0086311A">
        <w:rPr>
          <w:rFonts w:ascii="Times New Roman" w:hAnsi="Times New Roman" w:cs="Times New Roman"/>
          <w:sz w:val="24"/>
          <w:szCs w:val="24"/>
          <w:lang w:val="en-US"/>
        </w:rPr>
        <w:t xml:space="preserve">0 m in total), which were divided </w:t>
      </w:r>
      <w:r w:rsidR="002242AF" w:rsidRPr="0086311A">
        <w:rPr>
          <w:rFonts w:ascii="Times New Roman" w:hAnsi="Times New Roman" w:cs="Times New Roman"/>
          <w:sz w:val="24"/>
          <w:szCs w:val="24"/>
          <w:lang w:val="en-US"/>
        </w:rPr>
        <w:t>into</w:t>
      </w:r>
      <w:r w:rsidR="00933B02" w:rsidRPr="0086311A">
        <w:rPr>
          <w:rFonts w:ascii="Times New Roman" w:hAnsi="Times New Roman" w:cs="Times New Roman"/>
          <w:sz w:val="24"/>
          <w:szCs w:val="24"/>
          <w:lang w:val="en-US"/>
        </w:rPr>
        <w:t xml:space="preserve"> sections of 10 m each, and located in the subplots 2 and 4 of each cluster (Figure S1</w:t>
      </w:r>
      <w:proofErr w:type="gramStart"/>
      <w:r w:rsidR="0086311A">
        <w:rPr>
          <w:rFonts w:ascii="Times New Roman" w:hAnsi="Times New Roman" w:cs="Times New Roman"/>
          <w:sz w:val="24"/>
          <w:szCs w:val="24"/>
          <w:lang w:val="en-US"/>
        </w:rPr>
        <w:t>A,C</w:t>
      </w:r>
      <w:proofErr w:type="gramEnd"/>
      <w:r w:rsidR="00933B02" w:rsidRPr="0086311A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4C6C91A" w14:textId="0E199F20" w:rsidR="00F513A1" w:rsidRDefault="00933B02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We used a caliper to measure D at the intersection point of the FCWD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transect. In addition, we recorded the direction of each piece as well as its inclination angle in relation to the transect line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γ</m:t>
        </m:r>
      </m:oMath>
      <w:r w:rsidR="00F513A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, using a SUNTO clinometer. The hardness of the wood of FCWD was measured at the D measurement point using a dynamic penetrometer </w:t>
      </w:r>
      <w:sdt>
        <w:sdtPr>
          <w:rPr>
            <w:rFonts w:ascii="Times New Roman" w:hAnsi="Times New Roman" w:cs="Times New Roman"/>
            <w:sz w:val="24"/>
            <w:szCs w:val="24"/>
          </w:rPr>
          <w:tag w:val="MENDELEY_CITATION_v3_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"/>
          <w:id w:val="370499200"/>
          <w:placeholder>
            <w:docPart w:val="35A256C00E434CAAA05F079A3659D016"/>
          </w:placeholder>
        </w:sdtPr>
        <w:sdtEndPr/>
        <w:sdtContent>
          <w:r w:rsidRPr="00933B0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(</w:t>
          </w:r>
          <w:proofErr w:type="spellStart"/>
          <w:r w:rsidRPr="00933B0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>Larjavaara</w:t>
          </w:r>
          <w:proofErr w:type="spellEnd"/>
          <w:r w:rsidRPr="00933B02"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  <w:t xml:space="preserve"> and Muller-Landau 2011)</w:t>
          </w:r>
        </w:sdtContent>
      </w:sdt>
      <w:r w:rsidRPr="00933B02">
        <w:rPr>
          <w:rFonts w:ascii="Times New Roman" w:hAnsi="Times New Roman" w:cs="Times New Roman"/>
          <w:sz w:val="24"/>
          <w:szCs w:val="24"/>
          <w:lang w:val="en-US"/>
        </w:rPr>
        <w:t>. The penetration depth (</w:t>
      </w:r>
      <w:bookmarkStart w:id="1" w:name="_Hlk204766962"/>
      <w:r w:rsidRPr="00933B02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933B0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bookmarkEnd w:id="1"/>
      <w:r w:rsidRPr="00933B02">
        <w:rPr>
          <w:rFonts w:ascii="Times New Roman" w:hAnsi="Times New Roman" w:cs="Times New Roman"/>
          <w:sz w:val="24"/>
          <w:szCs w:val="24"/>
          <w:lang w:val="en-US"/>
        </w:rPr>
        <w:t>, in cm) of the 20 cm pin after 20 strikes was measured; in those cases where the pin completely penetrated the piece (</w:t>
      </w:r>
      <w:r w:rsidRPr="00933B02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933B02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2242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20 cm), the number of strikes was registered. The wood samples of FCWDs encountered in each transect were weighed and packed in plastic bags, and the associated </w:t>
      </w:r>
      <w:r>
        <w:rPr>
          <w:rFonts w:ascii="Times New Roman" w:hAnsi="Times New Roman" w:cs="Times New Roman"/>
          <w:sz w:val="24"/>
          <w:szCs w:val="24"/>
          <w:lang w:val="en-US"/>
        </w:rPr>
        <w:t>oven-dry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weight and wood density (WD; g cm</w:t>
      </w:r>
      <w:r w:rsidRPr="00933B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) were determined in the laboratory of the Universidad Nacional de Colombia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in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Medellin.</w:t>
      </w:r>
    </w:p>
    <w:p w14:paraId="244664D3" w14:textId="6ADB28A0" w:rsidR="00F513A1" w:rsidRDefault="00933B02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B02">
        <w:rPr>
          <w:rFonts w:ascii="Times New Roman" w:hAnsi="Times New Roman" w:cs="Times New Roman"/>
          <w:sz w:val="24"/>
          <w:szCs w:val="24"/>
          <w:lang w:val="en-US"/>
        </w:rPr>
        <w:t>To calculate WD, we dried the samples at 65 ºC to constant weight (in g). The volume of each piece (in cm</w:t>
      </w:r>
      <w:r w:rsidRPr="00933B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) was calculated by water displacement. WD of FCWD (g cm</w:t>
      </w:r>
      <w:r w:rsidRPr="00933B0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-3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) was obtained by dividing the dry weight of the piece by its volume.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We fitted a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piecewise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regression between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the WD of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WDFC and the 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, using the data from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815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samples collected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in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all the country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. The selected model was WD =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 xml:space="preserve">1813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 xml:space="preserve">2170 </w:t>
      </w:r>
      <w:proofErr w:type="gramStart"/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ln(</w:t>
      </w:r>
      <w:proofErr w:type="gramEnd"/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&lt;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6) + 0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 xml:space="preserve">2597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 xml:space="preserve"> 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0101 ln(P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≥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13A1" w:rsidRPr="00F513A1">
        <w:rPr>
          <w:rFonts w:ascii="Times New Roman" w:hAnsi="Times New Roman" w:cs="Times New Roman"/>
          <w:sz w:val="24"/>
          <w:szCs w:val="24"/>
          <w:lang w:val="en-US"/>
        </w:rPr>
        <w:t>6)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sSubSup>
          <m:sSubSup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Adj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.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sup>
        </m:sSubSup>
      </m:oMath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=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0.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62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, p &lt;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0.001). The fitted model was employed to estimate the WD of those pieces of FCWD for which we only had a value of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8E66D1D" w14:textId="08A60855" w:rsidR="00933B02" w:rsidRPr="00933B02" w:rsidRDefault="00933B02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B02">
        <w:rPr>
          <w:rFonts w:ascii="Times New Roman" w:hAnsi="Times New Roman" w:cs="Times New Roman"/>
          <w:sz w:val="24"/>
          <w:szCs w:val="24"/>
          <w:lang w:val="en-US"/>
        </w:rPr>
        <w:t>The cross-section area (</w:t>
      </w:r>
      <w:r w:rsid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, in m</w:t>
      </w:r>
      <w:r w:rsidRPr="00F51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) of each piece of FCWD was estimated from D assuming a circular cross-section. When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γ</m:t>
        </m:r>
      </m:oMath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&gt;0°, a correction was applied dividing </w:t>
      </w:r>
      <w:r w:rsid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by the cosine of the angle (cos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γ</m:t>
        </m:r>
      </m:oMath>
      <w:r w:rsidRPr="00933B02">
        <w:rPr>
          <w:rFonts w:ascii="Times New Roman" w:hAnsi="Times New Roman" w:cs="Times New Roman"/>
          <w:sz w:val="24"/>
          <w:szCs w:val="24"/>
          <w:lang w:val="en-US"/>
        </w:rPr>
        <w:t>). The cross-section mass (</w:t>
      </w:r>
      <w:r w:rsid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, in kg m</w:t>
      </w:r>
      <w:r w:rsidRPr="00F51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) of each FCWD was calculated as the product of </w:t>
      </w:r>
      <w:r w:rsid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a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 xml:space="preserve">WD of each 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FCWD. The mass per area (</w:t>
      </w:r>
      <w:r w:rsidR="00F513A1" w:rsidRPr="00F513A1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>, in kg m</w:t>
      </w:r>
      <w:r w:rsidRPr="00F513A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-2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) in FCWD in each </w:t>
      </w:r>
      <w:r w:rsidR="00F513A1">
        <w:rPr>
          <w:rFonts w:ascii="Times New Roman" w:hAnsi="Times New Roman" w:cs="Times New Roman"/>
          <w:sz w:val="24"/>
          <w:szCs w:val="24"/>
          <w:lang w:val="en-US"/>
        </w:rPr>
        <w:t>cluster</w:t>
      </w:r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was calculated as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/>
          </w:rPr>
          <m:t xml:space="preserve">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i</m:t>
                </m:r>
              </m:sub>
            </m:sSub>
          </m:e>
        </m:nary>
      </m:oMath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</m:oMath>
      <w:r w:rsidRPr="00933B02">
        <w:rPr>
          <w:rFonts w:ascii="Times New Roman" w:hAnsi="Times New Roman" w:cs="Times New Roman"/>
          <w:sz w:val="24"/>
          <w:szCs w:val="24"/>
          <w:lang w:val="en-US"/>
        </w:rPr>
        <w:t xml:space="preserve"> is the total length of the transects (in m).</w:t>
      </w:r>
    </w:p>
    <w:p w14:paraId="4BD719DC" w14:textId="731CAB9A" w:rsidR="00933B02" w:rsidRDefault="00605575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5575">
        <w:rPr>
          <w:rFonts w:ascii="Times New Roman" w:hAnsi="Times New Roman" w:cs="Times New Roman"/>
          <w:sz w:val="24"/>
          <w:szCs w:val="24"/>
          <w:lang w:val="en-US"/>
        </w:rPr>
        <w:t>The mass of FFWD (2 cm ≤ D &lt;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20 cm) was also calculated using the </w:t>
      </w:r>
      <w:r w:rsidRPr="00605575">
        <w:rPr>
          <w:rFonts w:ascii="Times New Roman" w:hAnsi="Times New Roman" w:cs="Times New Roman"/>
          <w:i/>
          <w:iCs/>
          <w:sz w:val="24"/>
          <w:szCs w:val="24"/>
          <w:lang w:val="en-US"/>
        </w:rPr>
        <w:t>c</w:t>
      </w:r>
      <w:r w:rsidRPr="0060557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605575">
        <w:rPr>
          <w:rFonts w:ascii="Times New Roman" w:hAnsi="Times New Roman" w:cs="Times New Roman"/>
          <w:sz w:val="24"/>
          <w:szCs w:val="24"/>
          <w:lang w:val="en-US"/>
        </w:rPr>
        <w:t>Larjavaara</w:t>
      </w:r>
      <w:proofErr w:type="spellEnd"/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and Muller-Landau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2011), as for FCWD. In this case, a subsection of </w:t>
      </w:r>
      <w:r>
        <w:rPr>
          <w:rFonts w:ascii="Times New Roman" w:hAnsi="Times New Roman" w:cs="Times New Roman"/>
          <w:sz w:val="24"/>
          <w:szCs w:val="24"/>
          <w:lang w:val="en-US"/>
        </w:rPr>
        <w:t>1-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m located at the beginning of each section of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0 m along each transect of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>0 m was measured (2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sections of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m in each 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>circular plot, 48 by cluster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86311A">
        <w:rPr>
          <w:rFonts w:ascii="Times New Roman" w:hAnsi="Times New Roman" w:cs="Times New Roman"/>
          <w:sz w:val="24"/>
          <w:szCs w:val="24"/>
          <w:lang w:val="en-US"/>
        </w:rPr>
        <w:t>Figure S1</w:t>
      </w:r>
      <w:r w:rsidR="0086311A" w:rsidRPr="0086311A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311A">
        <w:rPr>
          <w:rFonts w:ascii="Times New Roman" w:hAnsi="Times New Roman" w:cs="Times New Roman"/>
          <w:sz w:val="24"/>
          <w:szCs w:val="24"/>
          <w:lang w:val="en-US"/>
        </w:rPr>
        <w:t>The D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of each FFWD was registered as well as the distance at which it was found along each transect.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each 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>FFWD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samples were collected, 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>weighed and packed into plastic bags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estimate WD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, which </w:t>
      </w:r>
      <w:r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605575">
        <w:rPr>
          <w:rFonts w:ascii="Times New Roman" w:hAnsi="Times New Roman" w:cs="Times New Roman"/>
          <w:sz w:val="24"/>
          <w:szCs w:val="24"/>
          <w:lang w:val="en-US"/>
        </w:rPr>
        <w:t xml:space="preserve"> obtained following the standard protocol mentioned above.</w:t>
      </w:r>
    </w:p>
    <w:p w14:paraId="29EDF838" w14:textId="594BA88A" w:rsidR="00546169" w:rsidRDefault="00546169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tanding coarse </w:t>
      </w:r>
      <w:r w:rsidR="00783CFD" w:rsidRPr="00715993">
        <w:rPr>
          <w:rFonts w:ascii="Times New Roman" w:hAnsi="Times New Roman" w:cs="Times New Roman"/>
          <w:sz w:val="24"/>
          <w:szCs w:val="24"/>
          <w:lang w:val="en-US"/>
        </w:rPr>
        <w:t>wood debris</w:t>
      </w:r>
      <w:r w:rsidR="00783C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4C2D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74106" w:rsidRPr="00715993">
        <w:rPr>
          <w:rFonts w:ascii="Times New Roman" w:hAnsi="Times New Roman" w:cs="Times New Roman"/>
          <w:sz w:val="24"/>
          <w:szCs w:val="24"/>
          <w:lang w:val="en-US"/>
        </w:rPr>
        <w:t>SCWD</w:t>
      </w:r>
      <w:r w:rsidR="003F4C2D">
        <w:rPr>
          <w:rFonts w:ascii="Times New Roman" w:hAnsi="Times New Roman" w:cs="Times New Roman"/>
          <w:sz w:val="24"/>
          <w:szCs w:val="24"/>
          <w:lang w:val="en-US"/>
        </w:rPr>
        <w:t>), d</w:t>
      </w:r>
      <w:r w:rsidR="00074106"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efined as all standing dead trees and stumps with a diameter (D) ≥ 10 cm, were censused within each cluster.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case of tree stumps with H &lt; 1.30 m, the 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>diameter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measured in the middle of the piece.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H of SCWD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measured with either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>linometer (</w:t>
      </w:r>
      <w:proofErr w:type="spellStart"/>
      <w:r w:rsidRPr="00715993">
        <w:rPr>
          <w:rFonts w:ascii="Times New Roman" w:hAnsi="Times New Roman" w:cs="Times New Roman"/>
          <w:sz w:val="24"/>
          <w:szCs w:val="24"/>
          <w:lang w:val="en-US"/>
        </w:rPr>
        <w:t>Sunto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or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Hastings telescopic fiberglass rods</w:t>
      </w:r>
      <w:r>
        <w:rPr>
          <w:rFonts w:ascii="Times New Roman" w:hAnsi="Times New Roman" w:cs="Times New Roman"/>
          <w:sz w:val="24"/>
          <w:szCs w:val="24"/>
          <w:lang w:val="en-US"/>
        </w:rPr>
        <w:t>. The volume of each SCWD was obtained using the equation for the volume of a cylinder (in m</w:t>
      </w:r>
      <w:r w:rsidRPr="0054616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 xml:space="preserve">WD of SCWD was estimated employing the </w:t>
      </w:r>
      <w:r w:rsidRPr="008936B8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8936B8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 xml:space="preserve">applied to the regression model fitted for </w:t>
      </w:r>
      <w:r w:rsidR="008936B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CWD. Pi was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measured at the diameter point at an angle of 45º with respect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 xml:space="preserve">the axis of the stump. The total </w:t>
      </w:r>
      <w:r w:rsidR="002242AF">
        <w:rPr>
          <w:rFonts w:ascii="Times New Roman" w:hAnsi="Times New Roman" w:cs="Times New Roman"/>
          <w:sz w:val="24"/>
          <w:szCs w:val="24"/>
          <w:lang w:val="en-US"/>
        </w:rPr>
        <w:t xml:space="preserve">dry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mass (in Mg) stored in each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46169">
        <w:rPr>
          <w:rFonts w:ascii="Times New Roman" w:hAnsi="Times New Roman" w:cs="Times New Roman"/>
          <w:sz w:val="24"/>
          <w:szCs w:val="24"/>
          <w:lang w:val="en-US"/>
        </w:rPr>
        <w:t>SCWD was calculated by multiplying the volume by WD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68D9537" w14:textId="40A24C14" w:rsidR="00DF0423" w:rsidRDefault="00DF0423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45965FB" w14:textId="77777777" w:rsidR="00DF0423" w:rsidRPr="00F179E4" w:rsidRDefault="00DF0423" w:rsidP="00DF042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179E4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14:paraId="1B257923" w14:textId="6339ED90" w:rsidR="00DF0423" w:rsidRPr="002C735E" w:rsidRDefault="00DF0423" w:rsidP="007C28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Duque, A., Saldarriaga, J., Meyer, V., Saatchi, S., 2017. Structure and allometry in tropical forests of Chocó, Colombia. </w:t>
      </w:r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</w:t>
      </w:r>
      <w:proofErr w:type="spellStart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>Ecol</w:t>
      </w:r>
      <w:proofErr w:type="spellEnd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Manage 405, 309–318. </w:t>
      </w:r>
      <w:hyperlink r:id="rId4" w:history="1">
        <w:r w:rsidRPr="002C735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https://doi.org/10.1016/j.foreco.2017.09.048</w:t>
        </w:r>
      </w:hyperlink>
    </w:p>
    <w:p w14:paraId="6B6599D9" w14:textId="37B960E6" w:rsidR="00DF0423" w:rsidRDefault="00DF0423" w:rsidP="007C28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Larjavaara</w:t>
      </w:r>
      <w:proofErr w:type="spellEnd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Muller-Landau, H.C., 2011. </w:t>
      </w:r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Cross-section mass: an improved basis for woody debris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necromass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inventory. </w:t>
      </w:r>
      <w:r w:rsidRPr="007B0404">
        <w:rPr>
          <w:rFonts w:ascii="Times New Roman" w:eastAsia="Times New Roman" w:hAnsi="Times New Roman" w:cs="Times New Roman"/>
          <w:sz w:val="24"/>
          <w:szCs w:val="24"/>
        </w:rPr>
        <w:t xml:space="preserve">Silva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</w:rPr>
        <w:t>Fennica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</w:rPr>
        <w:t xml:space="preserve"> 45.</w:t>
      </w:r>
    </w:p>
    <w:p w14:paraId="33A0A083" w14:textId="1A50B050" w:rsidR="00DF0423" w:rsidRPr="002C735E" w:rsidRDefault="00DF0423" w:rsidP="007C28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35E">
        <w:rPr>
          <w:rFonts w:ascii="Times New Roman" w:eastAsia="Times New Roman" w:hAnsi="Times New Roman" w:cs="Times New Roman"/>
          <w:sz w:val="24"/>
          <w:szCs w:val="24"/>
        </w:rPr>
        <w:t xml:space="preserve">Martin, A.R., </w:t>
      </w:r>
      <w:proofErr w:type="spellStart"/>
      <w:r w:rsidRPr="002C735E">
        <w:rPr>
          <w:rFonts w:ascii="Times New Roman" w:eastAsia="Times New Roman" w:hAnsi="Times New Roman" w:cs="Times New Roman"/>
          <w:sz w:val="24"/>
          <w:szCs w:val="24"/>
        </w:rPr>
        <w:t>Doraisami</w:t>
      </w:r>
      <w:proofErr w:type="spellEnd"/>
      <w:r w:rsidRPr="002C735E">
        <w:rPr>
          <w:rFonts w:ascii="Times New Roman" w:eastAsia="Times New Roman" w:hAnsi="Times New Roman" w:cs="Times New Roman"/>
          <w:sz w:val="24"/>
          <w:szCs w:val="24"/>
        </w:rPr>
        <w:t xml:space="preserve">, M., Thomas, S.C., 2018. </w:t>
      </w:r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Global patterns in wood carbon concentration across the world’s trees and forests. Nat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Geosci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11, 915–920. </w:t>
      </w:r>
      <w:hyperlink r:id="rId5" w:history="1">
        <w:r w:rsidRPr="002C735E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https://doi.org/10.1038/s41561-018-0246-x</w:t>
        </w:r>
      </w:hyperlink>
    </w:p>
    <w:p w14:paraId="5B306A2D" w14:textId="77777777" w:rsidR="00DF0423" w:rsidRPr="00DF0423" w:rsidRDefault="00DF0423" w:rsidP="007C28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Phillips, J., Ramirez, S., Wayson, C., Duque, A., 2019. </w:t>
      </w:r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Differences in carbon stocks along an elevational gradient in tropical mountain forests of Colombia. </w:t>
      </w:r>
      <w:proofErr w:type="spellStart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>Biotropica</w:t>
      </w:r>
      <w:proofErr w:type="spellEnd"/>
      <w:r w:rsidRPr="002C7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51, 490–499. </w:t>
      </w:r>
      <w:hyperlink r:id="rId6" w:history="1">
        <w:r w:rsidRPr="00DF0423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https://doi.org/10.1111/btp.12675</w:t>
        </w:r>
      </w:hyperlink>
    </w:p>
    <w:p w14:paraId="14FA76B6" w14:textId="2C43EFA5" w:rsidR="00DF0423" w:rsidRDefault="00DF0423" w:rsidP="007C288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Réjou-Méchain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M., Tanguy, A.,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Piponiot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Chave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J.,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Hérault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B., 2017. biomass: an r package for estimating above-ground biomass and its uncertainty in tropical forests. Methods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Ecol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>Evol</w:t>
      </w:r>
      <w:proofErr w:type="spellEnd"/>
      <w:r w:rsidRPr="007B04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8, 1163–1167. </w:t>
      </w:r>
      <w:hyperlink r:id="rId7" w:history="1">
        <w:r w:rsidRPr="00EF6611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n-US"/>
          </w:rPr>
          <w:t>https://doi.org/10.1111/2041-210X.12753</w:t>
        </w:r>
      </w:hyperlink>
    </w:p>
    <w:p w14:paraId="526EEBD0" w14:textId="77777777" w:rsidR="00DF0423" w:rsidRDefault="00DF0423" w:rsidP="00D1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CC766" w14:textId="08109D89" w:rsidR="00C61543" w:rsidRPr="00E30533" w:rsidRDefault="00C61543" w:rsidP="00A55A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533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467252C" w14:textId="447879CE" w:rsidR="002247AF" w:rsidRPr="002247AF" w:rsidRDefault="002247AF" w:rsidP="00A55A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S1.</w:t>
      </w:r>
      <w:r w:rsidRPr="002247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B0F6B" w:rsidRPr="00D13D78">
        <w:rPr>
          <w:rFonts w:ascii="Times New Roman" w:hAnsi="Times New Roman" w:cs="Times New Roman"/>
          <w:sz w:val="24"/>
          <w:szCs w:val="24"/>
          <w:lang w:val="en-US"/>
        </w:rPr>
        <w:t>Total and forest a</w:t>
      </w:r>
      <w:r w:rsidR="002242AF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rea for each </w:t>
      </w:r>
      <w:r w:rsidR="009B0F6B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natural </w:t>
      </w:r>
      <w:r w:rsidR="002242AF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region </w:t>
      </w:r>
      <w:r w:rsidR="009B0F6B" w:rsidRPr="00D13D78">
        <w:rPr>
          <w:rFonts w:ascii="Times New Roman" w:hAnsi="Times New Roman" w:cs="Times New Roman"/>
          <w:sz w:val="24"/>
          <w:szCs w:val="24"/>
          <w:lang w:val="en-US"/>
        </w:rPr>
        <w:t>in Colombia,</w:t>
      </w:r>
      <w:r w:rsidR="002242AF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9B0F6B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D13D78">
        <w:rPr>
          <w:rFonts w:ascii="Times New Roman" w:hAnsi="Times New Roman" w:cs="Times New Roman"/>
          <w:sz w:val="24"/>
          <w:szCs w:val="24"/>
          <w:lang w:val="en-US"/>
        </w:rPr>
        <w:t>number of clusters (plots) of the National Forest Inventory</w:t>
      </w:r>
      <w:r w:rsidR="009B0F6B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 included in this study.</w:t>
      </w:r>
      <w:r w:rsidR="005B125B" w:rsidRPr="00D13D78">
        <w:rPr>
          <w:rFonts w:ascii="Times New Roman" w:hAnsi="Times New Roman" w:cs="Times New Roman"/>
          <w:sz w:val="24"/>
          <w:szCs w:val="24"/>
          <w:lang w:val="en-US"/>
        </w:rPr>
        <w:t xml:space="preserve"> The area of natural forest by biogeographic region was obtained in the 2016 forest cover map produced by IDEAM (</w:t>
      </w:r>
      <w:hyperlink r:id="rId8" w:history="1">
        <w:r w:rsidR="00D13D78" w:rsidRPr="00D13D78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https://ideam.gov.co/nuestra-entidad/ecosistemas-e-informacion-ambiental/sistema-monitoreo-bosques-carbono</w:t>
        </w:r>
      </w:hyperlink>
      <w:r w:rsidR="005B125B" w:rsidRPr="00D13D7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1"/>
        <w:gridCol w:w="1954"/>
        <w:gridCol w:w="2301"/>
        <w:gridCol w:w="2262"/>
      </w:tblGrid>
      <w:tr w:rsidR="002242AF" w:rsidRPr="002247AF" w14:paraId="7A78BE27" w14:textId="77777777" w:rsidTr="002242AF">
        <w:tc>
          <w:tcPr>
            <w:tcW w:w="2311" w:type="dxa"/>
            <w:vAlign w:val="center"/>
          </w:tcPr>
          <w:p w14:paraId="42FAC80B" w14:textId="43CA09D3" w:rsidR="002242AF" w:rsidRPr="002247AF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1954" w:type="dxa"/>
          </w:tcPr>
          <w:p w14:paraId="6B149C90" w14:textId="77777777" w:rsidR="002242AF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 area</w:t>
            </w:r>
          </w:p>
          <w:p w14:paraId="12A1E4AC" w14:textId="12B4A34F" w:rsidR="002242AF" w:rsidRPr="002247AF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2301" w:type="dxa"/>
            <w:vAlign w:val="center"/>
          </w:tcPr>
          <w:p w14:paraId="79AB8C99" w14:textId="701B4940" w:rsidR="002242AF" w:rsidRDefault="00E30533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Forest a</w:t>
            </w:r>
            <w:r w:rsidR="002242AF" w:rsidRPr="002247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</w:t>
            </w:r>
          </w:p>
          <w:p w14:paraId="29D91B53" w14:textId="284BA953" w:rsidR="002242AF" w:rsidRPr="002247AF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(ha)</w:t>
            </w:r>
          </w:p>
        </w:tc>
        <w:tc>
          <w:tcPr>
            <w:tcW w:w="2262" w:type="dxa"/>
            <w:vAlign w:val="center"/>
          </w:tcPr>
          <w:p w14:paraId="5E9626BF" w14:textId="77777777" w:rsidR="00E30533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Number of</w:t>
            </w:r>
          </w:p>
          <w:p w14:paraId="08FA0404" w14:textId="6A0F0DED" w:rsidR="002242AF" w:rsidRPr="002247AF" w:rsidRDefault="002242AF" w:rsidP="002247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clusters</w:t>
            </w:r>
          </w:p>
        </w:tc>
      </w:tr>
      <w:tr w:rsidR="002242AF" w14:paraId="1050DC3E" w14:textId="77777777" w:rsidTr="002242AF">
        <w:tc>
          <w:tcPr>
            <w:tcW w:w="2311" w:type="dxa"/>
          </w:tcPr>
          <w:p w14:paraId="0523E0EC" w14:textId="1DE214D3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Amazon</w:t>
            </w:r>
            <w:r w:rsidR="00783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1954" w:type="dxa"/>
          </w:tcPr>
          <w:p w14:paraId="74829AA5" w14:textId="0D684B0D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171</w:t>
            </w:r>
          </w:p>
        </w:tc>
        <w:tc>
          <w:tcPr>
            <w:tcW w:w="2301" w:type="dxa"/>
            <w:vAlign w:val="center"/>
          </w:tcPr>
          <w:p w14:paraId="4C786FDC" w14:textId="42064CCF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</w:t>
            </w:r>
          </w:p>
        </w:tc>
        <w:tc>
          <w:tcPr>
            <w:tcW w:w="2262" w:type="dxa"/>
            <w:vAlign w:val="center"/>
          </w:tcPr>
          <w:p w14:paraId="4368389E" w14:textId="04F6D342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139</w:t>
            </w:r>
          </w:p>
        </w:tc>
      </w:tr>
      <w:tr w:rsidR="002242AF" w14:paraId="312A73BD" w14:textId="77777777" w:rsidTr="002242AF">
        <w:tc>
          <w:tcPr>
            <w:tcW w:w="2311" w:type="dxa"/>
          </w:tcPr>
          <w:p w14:paraId="091DFE02" w14:textId="21A8A660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Andes</w:t>
            </w:r>
          </w:p>
        </w:tc>
        <w:tc>
          <w:tcPr>
            <w:tcW w:w="1954" w:type="dxa"/>
          </w:tcPr>
          <w:p w14:paraId="5980E893" w14:textId="39F1A798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</w:t>
            </w:r>
          </w:p>
        </w:tc>
        <w:tc>
          <w:tcPr>
            <w:tcW w:w="2301" w:type="dxa"/>
            <w:vAlign w:val="center"/>
          </w:tcPr>
          <w:p w14:paraId="5EA65124" w14:textId="2143D31A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</w:tc>
        <w:tc>
          <w:tcPr>
            <w:tcW w:w="2262" w:type="dxa"/>
            <w:vAlign w:val="center"/>
          </w:tcPr>
          <w:p w14:paraId="2D83B7AF" w14:textId="5A07B189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</w:tr>
      <w:tr w:rsidR="002242AF" w14:paraId="1DF3B9E0" w14:textId="77777777" w:rsidTr="002242AF">
        <w:tc>
          <w:tcPr>
            <w:tcW w:w="2311" w:type="dxa"/>
          </w:tcPr>
          <w:p w14:paraId="44A6F838" w14:textId="6320F33B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Caribe</w:t>
            </w:r>
          </w:p>
        </w:tc>
        <w:tc>
          <w:tcPr>
            <w:tcW w:w="1954" w:type="dxa"/>
          </w:tcPr>
          <w:p w14:paraId="300485E9" w14:textId="11762A32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155</w:t>
            </w:r>
          </w:p>
        </w:tc>
        <w:tc>
          <w:tcPr>
            <w:tcW w:w="2301" w:type="dxa"/>
            <w:vAlign w:val="center"/>
          </w:tcPr>
          <w:p w14:paraId="548D5F06" w14:textId="79D5FC7A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966</w:t>
            </w:r>
          </w:p>
        </w:tc>
        <w:tc>
          <w:tcPr>
            <w:tcW w:w="2262" w:type="dxa"/>
            <w:vAlign w:val="center"/>
          </w:tcPr>
          <w:p w14:paraId="4E834B7C" w14:textId="580820D7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2242AF" w14:paraId="39A23510" w14:textId="77777777" w:rsidTr="002242AF">
        <w:tc>
          <w:tcPr>
            <w:tcW w:w="2311" w:type="dxa"/>
          </w:tcPr>
          <w:p w14:paraId="2A2E9A72" w14:textId="5D631635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Orinoqu</w:t>
            </w:r>
            <w:r w:rsidR="00783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End"/>
          </w:p>
        </w:tc>
        <w:tc>
          <w:tcPr>
            <w:tcW w:w="1954" w:type="dxa"/>
          </w:tcPr>
          <w:p w14:paraId="53699498" w14:textId="4914791E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618</w:t>
            </w:r>
          </w:p>
        </w:tc>
        <w:tc>
          <w:tcPr>
            <w:tcW w:w="2301" w:type="dxa"/>
            <w:vAlign w:val="center"/>
          </w:tcPr>
          <w:p w14:paraId="58E7D99C" w14:textId="54486EF8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514</w:t>
            </w:r>
          </w:p>
        </w:tc>
        <w:tc>
          <w:tcPr>
            <w:tcW w:w="2262" w:type="dxa"/>
            <w:vAlign w:val="center"/>
          </w:tcPr>
          <w:p w14:paraId="5194197A" w14:textId="2D72B069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2242AF" w14:paraId="09FD47D8" w14:textId="77777777" w:rsidTr="002242AF">
        <w:tc>
          <w:tcPr>
            <w:tcW w:w="2311" w:type="dxa"/>
          </w:tcPr>
          <w:p w14:paraId="1EDA7531" w14:textId="0D45D2A0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</w:t>
            </w:r>
            <w:r w:rsidR="00783C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fic</w:t>
            </w:r>
          </w:p>
        </w:tc>
        <w:tc>
          <w:tcPr>
            <w:tcW w:w="1954" w:type="dxa"/>
          </w:tcPr>
          <w:p w14:paraId="1E93D0AA" w14:textId="6F3DDE92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969</w:t>
            </w:r>
          </w:p>
        </w:tc>
        <w:tc>
          <w:tcPr>
            <w:tcW w:w="2301" w:type="dxa"/>
            <w:vAlign w:val="center"/>
          </w:tcPr>
          <w:p w14:paraId="3DCE8C21" w14:textId="7C07DA23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267</w:t>
            </w:r>
          </w:p>
        </w:tc>
        <w:tc>
          <w:tcPr>
            <w:tcW w:w="2262" w:type="dxa"/>
            <w:vAlign w:val="center"/>
          </w:tcPr>
          <w:p w14:paraId="37E291B9" w14:textId="59B55400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2242AF" w14:paraId="05B1EAE0" w14:textId="77777777" w:rsidTr="002242AF">
        <w:tc>
          <w:tcPr>
            <w:tcW w:w="2311" w:type="dxa"/>
          </w:tcPr>
          <w:p w14:paraId="54B9D095" w14:textId="461CBDE7" w:rsidR="002242AF" w:rsidRDefault="002242AF" w:rsidP="002242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1954" w:type="dxa"/>
          </w:tcPr>
          <w:p w14:paraId="780C3843" w14:textId="29E30675" w:rsidR="002242AF" w:rsidRPr="002247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487</w:t>
            </w:r>
          </w:p>
        </w:tc>
        <w:tc>
          <w:tcPr>
            <w:tcW w:w="2301" w:type="dxa"/>
            <w:vAlign w:val="center"/>
          </w:tcPr>
          <w:p w14:paraId="7783B6EC" w14:textId="7D95EF3C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247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277</w:t>
            </w:r>
          </w:p>
        </w:tc>
        <w:tc>
          <w:tcPr>
            <w:tcW w:w="2262" w:type="dxa"/>
            <w:vAlign w:val="center"/>
          </w:tcPr>
          <w:p w14:paraId="130D70ED" w14:textId="628644CE" w:rsidR="002242AF" w:rsidRDefault="002242AF" w:rsidP="002242A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</w:t>
            </w:r>
          </w:p>
        </w:tc>
      </w:tr>
    </w:tbl>
    <w:p w14:paraId="51388E04" w14:textId="113E3814" w:rsidR="002247AF" w:rsidRDefault="002247AF" w:rsidP="00A55A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9B2584" w14:textId="77777777" w:rsidR="00F54117" w:rsidRDefault="00F54117" w:rsidP="00A55A2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9869DE" w14:textId="7F7BD598" w:rsidR="00840A7B" w:rsidRDefault="00A705EE" w:rsidP="00D508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 S2.</w:t>
      </w:r>
      <w:r w:rsidRPr="00A70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08E1" w:rsidRPr="00D508E1">
        <w:rPr>
          <w:rFonts w:ascii="Times New Roman" w:hAnsi="Times New Roman" w:cs="Times New Roman"/>
          <w:sz w:val="24"/>
          <w:szCs w:val="24"/>
          <w:lang w:val="en-US"/>
        </w:rPr>
        <w:t xml:space="preserve">Allometric models </w:t>
      </w:r>
      <w:r w:rsidR="00D508E1"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="00D508E1" w:rsidRPr="00D508E1">
        <w:rPr>
          <w:rFonts w:ascii="Times New Roman" w:hAnsi="Times New Roman" w:cs="Times New Roman"/>
          <w:sz w:val="24"/>
          <w:szCs w:val="24"/>
          <w:lang w:val="en-US"/>
        </w:rPr>
        <w:t>employed to estimate tree height (H) based on diameter at breast height (DBH).</w:t>
      </w:r>
    </w:p>
    <w:tbl>
      <w:tblPr>
        <w:tblStyle w:val="Tabladelista6concolores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6379"/>
        <w:gridCol w:w="1165"/>
      </w:tblGrid>
      <w:tr w:rsidR="00D508E1" w:rsidRPr="00D508E1" w14:paraId="4315BF5C" w14:textId="77777777" w:rsidTr="00D50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pct"/>
            <w:shd w:val="clear" w:color="auto" w:fill="auto"/>
            <w:noWrap/>
            <w:vAlign w:val="center"/>
            <w:hideMark/>
          </w:tcPr>
          <w:p w14:paraId="437C270C" w14:textId="5D391F5A" w:rsidR="00D508E1" w:rsidRPr="00D508E1" w:rsidRDefault="00D508E1" w:rsidP="00054376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Region</w:t>
            </w:r>
          </w:p>
        </w:tc>
        <w:tc>
          <w:tcPr>
            <w:tcW w:w="3613" w:type="pct"/>
            <w:shd w:val="clear" w:color="auto" w:fill="auto"/>
            <w:vAlign w:val="center"/>
          </w:tcPr>
          <w:p w14:paraId="0CF2DA7E" w14:textId="7374AD8A" w:rsidR="00D508E1" w:rsidRPr="00D508E1" w:rsidRDefault="00D508E1" w:rsidP="00054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Model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5BB4D329" w14:textId="05B7B835" w:rsidR="00D508E1" w:rsidRPr="00D508E1" w:rsidRDefault="00D508E1" w:rsidP="000543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</w:tr>
      <w:tr w:rsidR="00D508E1" w:rsidRPr="00D508E1" w14:paraId="7881D60D" w14:textId="77777777" w:rsidTr="00D50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pct"/>
            <w:shd w:val="clear" w:color="auto" w:fill="auto"/>
            <w:noWrap/>
            <w:vAlign w:val="center"/>
            <w:hideMark/>
          </w:tcPr>
          <w:p w14:paraId="345B02BE" w14:textId="0FFD953D" w:rsidR="00D508E1" w:rsidRPr="00D508E1" w:rsidRDefault="00D508E1" w:rsidP="00054376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Amazon</w:t>
            </w:r>
            <w:r w:rsidR="00783CFD">
              <w:rPr>
                <w:rFonts w:ascii="Times New Roman" w:hAnsi="Times New Roman" w:cs="Times New Roman"/>
                <w:lang w:val="en-US"/>
              </w:rPr>
              <w:t>i</w:t>
            </w:r>
            <w:r w:rsidRPr="00D508E1">
              <w:rPr>
                <w:rFonts w:ascii="Times New Roman" w:hAnsi="Times New Roman" w:cs="Times New Roman"/>
                <w:lang w:val="en-US"/>
              </w:rPr>
              <w:t>a</w:t>
            </w:r>
          </w:p>
          <w:p w14:paraId="2284F018" w14:textId="232CF374" w:rsidR="00D508E1" w:rsidRPr="00D508E1" w:rsidRDefault="00D508E1" w:rsidP="00054376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508E1">
              <w:rPr>
                <w:rFonts w:ascii="Times New Roman" w:hAnsi="Times New Roman" w:cs="Times New Roman"/>
                <w:lang w:val="en-US"/>
              </w:rPr>
              <w:t>Orinoqu</w:t>
            </w:r>
            <w:r w:rsidR="00783CFD">
              <w:rPr>
                <w:rFonts w:ascii="Times New Roman" w:hAnsi="Times New Roman" w:cs="Times New Roman"/>
                <w:lang w:val="en-US"/>
              </w:rPr>
              <w:t>i</w:t>
            </w:r>
            <w:r w:rsidRPr="00D508E1">
              <w:rPr>
                <w:rFonts w:ascii="Times New Roman" w:hAnsi="Times New Roman" w:cs="Times New Roman"/>
                <w:lang w:val="en-US"/>
              </w:rPr>
              <w:t>a</w:t>
            </w:r>
            <w:proofErr w:type="spellEnd"/>
          </w:p>
        </w:tc>
        <w:tc>
          <w:tcPr>
            <w:tcW w:w="3613" w:type="pct"/>
            <w:shd w:val="clear" w:color="auto" w:fill="auto"/>
            <w:vAlign w:val="center"/>
          </w:tcPr>
          <w:p w14:paraId="60FB7D9E" w14:textId="14259A6F" w:rsidR="00D508E1" w:rsidRPr="00D508E1" w:rsidRDefault="00D508E1" w:rsidP="00054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 = 37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 × (1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C288C" w:rsidRPr="00D508E1">
              <w:rPr>
                <w:rFonts w:ascii="Times New Roman" w:eastAsia="Times New Roman" w:hAnsi="Times New Roman" w:cs="Times New Roman"/>
                <w:lang w:val="en-US"/>
              </w:rPr>
              <w:t>−</w:t>
            </w:r>
            <w:proofErr w:type="gramStart"/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exp(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C288C" w:rsidRPr="00D508E1">
              <w:rPr>
                <w:rFonts w:ascii="Times New Roman" w:eastAsia="Times New Roman" w:hAnsi="Times New Roman" w:cs="Times New Roman"/>
                <w:lang w:val="en-US"/>
              </w:rPr>
              <w:t>−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</w:t>
            </w:r>
            <w:proofErr w:type="gramEnd"/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DBH/31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35)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78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2B0EF961" w14:textId="7434BF00" w:rsidR="00D508E1" w:rsidRPr="00D508E1" w:rsidRDefault="00D508E1" w:rsidP="00054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This study</w:t>
            </w:r>
          </w:p>
        </w:tc>
      </w:tr>
      <w:tr w:rsidR="00D508E1" w:rsidRPr="00D508E1" w14:paraId="1A5AF140" w14:textId="77777777" w:rsidTr="00D508E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pct"/>
            <w:shd w:val="clear" w:color="auto" w:fill="auto"/>
            <w:noWrap/>
            <w:vAlign w:val="center"/>
          </w:tcPr>
          <w:p w14:paraId="27FDAC6E" w14:textId="77777777" w:rsidR="00D508E1" w:rsidRPr="00D508E1" w:rsidRDefault="00D508E1" w:rsidP="00054376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Andes</w:t>
            </w:r>
          </w:p>
          <w:p w14:paraId="49CCCD9B" w14:textId="77777777" w:rsidR="00D508E1" w:rsidRPr="00D508E1" w:rsidRDefault="00D508E1" w:rsidP="00054376">
            <w:pPr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Caribe</w:t>
            </w:r>
          </w:p>
        </w:tc>
        <w:tc>
          <w:tcPr>
            <w:tcW w:w="3613" w:type="pct"/>
            <w:shd w:val="clear" w:color="auto" w:fill="auto"/>
            <w:vAlign w:val="center"/>
          </w:tcPr>
          <w:p w14:paraId="50F87E63" w14:textId="42EF7ED2" w:rsidR="00D508E1" w:rsidRPr="00D508E1" w:rsidRDefault="00D508E1" w:rsidP="000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H = 39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 × (1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C288C" w:rsidRPr="00D508E1">
              <w:rPr>
                <w:rFonts w:ascii="Times New Roman" w:eastAsia="Times New Roman" w:hAnsi="Times New Roman" w:cs="Times New Roman"/>
                <w:lang w:val="en-US"/>
              </w:rPr>
              <w:t>−</w:t>
            </w:r>
            <w:proofErr w:type="gramStart"/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exp(</w:t>
            </w:r>
            <w:proofErr w:type="gramEnd"/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="007C288C" w:rsidRPr="00D508E1">
              <w:rPr>
                <w:rFonts w:ascii="Times New Roman" w:eastAsia="Times New Roman" w:hAnsi="Times New Roman" w:cs="Times New Roman"/>
                <w:lang w:val="en-US"/>
              </w:rPr>
              <w:t>−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07 × DBH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62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))</w:t>
            </w:r>
          </w:p>
        </w:tc>
        <w:tc>
          <w:tcPr>
            <w:tcW w:w="660" w:type="pct"/>
            <w:shd w:val="clear" w:color="auto" w:fill="auto"/>
            <w:vAlign w:val="center"/>
          </w:tcPr>
          <w:p w14:paraId="681575F4" w14:textId="0C1DD4EF" w:rsidR="00D508E1" w:rsidRPr="00D508E1" w:rsidRDefault="00D508E1" w:rsidP="000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Phillips et al. (2019)</w:t>
            </w:r>
          </w:p>
        </w:tc>
      </w:tr>
      <w:tr w:rsidR="00D508E1" w:rsidRPr="00D508E1" w14:paraId="17D269AD" w14:textId="77777777" w:rsidTr="00D508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pct"/>
            <w:shd w:val="clear" w:color="auto" w:fill="auto"/>
            <w:noWrap/>
            <w:vAlign w:val="center"/>
          </w:tcPr>
          <w:p w14:paraId="2DE5F566" w14:textId="7A2163E0" w:rsidR="00D508E1" w:rsidRPr="00D508E1" w:rsidRDefault="00D508E1" w:rsidP="00054376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Pac</w:t>
            </w:r>
            <w:r w:rsidR="00783CFD">
              <w:rPr>
                <w:rFonts w:ascii="Times New Roman" w:hAnsi="Times New Roman" w:cs="Times New Roman"/>
                <w:lang w:val="en-US"/>
              </w:rPr>
              <w:t>i</w:t>
            </w:r>
            <w:r w:rsidRPr="00D508E1">
              <w:rPr>
                <w:rFonts w:ascii="Times New Roman" w:hAnsi="Times New Roman" w:cs="Times New Roman"/>
                <w:lang w:val="en-US"/>
              </w:rPr>
              <w:t>fic</w:t>
            </w:r>
          </w:p>
          <w:p w14:paraId="6A041907" w14:textId="22FD5C28" w:rsidR="00D508E1" w:rsidRPr="00D508E1" w:rsidRDefault="00D508E1" w:rsidP="00054376">
            <w:pPr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Trees</w:t>
            </w:r>
          </w:p>
        </w:tc>
        <w:tc>
          <w:tcPr>
            <w:tcW w:w="3613" w:type="pct"/>
            <w:shd w:val="clear" w:color="auto" w:fill="auto"/>
            <w:vAlign w:val="center"/>
          </w:tcPr>
          <w:p w14:paraId="3A410C9E" w14:textId="4E5B4DBF" w:rsidR="00D508E1" w:rsidRPr="00D508E1" w:rsidRDefault="00D508E1" w:rsidP="00054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508E1">
              <w:rPr>
                <w:rFonts w:ascii="Times New Roman" w:eastAsia="Times New Roman" w:hAnsi="Times New Roman" w:cs="Times New Roman"/>
                <w:lang w:val="en-US"/>
              </w:rPr>
              <w:t>ln(H)=0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27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48×</w:t>
            </w:r>
            <w:proofErr w:type="gramStart"/>
            <w:r w:rsidRPr="00D508E1">
              <w:rPr>
                <w:rFonts w:ascii="Times New Roman" w:eastAsia="Times New Roman" w:hAnsi="Times New Roman" w:cs="Times New Roman"/>
                <w:lang w:val="en-US"/>
              </w:rPr>
              <w:t>ln(</w:t>
            </w:r>
            <w:proofErr w:type="gramEnd"/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−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25×ln(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D508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r w:rsidR="007C288C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02×ln(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D508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660" w:type="pct"/>
            <w:vMerge w:val="restart"/>
            <w:shd w:val="clear" w:color="auto" w:fill="auto"/>
            <w:vAlign w:val="center"/>
          </w:tcPr>
          <w:p w14:paraId="6C8DD287" w14:textId="65A7137A" w:rsidR="00D508E1" w:rsidRPr="00D508E1" w:rsidRDefault="00D508E1" w:rsidP="00054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Duque et al. (2017)</w:t>
            </w:r>
          </w:p>
        </w:tc>
      </w:tr>
      <w:tr w:rsidR="00D508E1" w:rsidRPr="007C288C" w14:paraId="651B11E8" w14:textId="77777777" w:rsidTr="00D508E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pct"/>
            <w:shd w:val="clear" w:color="auto" w:fill="auto"/>
            <w:noWrap/>
            <w:vAlign w:val="center"/>
          </w:tcPr>
          <w:p w14:paraId="7E2CC339" w14:textId="64BFF4C8" w:rsidR="00D508E1" w:rsidRPr="00D508E1" w:rsidRDefault="00D508E1" w:rsidP="00054376">
            <w:pPr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Pac</w:t>
            </w:r>
            <w:r w:rsidR="00783CFD">
              <w:rPr>
                <w:rFonts w:ascii="Times New Roman" w:hAnsi="Times New Roman" w:cs="Times New Roman"/>
                <w:lang w:val="en-US"/>
              </w:rPr>
              <w:t>i</w:t>
            </w:r>
            <w:r w:rsidRPr="00D508E1">
              <w:rPr>
                <w:rFonts w:ascii="Times New Roman" w:hAnsi="Times New Roman" w:cs="Times New Roman"/>
                <w:lang w:val="en-US"/>
              </w:rPr>
              <w:t>fic</w:t>
            </w:r>
          </w:p>
          <w:p w14:paraId="164A5673" w14:textId="6CC51CA8" w:rsidR="00D508E1" w:rsidRPr="00D508E1" w:rsidRDefault="00D508E1" w:rsidP="00054376">
            <w:pPr>
              <w:rPr>
                <w:rFonts w:ascii="Times New Roman" w:hAnsi="Times New Roman" w:cs="Times New Roman"/>
                <w:lang w:val="en-US"/>
              </w:rPr>
            </w:pPr>
            <w:r w:rsidRPr="00D508E1">
              <w:rPr>
                <w:rFonts w:ascii="Times New Roman" w:hAnsi="Times New Roman" w:cs="Times New Roman"/>
                <w:lang w:val="en-US"/>
              </w:rPr>
              <w:t>Palms</w:t>
            </w:r>
          </w:p>
        </w:tc>
        <w:tc>
          <w:tcPr>
            <w:tcW w:w="3613" w:type="pct"/>
            <w:shd w:val="clear" w:color="auto" w:fill="auto"/>
            <w:vAlign w:val="center"/>
          </w:tcPr>
          <w:p w14:paraId="3CE32D41" w14:textId="63DEF0E5" w:rsidR="00D508E1" w:rsidRPr="00D508E1" w:rsidRDefault="00D508E1" w:rsidP="000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val="en-US"/>
              </w:rPr>
            </w:pPr>
            <w:r w:rsidRPr="00D508E1">
              <w:rPr>
                <w:rFonts w:ascii="Times New Roman" w:eastAsia="Times New Roman" w:hAnsi="Times New Roman" w:cs="Times New Roman"/>
                <w:lang w:val="en-US"/>
              </w:rPr>
              <w:t>ln(H)=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−15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33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19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81×</w:t>
            </w:r>
            <w:proofErr w:type="gramStart"/>
            <w:r w:rsidRPr="00D508E1">
              <w:rPr>
                <w:rFonts w:ascii="Times New Roman" w:eastAsia="Times New Roman" w:hAnsi="Times New Roman" w:cs="Times New Roman"/>
                <w:lang w:val="en-US"/>
              </w:rPr>
              <w:t>ln(</w:t>
            </w:r>
            <w:proofErr w:type="gramEnd"/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–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7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45×ln(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D508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r w:rsidR="007C288C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+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7C288C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95×ln(</w:t>
            </w:r>
            <w:r w:rsidRPr="00D508E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DBH</w:t>
            </w:r>
            <w:r w:rsidRPr="00D508E1">
              <w:rPr>
                <w:rFonts w:ascii="Times New Roman" w:eastAsia="Times New Roman" w:hAnsi="Times New Roman" w:cs="Times New Roman"/>
                <w:lang w:val="en-US"/>
              </w:rPr>
              <w:t>)</w:t>
            </w:r>
            <w:r w:rsidRPr="00D508E1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3</w:t>
            </w:r>
          </w:p>
        </w:tc>
        <w:tc>
          <w:tcPr>
            <w:tcW w:w="660" w:type="pct"/>
            <w:vMerge/>
            <w:shd w:val="clear" w:color="auto" w:fill="auto"/>
            <w:vAlign w:val="center"/>
          </w:tcPr>
          <w:p w14:paraId="724BE848" w14:textId="77777777" w:rsidR="00D508E1" w:rsidRPr="00D508E1" w:rsidRDefault="00D508E1" w:rsidP="000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CCCA332" w14:textId="7BDE4C9D" w:rsidR="00D508E1" w:rsidRDefault="00D508E1" w:rsidP="00D508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4B1D77" w14:textId="77777777" w:rsidR="00E107BB" w:rsidRDefault="00E107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779445E7" w14:textId="78F82593" w:rsidR="00E107BB" w:rsidRDefault="00E107BB" w:rsidP="00E10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S3.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Loads of the main ordination axes </w:t>
      </w:r>
      <w:r w:rsidRPr="00F54117">
        <w:rPr>
          <w:rFonts w:ascii="Times New Roman" w:hAnsi="Times New Roman" w:cs="Times New Roman"/>
          <w:sz w:val="24"/>
          <w:szCs w:val="24"/>
          <w:lang w:val="en-US"/>
        </w:rPr>
        <w:t>obtained from a principal component analysis (PCA)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applied to climatic and soil variables. </w:t>
      </w:r>
      <w:bookmarkStart w:id="2" w:name="_Hlk199942941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limate variables: mean annual temperature (MAT), temperature seasonality (TS), mean annual precipitation (MAP), precipitation seasonality (PS), cloud area fraction (CLT), </w:t>
      </w:r>
      <w:proofErr w:type="spellStart"/>
      <w:r w:rsidRPr="00715993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 pressure deficit (VPD), and potent</w:t>
      </w:r>
      <w:r w:rsidRPr="00F46861">
        <w:rPr>
          <w:rFonts w:ascii="Times New Roman" w:hAnsi="Times New Roman" w:cs="Times New Roman"/>
          <w:sz w:val="24"/>
          <w:szCs w:val="24"/>
          <w:lang w:val="en-US"/>
        </w:rPr>
        <w:t>ial evapotranspiration (</w:t>
      </w:r>
      <w:r>
        <w:rPr>
          <w:rFonts w:ascii="Times New Roman" w:hAnsi="Times New Roman" w:cs="Times New Roman"/>
          <w:sz w:val="24"/>
          <w:szCs w:val="24"/>
          <w:lang w:val="en-US"/>
        </w:rPr>
        <w:t>PET</w:t>
      </w:r>
      <w:r w:rsidRPr="00F46861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End w:id="2"/>
      <w:r>
        <w:rPr>
          <w:rFonts w:ascii="Times New Roman" w:hAnsi="Times New Roman" w:cs="Times New Roman"/>
          <w:sz w:val="24"/>
          <w:szCs w:val="24"/>
          <w:lang w:val="en-US"/>
        </w:rPr>
        <w:t xml:space="preserve"> Soil variables: pH, </w:t>
      </w:r>
      <w:r w:rsidRPr="008E6536">
        <w:rPr>
          <w:rFonts w:ascii="Times New Roman" w:hAnsi="Times New Roman" w:cs="Times New Roman"/>
          <w:sz w:val="24"/>
          <w:szCs w:val="24"/>
          <w:lang w:val="en-US"/>
        </w:rPr>
        <w:t>phosphorus (P),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E6536">
        <w:rPr>
          <w:rFonts w:ascii="Times New Roman" w:hAnsi="Times New Roman" w:cs="Times New Roman"/>
          <w:sz w:val="24"/>
          <w:szCs w:val="24"/>
          <w:lang w:val="en-US"/>
        </w:rPr>
        <w:t xml:space="preserve">luminum (Al), calcium (Ca), magnesium (Mg), potassium (K), </w:t>
      </w:r>
      <w:r w:rsidR="0024122E">
        <w:rPr>
          <w:rFonts w:ascii="Times New Roman" w:hAnsi="Times New Roman" w:cs="Times New Roman"/>
          <w:sz w:val="24"/>
          <w:szCs w:val="24"/>
          <w:lang w:val="en-US"/>
        </w:rPr>
        <w:t>and cation</w:t>
      </w:r>
      <w:r w:rsidRPr="008E6536">
        <w:rPr>
          <w:rFonts w:ascii="Times New Roman" w:hAnsi="Times New Roman" w:cs="Times New Roman"/>
          <w:sz w:val="24"/>
          <w:szCs w:val="24"/>
          <w:lang w:val="en-US"/>
        </w:rPr>
        <w:t xml:space="preserve"> exchange capacity (CEC)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3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200"/>
        <w:gridCol w:w="1200"/>
      </w:tblGrid>
      <w:tr w:rsidR="00E107BB" w:rsidRPr="00F54117" w14:paraId="2771A399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E4AAF59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CO"/>
              </w:rPr>
            </w:pPr>
            <w:r w:rsidRPr="00F541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CO"/>
              </w:rPr>
              <w:t>Climate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235A9B2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PC1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BBECA1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PC2</w:t>
            </w:r>
          </w:p>
        </w:tc>
      </w:tr>
      <w:tr w:rsidR="00E107BB" w:rsidRPr="00F54117" w14:paraId="6FF3A306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4D9DE685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A15029" w14:textId="4869FA09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53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08D188C" w14:textId="2B955DB2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71</w:t>
            </w:r>
          </w:p>
        </w:tc>
      </w:tr>
      <w:tr w:rsidR="00E107BB" w:rsidRPr="00F54117" w14:paraId="64767FC2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70C21A3B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1754FC7" w14:textId="35ED4971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C82795B" w14:textId="5F0C082E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31</w:t>
            </w:r>
          </w:p>
        </w:tc>
      </w:tr>
      <w:tr w:rsidR="00E107BB" w:rsidRPr="00F54117" w14:paraId="56D678BC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31101E4D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MAP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674E3B" w14:textId="596F05CF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0311A9A" w14:textId="675BBCA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08</w:t>
            </w:r>
          </w:p>
        </w:tc>
      </w:tr>
      <w:tr w:rsidR="00E107BB" w:rsidRPr="00F54117" w14:paraId="1AC0466A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7CE2A89F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PS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E6BE449" w14:textId="36E7C319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C217633" w14:textId="16D9AEE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18</w:t>
            </w:r>
          </w:p>
        </w:tc>
      </w:tr>
      <w:tr w:rsidR="00E107BB" w:rsidRPr="00F54117" w14:paraId="51330A53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5D5A19B6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CLT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49946B6" w14:textId="73A1C532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673AAE06" w14:textId="2FAF9B28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20</w:t>
            </w:r>
          </w:p>
        </w:tc>
      </w:tr>
      <w:tr w:rsidR="00E107BB" w:rsidRPr="00F54117" w14:paraId="2B4F28C7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2E1FEC71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PET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BE802C" w14:textId="74C9C1EB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28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C47D8A6" w14:textId="47B96888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34</w:t>
            </w:r>
          </w:p>
        </w:tc>
      </w:tr>
      <w:tr w:rsidR="00E107BB" w:rsidRPr="00F54117" w14:paraId="6BBFF8C7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16DC3748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VPD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9418898" w14:textId="2D1D7264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0221F4FB" w14:textId="4B035CE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63</w:t>
            </w:r>
          </w:p>
        </w:tc>
      </w:tr>
      <w:tr w:rsidR="00E107BB" w:rsidRPr="00F54117" w14:paraId="401A4D66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center"/>
          </w:tcPr>
          <w:p w14:paraId="3EB7E1F5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CO"/>
              </w:rPr>
              <w:t>Soil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2F64418E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PC1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3433BE5A" w14:textId="77777777" w:rsidR="00E107BB" w:rsidRPr="00F54117" w:rsidRDefault="00E107BB" w:rsidP="00E22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CO"/>
              </w:rPr>
              <w:t>PC2</w:t>
            </w:r>
          </w:p>
        </w:tc>
      </w:tr>
      <w:tr w:rsidR="00E107BB" w:rsidRPr="00F54117" w14:paraId="03CB0903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4C181F91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pH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7FCB86" w14:textId="075D0C4C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93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5AFC951" w14:textId="730B315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87</w:t>
            </w:r>
          </w:p>
        </w:tc>
      </w:tr>
      <w:tr w:rsidR="00E107BB" w:rsidRPr="00F54117" w14:paraId="06063B94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1F2570BD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P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A62C26C" w14:textId="6E64F73B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46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9C9992E" w14:textId="2F887595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02</w:t>
            </w:r>
          </w:p>
        </w:tc>
      </w:tr>
      <w:tr w:rsidR="00E107BB" w:rsidRPr="00F54117" w14:paraId="3E2F09BC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38284348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Al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7BA9E291" w14:textId="09DBE0E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73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F65C478" w14:textId="30C8BEB9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23</w:t>
            </w:r>
          </w:p>
        </w:tc>
      </w:tr>
      <w:tr w:rsidR="00E107BB" w:rsidRPr="00F54117" w14:paraId="396A08CC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2D95387B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Ca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0A48F97" w14:textId="3EE67C8C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14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4256394" w14:textId="096207C0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07</w:t>
            </w:r>
          </w:p>
        </w:tc>
      </w:tr>
      <w:tr w:rsidR="00E107BB" w:rsidRPr="00F54117" w14:paraId="539FF26C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33E04065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Mg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3D1324B4" w14:textId="17D19026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76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273E835" w14:textId="098C9B14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25</w:t>
            </w:r>
          </w:p>
        </w:tc>
      </w:tr>
      <w:tr w:rsidR="00E107BB" w:rsidRPr="00F54117" w14:paraId="32C3C069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3A2409C7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K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1397EA64" w14:textId="36D5CAEE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65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4607C2AA" w14:textId="4770BF1D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67</w:t>
            </w:r>
          </w:p>
        </w:tc>
      </w:tr>
      <w:tr w:rsidR="00E107BB" w:rsidRPr="00F54117" w14:paraId="22F3A6AB" w14:textId="77777777" w:rsidTr="00E22D17">
        <w:trPr>
          <w:trHeight w:val="300"/>
        </w:trPr>
        <w:tc>
          <w:tcPr>
            <w:tcW w:w="1514" w:type="dxa"/>
            <w:shd w:val="clear" w:color="auto" w:fill="auto"/>
            <w:noWrap/>
            <w:vAlign w:val="bottom"/>
            <w:hideMark/>
          </w:tcPr>
          <w:p w14:paraId="1AB94F05" w14:textId="77777777" w:rsidR="00E107BB" w:rsidRPr="00F54117" w:rsidRDefault="00E107BB" w:rsidP="00E22D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CEC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5219223F" w14:textId="5246E172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22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943A3E7" w14:textId="327653D2" w:rsidR="00E107BB" w:rsidRPr="00F54117" w:rsidRDefault="00E107BB" w:rsidP="00E22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</w:pP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-0</w:t>
            </w:r>
            <w:r w:rsidR="00241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.</w:t>
            </w:r>
            <w:r w:rsidRPr="00F5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71</w:t>
            </w:r>
          </w:p>
        </w:tc>
      </w:tr>
    </w:tbl>
    <w:p w14:paraId="784DA81D" w14:textId="77777777" w:rsidR="00E107BB" w:rsidRDefault="00E107BB" w:rsidP="00E107B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2F81D2" w14:textId="13B624D1" w:rsidR="00E107BB" w:rsidRDefault="00E107B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49F285B4" w14:textId="479A084D" w:rsidR="00E107BB" w:rsidRPr="00A55A27" w:rsidRDefault="00234D70" w:rsidP="00E107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5076A5D" wp14:editId="0AA93942">
            <wp:extent cx="5390180" cy="3348000"/>
            <wp:effectExtent l="0" t="0" r="127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80" r="5630"/>
                    <a:stretch/>
                  </pic:blipFill>
                  <pic:spPr bwMode="auto">
                    <a:xfrm>
                      <a:off x="0" y="0"/>
                      <a:ext cx="5390180" cy="33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001F48" w14:textId="0468F277" w:rsidR="00E107BB" w:rsidRPr="009B0F6B" w:rsidRDefault="00E107BB" w:rsidP="003D2EE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</w:t>
      </w:r>
      <w:r w:rsidR="00EA5719"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86311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B0F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EEB" w:rsidRPr="004D3DDD">
        <w:rPr>
          <w:rFonts w:ascii="Times New Roman" w:hAnsi="Times New Roman" w:cs="Times New Roman"/>
          <w:sz w:val="24"/>
          <w:szCs w:val="24"/>
          <w:lang w:val="en-US"/>
        </w:rPr>
        <w:t>Sampling design of the Colombian National Forest Inventory.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E79ED" w:rsidRPr="004D3DDD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EE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EEB" w:rsidRPr="004D3DDD">
        <w:rPr>
          <w:rFonts w:ascii="Times New Roman" w:hAnsi="Times New Roman" w:cs="Times New Roman"/>
          <w:sz w:val="24"/>
          <w:szCs w:val="24"/>
          <w:lang w:val="en-US"/>
        </w:rPr>
        <w:t>Cluster layout with five circular plots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>, red</w:t>
      </w:r>
      <w:r w:rsidR="00EE79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EE79ED">
        <w:rPr>
          <w:rFonts w:ascii="Times New Roman" w:hAnsi="Times New Roman" w:cs="Times New Roman"/>
          <w:sz w:val="24"/>
          <w:szCs w:val="24"/>
          <w:lang w:val="en-US"/>
        </w:rPr>
        <w:t xml:space="preserve">umbers indicate the 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 xml:space="preserve">plot </w:t>
      </w:r>
      <w:r w:rsidR="00EE79ED">
        <w:rPr>
          <w:rFonts w:ascii="Times New Roman" w:hAnsi="Times New Roman" w:cs="Times New Roman"/>
          <w:sz w:val="24"/>
          <w:szCs w:val="24"/>
          <w:lang w:val="en-US"/>
        </w:rPr>
        <w:t xml:space="preserve">sequence. </w:t>
      </w:r>
      <w:r w:rsidR="003D2EEB" w:rsidRPr="004D3DDD">
        <w:rPr>
          <w:rFonts w:ascii="Times New Roman" w:hAnsi="Times New Roman" w:cs="Times New Roman"/>
          <w:sz w:val="24"/>
          <w:szCs w:val="24"/>
          <w:lang w:val="en-US"/>
        </w:rPr>
        <w:t>Soil sampling points are shown within each plot (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 xml:space="preserve">orange </w:t>
      </w:r>
      <w:r w:rsidR="003D2EEB" w:rsidRPr="004D3DDD">
        <w:rPr>
          <w:rFonts w:ascii="Times New Roman" w:hAnsi="Times New Roman" w:cs="Times New Roman"/>
          <w:sz w:val="24"/>
          <w:szCs w:val="24"/>
          <w:lang w:val="en-US"/>
        </w:rPr>
        <w:t>squares).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3DDD" w:rsidRPr="004D3DDD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r w:rsidR="004D3DDD">
        <w:rPr>
          <w:rFonts w:ascii="Times New Roman" w:hAnsi="Times New Roman" w:cs="Times New Roman"/>
          <w:sz w:val="24"/>
          <w:szCs w:val="24"/>
          <w:lang w:val="en-US"/>
        </w:rPr>
        <w:t xml:space="preserve"> Layout of concentric </w:t>
      </w:r>
      <w:r w:rsidR="004D3DDD" w:rsidRPr="004D3DDD">
        <w:rPr>
          <w:rFonts w:ascii="Times New Roman" w:hAnsi="Times New Roman" w:cs="Times New Roman"/>
          <w:sz w:val="24"/>
          <w:szCs w:val="24"/>
          <w:lang w:val="en-US"/>
        </w:rPr>
        <w:t>circular plots of different radii</w:t>
      </w:r>
      <w:r w:rsidR="004D3DDD">
        <w:rPr>
          <w:rFonts w:ascii="Times New Roman" w:hAnsi="Times New Roman" w:cs="Times New Roman"/>
          <w:sz w:val="24"/>
          <w:szCs w:val="24"/>
          <w:lang w:val="en-US"/>
        </w:rPr>
        <w:t xml:space="preserve"> for tree measurement. </w:t>
      </w:r>
      <w:r w:rsidR="004D3DDD" w:rsidRPr="004D3DDD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4D3D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D2EEB" w:rsidRPr="004D3DDD">
        <w:rPr>
          <w:rFonts w:ascii="Times New Roman" w:hAnsi="Times New Roman" w:cs="Times New Roman"/>
          <w:sz w:val="24"/>
          <w:szCs w:val="24"/>
          <w:lang w:val="en-US"/>
        </w:rPr>
        <w:t xml:space="preserve">Layout of </w:t>
      </w:r>
      <w:r w:rsidR="003D2EEB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4D3DDD">
        <w:rPr>
          <w:rFonts w:ascii="Times New Roman" w:hAnsi="Times New Roman" w:cs="Times New Roman"/>
          <w:sz w:val="24"/>
          <w:szCs w:val="24"/>
          <w:lang w:val="en-US"/>
        </w:rPr>
        <w:t xml:space="preserve">oody debris sampling </w:t>
      </w:r>
      <w:r w:rsidR="004D3DDD" w:rsidRPr="00715993">
        <w:rPr>
          <w:rFonts w:ascii="Times New Roman" w:hAnsi="Times New Roman" w:cs="Times New Roman"/>
          <w:sz w:val="24"/>
          <w:szCs w:val="24"/>
          <w:lang w:val="en-US"/>
        </w:rPr>
        <w:t>in the circular plots 2 and 4</w:t>
      </w:r>
      <w:r w:rsidR="004D3DD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34C9EE7" w14:textId="1139B1B8" w:rsidR="008D0C2A" w:rsidRDefault="008D0C2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6D63A06E" w14:textId="7E71CD76" w:rsidR="004D3DDD" w:rsidRDefault="008D0C2A" w:rsidP="00D508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E42D76" wp14:editId="680AA136">
            <wp:extent cx="5400000" cy="54000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72533" w14:textId="228ACEFE" w:rsidR="008D0C2A" w:rsidRDefault="008D0C2A" w:rsidP="00D508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2F4C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S2.</w:t>
      </w:r>
      <w:r w:rsidRPr="00BB2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F4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BB2F4C" w:rsidRPr="00BB2F4C">
        <w:rPr>
          <w:rFonts w:ascii="Times New Roman" w:hAnsi="Times New Roman" w:cs="Times New Roman"/>
          <w:sz w:val="24"/>
          <w:szCs w:val="24"/>
          <w:lang w:val="en-US"/>
        </w:rPr>
        <w:t xml:space="preserve">egression model </w:t>
      </w:r>
      <w:r w:rsidR="00BB2F4C">
        <w:rPr>
          <w:rFonts w:ascii="Times New Roman" w:hAnsi="Times New Roman" w:cs="Times New Roman"/>
          <w:sz w:val="24"/>
          <w:szCs w:val="24"/>
          <w:lang w:val="en-US"/>
        </w:rPr>
        <w:t>used to estimate</w:t>
      </w:r>
      <w:r w:rsidR="00BB2F4C" w:rsidRPr="00BB2F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2F4C">
        <w:rPr>
          <w:rFonts w:ascii="Times New Roman" w:hAnsi="Times New Roman" w:cs="Times New Roman"/>
          <w:sz w:val="24"/>
          <w:szCs w:val="24"/>
          <w:lang w:val="en-US"/>
        </w:rPr>
        <w:t>soil carbon concentration</w:t>
      </w:r>
      <w:r w:rsidR="00BB2F4C" w:rsidRPr="00BB2F4C">
        <w:rPr>
          <w:rFonts w:ascii="Times New Roman" w:hAnsi="Times New Roman" w:cs="Times New Roman"/>
          <w:sz w:val="24"/>
          <w:szCs w:val="24"/>
          <w:lang w:val="en-US"/>
        </w:rPr>
        <w:t xml:space="preserve"> from organic matter </w:t>
      </w:r>
      <w:r w:rsidR="007C4440">
        <w:rPr>
          <w:rFonts w:ascii="Times New Roman" w:hAnsi="Times New Roman" w:cs="Times New Roman"/>
          <w:sz w:val="24"/>
          <w:szCs w:val="24"/>
          <w:lang w:val="en-US"/>
        </w:rPr>
        <w:t xml:space="preserve">(OM) </w:t>
      </w:r>
      <w:r w:rsidR="00BB2F4C" w:rsidRPr="00BB2F4C">
        <w:rPr>
          <w:rFonts w:ascii="Times New Roman" w:hAnsi="Times New Roman" w:cs="Times New Roman"/>
          <w:sz w:val="24"/>
          <w:szCs w:val="24"/>
          <w:lang w:val="en-US"/>
        </w:rPr>
        <w:t>content determined by the loss on ignition (LOI) method</w:t>
      </w:r>
      <w:r w:rsidR="00BB2F4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B2F4C" w:rsidRPr="00715993">
        <w:rPr>
          <w:rFonts w:ascii="Times New Roman" w:hAnsi="Times New Roman" w:cs="Times New Roman"/>
          <w:sz w:val="24"/>
          <w:szCs w:val="24"/>
          <w:lang w:val="en-US"/>
        </w:rPr>
        <w:t>C = 0.38 × OM; R</w:t>
      </w:r>
      <w:r w:rsidR="00BB2F4C" w:rsidRPr="0071599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BB2F4C" w:rsidRPr="00715993">
        <w:rPr>
          <w:rFonts w:ascii="Times New Roman" w:hAnsi="Times New Roman" w:cs="Times New Roman"/>
          <w:sz w:val="24"/>
          <w:szCs w:val="24"/>
          <w:lang w:val="en-US"/>
        </w:rPr>
        <w:t xml:space="preserve"> = 0.94</w:t>
      </w:r>
      <w:r w:rsidR="00BB2F4C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="00BB2F4C" w:rsidRPr="00BB2F4C">
        <w:rPr>
          <w:rFonts w:ascii="Times New Roman" w:hAnsi="Times New Roman" w:cs="Times New Roman"/>
          <w:sz w:val="24"/>
          <w:szCs w:val="24"/>
          <w:lang w:val="en-US"/>
        </w:rPr>
        <w:t>The dotted red line represents the regression line. The histogram in the lower right corner displays the distribution of the model residuals.</w:t>
      </w:r>
    </w:p>
    <w:p w14:paraId="4D766532" w14:textId="77777777" w:rsidR="00BB2F4C" w:rsidRDefault="00BB2F4C" w:rsidP="00D508E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B2F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7B"/>
    <w:rsid w:val="00054376"/>
    <w:rsid w:val="000551F8"/>
    <w:rsid w:val="00074106"/>
    <w:rsid w:val="000F7BFD"/>
    <w:rsid w:val="001D123B"/>
    <w:rsid w:val="002242AF"/>
    <w:rsid w:val="002247AF"/>
    <w:rsid w:val="00234D70"/>
    <w:rsid w:val="0024122E"/>
    <w:rsid w:val="002A323B"/>
    <w:rsid w:val="002C735E"/>
    <w:rsid w:val="002F58EB"/>
    <w:rsid w:val="003D2EEB"/>
    <w:rsid w:val="003F4C2D"/>
    <w:rsid w:val="004D3DDD"/>
    <w:rsid w:val="00546169"/>
    <w:rsid w:val="005B125B"/>
    <w:rsid w:val="005C22E4"/>
    <w:rsid w:val="005F7BBB"/>
    <w:rsid w:val="00605575"/>
    <w:rsid w:val="007044D3"/>
    <w:rsid w:val="00742869"/>
    <w:rsid w:val="00743FBB"/>
    <w:rsid w:val="0075025E"/>
    <w:rsid w:val="00783CFD"/>
    <w:rsid w:val="007B50F9"/>
    <w:rsid w:val="007C288C"/>
    <w:rsid w:val="007C4440"/>
    <w:rsid w:val="00840A7B"/>
    <w:rsid w:val="00855D4A"/>
    <w:rsid w:val="0086311A"/>
    <w:rsid w:val="008936B8"/>
    <w:rsid w:val="008D0C2A"/>
    <w:rsid w:val="00903707"/>
    <w:rsid w:val="00933B02"/>
    <w:rsid w:val="00934047"/>
    <w:rsid w:val="009B0F6B"/>
    <w:rsid w:val="00A55A27"/>
    <w:rsid w:val="00A705EE"/>
    <w:rsid w:val="00AD7EA3"/>
    <w:rsid w:val="00BB2F4C"/>
    <w:rsid w:val="00C61543"/>
    <w:rsid w:val="00D13D78"/>
    <w:rsid w:val="00D508E1"/>
    <w:rsid w:val="00DF0423"/>
    <w:rsid w:val="00E107BB"/>
    <w:rsid w:val="00E30533"/>
    <w:rsid w:val="00EA5719"/>
    <w:rsid w:val="00EE79ED"/>
    <w:rsid w:val="00F023D9"/>
    <w:rsid w:val="00F513A1"/>
    <w:rsid w:val="00F54117"/>
    <w:rsid w:val="00F9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B2794"/>
  <w15:chartTrackingRefBased/>
  <w15:docId w15:val="{32FD71FD-92F5-41AC-AFCF-71FE965F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C615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1543"/>
    <w:pPr>
      <w:spacing w:after="200" w:line="240" w:lineRule="auto"/>
    </w:pPr>
    <w:rPr>
      <w:rFonts w:ascii="Calibri" w:eastAsiaTheme="minorEastAsia" w:hAnsi="Calibri" w:cs="Calibri"/>
      <w:sz w:val="20"/>
      <w:szCs w:val="20"/>
      <w:lang w:eastAsia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1543"/>
    <w:rPr>
      <w:rFonts w:ascii="Calibri" w:eastAsiaTheme="minorEastAsia" w:hAnsi="Calibri" w:cs="Calibri"/>
      <w:sz w:val="20"/>
      <w:szCs w:val="20"/>
      <w:lang w:eastAsia="es-CO"/>
    </w:rPr>
  </w:style>
  <w:style w:type="table" w:styleId="Tablaconcuadrcula">
    <w:name w:val="Table Grid"/>
    <w:basedOn w:val="Tablanormal"/>
    <w:uiPriority w:val="39"/>
    <w:rsid w:val="0022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10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106"/>
    <w:rPr>
      <w:rFonts w:ascii="Calibri" w:eastAsiaTheme="minorEastAsia" w:hAnsi="Calibri" w:cs="Calibri"/>
      <w:b/>
      <w:bCs/>
      <w:sz w:val="20"/>
      <w:szCs w:val="20"/>
      <w:lang w:eastAsia="es-CO"/>
    </w:rPr>
  </w:style>
  <w:style w:type="table" w:customStyle="1" w:styleId="Tabladelista6concolores1">
    <w:name w:val="Tabla de lista 6 con colores1"/>
    <w:basedOn w:val="Tablanormal"/>
    <w:uiPriority w:val="51"/>
    <w:rsid w:val="00D508E1"/>
    <w:pPr>
      <w:spacing w:after="0" w:line="240" w:lineRule="auto"/>
    </w:pPr>
    <w:rPr>
      <w:rFonts w:ascii="Calibri" w:eastAsia="Calibri" w:hAnsi="Calibri" w:cs="Calibri"/>
      <w:color w:val="000000" w:themeColor="text1"/>
      <w:lang w:eastAsia="es-CO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B125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F7BB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eam.gov.co/nuestra-entidad/ecosistemas-e-informacion-ambiental/sistema-monitoreo-bosques-carbo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11/2041-210X.12753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btp.126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i.org/10.1038/s41561-018-0246-x" TargetMode="External"/><Relationship Id="rId10" Type="http://schemas.openxmlformats.org/officeDocument/2006/relationships/image" Target="media/image2.png"/><Relationship Id="rId4" Type="http://schemas.openxmlformats.org/officeDocument/2006/relationships/hyperlink" Target="https://doi.org/10.1016/j.foreco.2017.09.048" TargetMode="External"/><Relationship Id="rId9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A256C00E434CAAA05F079A3659D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A602D-85D7-40EC-B67A-06F5875E899C}"/>
      </w:docPartPr>
      <w:docPartBody>
        <w:p w:rsidR="003A4EBB" w:rsidRDefault="003A4EBB" w:rsidP="003A4EBB">
          <w:pPr>
            <w:pStyle w:val="35A256C00E434CAAA05F079A3659D016"/>
          </w:pPr>
          <w:r w:rsidRPr="00295011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BB"/>
    <w:rsid w:val="001550EC"/>
    <w:rsid w:val="00321A30"/>
    <w:rsid w:val="003A4EBB"/>
    <w:rsid w:val="004F1D97"/>
    <w:rsid w:val="00555014"/>
    <w:rsid w:val="00590C12"/>
    <w:rsid w:val="005F4632"/>
    <w:rsid w:val="007A2161"/>
    <w:rsid w:val="00A25EC7"/>
    <w:rsid w:val="00A93867"/>
    <w:rsid w:val="00BE0019"/>
    <w:rsid w:val="00CC319B"/>
    <w:rsid w:val="00EB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A4EBB"/>
    <w:rPr>
      <w:color w:val="666666"/>
    </w:rPr>
  </w:style>
  <w:style w:type="paragraph" w:customStyle="1" w:styleId="35A256C00E434CAAA05F079A3659D016">
    <w:name w:val="35A256C00E434CAAA05F079A3659D016"/>
    <w:rsid w:val="003A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1465</Words>
  <Characters>8062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Peña Hernández</dc:creator>
  <cp:keywords/>
  <dc:description/>
  <cp:lastModifiedBy>Miguel Ángel Peña Hernández</cp:lastModifiedBy>
  <cp:revision>3</cp:revision>
  <dcterms:created xsi:type="dcterms:W3CDTF">2026-01-16T15:37:00Z</dcterms:created>
  <dcterms:modified xsi:type="dcterms:W3CDTF">2026-01-16T15:39:00Z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aec826c2-d29d-4d86-9ae1-b0f4142f3b43</vt:lpwstr>
  </property>
</Properties>
</file>