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EDA2E" w14:textId="77777777" w:rsidR="00362194" w:rsidRPr="00130617" w:rsidRDefault="00362194" w:rsidP="00362194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130617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IN" w:bidi="ta-IN"/>
        </w:rPr>
        <w:drawing>
          <wp:inline distT="0" distB="0" distL="0" distR="0" wp14:anchorId="64A5D30F" wp14:editId="489ED053">
            <wp:extent cx="5423721" cy="4008534"/>
            <wp:effectExtent l="0" t="0" r="5715" b="0"/>
            <wp:docPr id="23" name="Picture 23" descr="A graph with a line graph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A graph with a line graph  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68" t="13954" r="22813" b="5082"/>
                    <a:stretch/>
                  </pic:blipFill>
                  <pic:spPr bwMode="auto">
                    <a:xfrm>
                      <a:off x="0" y="0"/>
                      <a:ext cx="5478839" cy="4049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84E72E" w14:textId="63D6C6E8" w:rsidR="00362194" w:rsidRPr="005C36AD" w:rsidRDefault="00362194" w:rsidP="0036219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sectPr w:rsidR="00362194" w:rsidRPr="005C36AD" w:rsidSect="00362194">
          <w:pgSz w:w="11906" w:h="16838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  <w:r w:rsidRPr="0013061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Fig.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S1.</w:t>
      </w:r>
      <w:r w:rsidRPr="0013061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Biplot of principal component analysis (PCA) for nutrient solubilization by nodule-associated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plant probiotics</w:t>
      </w:r>
      <w:r w:rsidRPr="0013061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NAPP</w:t>
      </w:r>
    </w:p>
    <w:p w14:paraId="5D0F5D68" w14:textId="77777777" w:rsidR="008B07A6" w:rsidRDefault="008B07A6" w:rsidP="00362194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194"/>
    <w:rsid w:val="00066677"/>
    <w:rsid w:val="00362194"/>
    <w:rsid w:val="003A4E89"/>
    <w:rsid w:val="00556784"/>
    <w:rsid w:val="0088399A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6BCF4"/>
  <w15:chartTrackingRefBased/>
  <w15:docId w15:val="{44F0CA2E-22BF-4C62-9698-FC64E1554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194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219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19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19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219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219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219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219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219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219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21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1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1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21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21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21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21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21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21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21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21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219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21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219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21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2194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21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21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21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2194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621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</Words>
  <Characters>113</Characters>
  <Application>Microsoft Office Word</Application>
  <DocSecurity>0</DocSecurity>
  <Lines>4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2026-01-23T07:49:00Z</dcterms:created>
  <dcterms:modified xsi:type="dcterms:W3CDTF">2026-01-23T07:52:00Z</dcterms:modified>
</cp:coreProperties>
</file>