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1D00" w:rsidRDefault="009B220F">
      <w:pPr>
        <w:spacing w:line="360" w:lineRule="auto"/>
        <w:rPr>
          <w:rFonts w:ascii="Times New Roman" w:eastAsia="Times New Roman" w:hAnsi="Times New Roman" w:cs="Times New Roman"/>
          <w:b/>
          <w:sz w:val="24"/>
          <w:szCs w:val="24"/>
        </w:rPr>
      </w:pPr>
      <w:bookmarkStart w:id="0" w:name="_tkvptpfvwgfq" w:colFirst="0" w:colLast="0"/>
      <w:bookmarkEnd w:id="0"/>
      <w:r>
        <w:rPr>
          <w:rFonts w:ascii="Times New Roman" w:eastAsia="Times New Roman" w:hAnsi="Times New Roman" w:cs="Times New Roman"/>
          <w:b/>
          <w:sz w:val="24"/>
          <w:szCs w:val="24"/>
        </w:rPr>
        <w:t>Sustained global greening driven by continuous CO</w:t>
      </w:r>
      <w:r>
        <w:rPr>
          <w:rFonts w:ascii="Times New Roman" w:eastAsia="Times New Roman" w:hAnsi="Times New Roman" w:cs="Times New Roman"/>
          <w:b/>
          <w:sz w:val="24"/>
          <w:szCs w:val="24"/>
          <w:vertAlign w:val="subscript"/>
        </w:rPr>
        <w:t>2</w:t>
      </w:r>
      <w:r>
        <w:rPr>
          <w:rFonts w:ascii="Times New Roman" w:eastAsia="Times New Roman" w:hAnsi="Times New Roman" w:cs="Times New Roman"/>
          <w:b/>
          <w:sz w:val="24"/>
          <w:szCs w:val="24"/>
        </w:rPr>
        <w:t xml:space="preserve"> fertilization</w:t>
      </w:r>
    </w:p>
    <w:p w:rsidR="008B1D00" w:rsidRDefault="008B1D00">
      <w:pPr>
        <w:spacing w:after="0" w:line="480" w:lineRule="auto"/>
        <w:jc w:val="both"/>
        <w:rPr>
          <w:rFonts w:ascii="Times New Roman" w:eastAsia="Times New Roman" w:hAnsi="Times New Roman" w:cs="Times New Roman"/>
        </w:rPr>
      </w:pPr>
    </w:p>
    <w:p w:rsidR="008B1D00" w:rsidRDefault="009B220F">
      <w:pPr>
        <w:spacing w:after="0"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Supplementary Information</w:t>
      </w:r>
    </w:p>
    <w:p w:rsidR="008B1D00" w:rsidRDefault="009B220F">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S1. Remaining issues in the long-term satellite LAI datasets</w:t>
      </w:r>
    </w:p>
    <w:p w:rsidR="008B1D00" w:rsidRDefault="009B220F">
      <w:pPr>
        <w:spacing w:line="480" w:lineRule="auto"/>
        <w:ind w:firstLin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Uncertainties in global long-term satellite leaf area index (LAI) products derived from Advanced Very High-Resolution Radiometer (AVHRR) observations have led to various conclusions in seasonal to decadal global vegetation changes</w:t>
      </w:r>
      <w:hyperlink r:id="rId6">
        <w:r>
          <w:rPr>
            <w:rFonts w:ascii="Times New Roman" w:eastAsia="Times New Roman" w:hAnsi="Times New Roman" w:cs="Times New Roman"/>
            <w:sz w:val="24"/>
            <w:szCs w:val="24"/>
            <w:vertAlign w:val="superscript"/>
          </w:rPr>
          <w:t>1</w:t>
        </w:r>
      </w:hyperlink>
      <w:r>
        <w:rPr>
          <w:rFonts w:ascii="Times New Roman" w:eastAsia="Times New Roman" w:hAnsi="Times New Roman" w:cs="Times New Roman"/>
          <w:sz w:val="24"/>
          <w:szCs w:val="24"/>
        </w:rPr>
        <w:t xml:space="preserve">. For example, several studies reported inconsistent seasonal patterns and magnitudes of AVHRR-based LAI in tropical forests </w:t>
      </w:r>
      <w:hyperlink r:id="rId7">
        <w:r>
          <w:rPr>
            <w:rFonts w:ascii="Times New Roman" w:eastAsia="Times New Roman" w:hAnsi="Times New Roman" w:cs="Times New Roman"/>
            <w:sz w:val="24"/>
            <w:szCs w:val="24"/>
            <w:vertAlign w:val="superscript"/>
          </w:rPr>
          <w:t>2,3</w:t>
        </w:r>
      </w:hyperlink>
      <w:r>
        <w:rPr>
          <w:rFonts w:ascii="Times New Roman" w:eastAsia="Times New Roman" w:hAnsi="Times New Roman" w:cs="Times New Roman"/>
          <w:sz w:val="24"/>
          <w:szCs w:val="24"/>
        </w:rPr>
        <w:t>, which were caused by seasonal changes in satellite observation geometry, affecting surface reflectance and downstream vegetation products</w:t>
      </w:r>
      <w:hyperlink r:id="rId8">
        <w:r>
          <w:rPr>
            <w:rFonts w:ascii="Times New Roman" w:eastAsia="Times New Roman" w:hAnsi="Times New Roman" w:cs="Times New Roman"/>
            <w:sz w:val="24"/>
            <w:szCs w:val="24"/>
            <w:vertAlign w:val="superscript"/>
          </w:rPr>
          <w:t>4–6</w:t>
        </w:r>
      </w:hyperlink>
      <w:r>
        <w:rPr>
          <w:rFonts w:ascii="Times New Roman" w:eastAsia="Times New Roman" w:hAnsi="Times New Roman" w:cs="Times New Roman"/>
          <w:sz w:val="24"/>
          <w:szCs w:val="24"/>
        </w:rPr>
        <w:t>. Global long-term trends of LAI were also inconsistent among different products due to uncertainties in the input data from spectral reflectance and vegetation indices</w:t>
      </w:r>
      <w:hyperlink r:id="rId9">
        <w:r>
          <w:rPr>
            <w:rFonts w:ascii="Times New Roman" w:eastAsia="Times New Roman" w:hAnsi="Times New Roman" w:cs="Times New Roman"/>
            <w:sz w:val="24"/>
            <w:szCs w:val="24"/>
            <w:vertAlign w:val="superscript"/>
          </w:rPr>
          <w:t>7–9</w:t>
        </w:r>
      </w:hyperlink>
      <w:r>
        <w:rPr>
          <w:rFonts w:ascii="Times New Roman" w:eastAsia="Times New Roman" w:hAnsi="Times New Roman" w:cs="Times New Roman"/>
          <w:sz w:val="24"/>
          <w:szCs w:val="24"/>
        </w:rPr>
        <w:t>. For instance, Global Inventory Modeling and Mapping Studies (GIMMS) LAI3g showed stalled global trends from the 2000s to the 2010s caused by the AVHRR sensor degradation and orbital drifting effect of National Oceanic and Atmospheric Administration (NOAA) satellites in GIMMS3g NDVI data</w:t>
      </w:r>
      <w:hyperlink r:id="rId10">
        <w:r>
          <w:rPr>
            <w:rFonts w:ascii="Times New Roman" w:eastAsia="Times New Roman" w:hAnsi="Times New Roman" w:cs="Times New Roman"/>
            <w:sz w:val="24"/>
            <w:szCs w:val="24"/>
            <w:vertAlign w:val="superscript"/>
          </w:rPr>
          <w:t>10</w:t>
        </w:r>
      </w:hyperlink>
      <w:r>
        <w:rPr>
          <w:rFonts w:ascii="Times New Roman" w:eastAsia="Times New Roman" w:hAnsi="Times New Roman" w:cs="Times New Roman"/>
          <w:sz w:val="24"/>
          <w:szCs w:val="24"/>
        </w:rPr>
        <w:t>. These divergent conclusions in leaf area dynamics underscore the urgent need to resolve uncertainties in long-term LAI products to ensure more consistent and reliable monitoring of ecosystem dynamics.</w:t>
      </w:r>
    </w:p>
    <w:p w:rsidR="008B1D00" w:rsidRDefault="009B220F">
      <w:pPr>
        <w:spacing w:line="480" w:lineRule="auto"/>
        <w:ind w:firstLin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Temporal inconsistencies among different satellites and directional artifacts introduced by variations in sun-target-sensor geometry form the major sources of uncertainties in generating reliable long-term LAI data. The sources of temporal inconsistencies include discrepant bias of spectral reflectance among different AVHRR sensors, orbital drift of NOAA satellites, and incomplete harmonization with other reference satellite data, all of which collectively can increase uncertainties in satellite LAI estimation</w:t>
      </w:r>
      <w:hyperlink r:id="rId11">
        <w:r>
          <w:rPr>
            <w:rFonts w:ascii="Times New Roman" w:eastAsia="Times New Roman" w:hAnsi="Times New Roman" w:cs="Times New Roman"/>
            <w:sz w:val="24"/>
            <w:szCs w:val="24"/>
            <w:vertAlign w:val="superscript"/>
          </w:rPr>
          <w:t>9,11</w:t>
        </w:r>
      </w:hyperlink>
      <w:r>
        <w:rPr>
          <w:rFonts w:ascii="Times New Roman" w:eastAsia="Times New Roman" w:hAnsi="Times New Roman" w:cs="Times New Roman"/>
          <w:sz w:val="24"/>
          <w:szCs w:val="24"/>
        </w:rPr>
        <w:t xml:space="preserve">. Several studies reported a notable discontinuity in NIR </w:t>
      </w:r>
      <w:r>
        <w:rPr>
          <w:rFonts w:ascii="Times New Roman" w:eastAsia="Times New Roman" w:hAnsi="Times New Roman" w:cs="Times New Roman"/>
          <w:sz w:val="24"/>
          <w:szCs w:val="24"/>
        </w:rPr>
        <w:lastRenderedPageBreak/>
        <w:t xml:space="preserve">and red reflectance between the AVHRR-2 and AVHRR-3 sensors </w:t>
      </w:r>
      <w:hyperlink r:id="rId12">
        <w:r>
          <w:rPr>
            <w:rFonts w:ascii="Times New Roman" w:eastAsia="Times New Roman" w:hAnsi="Times New Roman" w:cs="Times New Roman"/>
            <w:sz w:val="24"/>
            <w:szCs w:val="24"/>
            <w:vertAlign w:val="superscript"/>
          </w:rPr>
          <w:t>12,13</w:t>
        </w:r>
      </w:hyperlink>
      <w:r>
        <w:rPr>
          <w:rFonts w:ascii="Times New Roman" w:eastAsia="Times New Roman" w:hAnsi="Times New Roman" w:cs="Times New Roman"/>
          <w:sz w:val="24"/>
          <w:szCs w:val="24"/>
        </w:rPr>
        <w:t>. Previous works also identified the influence of orbital drift on spectral reflectance and vegetation indices at multiple pseudo-invariant calibration sites or at the global scale</w:t>
      </w:r>
      <w:hyperlink r:id="rId13">
        <w:r>
          <w:rPr>
            <w:rFonts w:ascii="Times New Roman" w:eastAsia="Times New Roman" w:hAnsi="Times New Roman" w:cs="Times New Roman"/>
            <w:sz w:val="24"/>
            <w:szCs w:val="24"/>
            <w:vertAlign w:val="superscript"/>
          </w:rPr>
          <w:t>8,14,15</w:t>
        </w:r>
      </w:hyperlink>
      <w:r>
        <w:rPr>
          <w:rFonts w:ascii="Times New Roman" w:eastAsia="Times New Roman" w:hAnsi="Times New Roman" w:cs="Times New Roman"/>
          <w:sz w:val="24"/>
          <w:szCs w:val="24"/>
        </w:rPr>
        <w:t xml:space="preserve">. In addition, incomplete harmonization of AVHR-derived vegetation indices data with other reference satellite data can introduce further uncertainties in global trends and interannual variability </w:t>
      </w:r>
      <w:hyperlink r:id="rId14">
        <w:r>
          <w:rPr>
            <w:rFonts w:ascii="Times New Roman" w:eastAsia="Times New Roman" w:hAnsi="Times New Roman" w:cs="Times New Roman"/>
            <w:sz w:val="24"/>
            <w:szCs w:val="24"/>
            <w:vertAlign w:val="superscript"/>
          </w:rPr>
          <w:t>9,16</w:t>
        </w:r>
      </w:hyperlink>
      <w:r>
        <w:rPr>
          <w:rFonts w:ascii="Times New Roman" w:eastAsia="Times New Roman" w:hAnsi="Times New Roman" w:cs="Times New Roman"/>
          <w:sz w:val="24"/>
          <w:szCs w:val="24"/>
        </w:rPr>
        <w:t xml:space="preserve">. Moreover, insufficient consideration for Bi-directional Reflectance Distribution Function (BRDF) effects in spectral reflectance could lead to directional artifacts in vegetation index and LAI estimations </w:t>
      </w:r>
      <w:hyperlink r:id="rId15">
        <w:r>
          <w:rPr>
            <w:rFonts w:ascii="Times New Roman" w:eastAsia="Times New Roman" w:hAnsi="Times New Roman" w:cs="Times New Roman"/>
            <w:sz w:val="24"/>
            <w:szCs w:val="24"/>
            <w:vertAlign w:val="superscript"/>
          </w:rPr>
          <w:t>17</w:t>
        </w:r>
      </w:hyperlink>
      <w:r>
        <w:rPr>
          <w:rFonts w:ascii="Times New Roman" w:eastAsia="Times New Roman" w:hAnsi="Times New Roman" w:cs="Times New Roman"/>
          <w:sz w:val="24"/>
          <w:szCs w:val="24"/>
        </w:rPr>
        <w:t>. Those directional effects could introduce considerable artifacts in LAI estimations</w:t>
      </w:r>
      <w:hyperlink r:id="rId16">
        <w:r>
          <w:rPr>
            <w:rFonts w:ascii="Times New Roman" w:eastAsia="Times New Roman" w:hAnsi="Times New Roman" w:cs="Times New Roman"/>
            <w:sz w:val="24"/>
            <w:szCs w:val="24"/>
            <w:vertAlign w:val="superscript"/>
          </w:rPr>
          <w:t>18,19</w:t>
        </w:r>
      </w:hyperlink>
      <w:r>
        <w:rPr>
          <w:rFonts w:ascii="Times New Roman" w:eastAsia="Times New Roman" w:hAnsi="Times New Roman" w:cs="Times New Roman"/>
          <w:sz w:val="24"/>
          <w:szCs w:val="24"/>
        </w:rPr>
        <w:t>.</w:t>
      </w:r>
    </w:p>
    <w:p w:rsidR="008B1D00" w:rsidRDefault="009B220F">
      <w:pPr>
        <w:spacing w:line="480" w:lineRule="auto"/>
        <w:ind w:firstLin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Although many studies have attempted to address uncertainties in long-term LAI data, comprehensive strategies remain insufficient. For example, GIMMS LAI4g mainly used PKU GIMMS NDVI, which aimed to address sensor degradation and orbit drifting issues in GIMMS3g NDVI by integrating NOAA satellite information (e.g. NOAA satellite numbers and years after launch) into the training of a back propagation neural network model</w:t>
      </w:r>
      <w:hyperlink r:id="rId17">
        <w:r>
          <w:rPr>
            <w:rFonts w:ascii="Times New Roman" w:eastAsia="Times New Roman" w:hAnsi="Times New Roman" w:cs="Times New Roman"/>
            <w:sz w:val="24"/>
            <w:szCs w:val="24"/>
            <w:vertAlign w:val="superscript"/>
          </w:rPr>
          <w:t>10</w:t>
        </w:r>
      </w:hyperlink>
      <w:r>
        <w:rPr>
          <w:rFonts w:ascii="Times New Roman" w:eastAsia="Times New Roman" w:hAnsi="Times New Roman" w:cs="Times New Roman"/>
          <w:sz w:val="24"/>
          <w:szCs w:val="24"/>
        </w:rPr>
        <w:t>. Although PKU GIMMS NDVI showed an enhanced temporal consistency compared to GIMMS3g NDVI, a clearer theoretical basis for addressing each source of uncertainty is still needed. In addition, PKU GIMMS NDVI used a biome-specific neural network model with a randomly sampled training dataset, which predominantly learns spatial relationships between NDVI and other variables</w:t>
      </w:r>
      <w:hyperlink r:id="rId18">
        <w:r>
          <w:rPr>
            <w:rFonts w:ascii="Times New Roman" w:eastAsia="Times New Roman" w:hAnsi="Times New Roman" w:cs="Times New Roman"/>
            <w:sz w:val="24"/>
            <w:szCs w:val="24"/>
            <w:vertAlign w:val="superscript"/>
          </w:rPr>
          <w:t>20</w:t>
        </w:r>
      </w:hyperlink>
      <w:r>
        <w:rPr>
          <w:rFonts w:ascii="Times New Roman" w:eastAsia="Times New Roman" w:hAnsi="Times New Roman" w:cs="Times New Roman"/>
          <w:sz w:val="24"/>
          <w:szCs w:val="24"/>
        </w:rPr>
        <w:t>. Consequently, the trained neural network might be inadequate to address issues such as sensor changes, degradation, and orbital drift, which are time-dependent processes</w:t>
      </w:r>
      <w:hyperlink r:id="rId19">
        <w:r>
          <w:rPr>
            <w:rFonts w:ascii="Times New Roman" w:eastAsia="Times New Roman" w:hAnsi="Times New Roman" w:cs="Times New Roman"/>
            <w:sz w:val="24"/>
            <w:szCs w:val="24"/>
            <w:vertAlign w:val="superscript"/>
          </w:rPr>
          <w:t>8,9</w:t>
        </w:r>
      </w:hyperlink>
      <w:r>
        <w:rPr>
          <w:rFonts w:ascii="Times New Roman" w:eastAsia="Times New Roman" w:hAnsi="Times New Roman" w:cs="Times New Roman"/>
          <w:sz w:val="24"/>
          <w:szCs w:val="24"/>
        </w:rPr>
        <w:t>. GEOV2-AVHRR LAI relied on pre-trained neural networks using SPOT-4/5 and Moderate Resolution Imaging Spectroradiometer (MODIS) LAI product</w:t>
      </w:r>
      <w:hyperlink r:id="rId20">
        <w:r>
          <w:rPr>
            <w:rFonts w:ascii="Times New Roman" w:eastAsia="Times New Roman" w:hAnsi="Times New Roman" w:cs="Times New Roman"/>
            <w:sz w:val="24"/>
            <w:szCs w:val="24"/>
            <w:vertAlign w:val="superscript"/>
          </w:rPr>
          <w:t>21</w:t>
        </w:r>
      </w:hyperlink>
      <w:r>
        <w:rPr>
          <w:rFonts w:ascii="Times New Roman" w:eastAsia="Times New Roman" w:hAnsi="Times New Roman" w:cs="Times New Roman"/>
          <w:sz w:val="24"/>
          <w:szCs w:val="24"/>
        </w:rPr>
        <w:t>. It used the benchmark MODIS LAI derived from MODIS Collection 5 surface reflectance data, which version had a sensor degradation issue</w:t>
      </w:r>
      <w:hyperlink r:id="rId21">
        <w:r>
          <w:rPr>
            <w:rFonts w:ascii="Times New Roman" w:eastAsia="Times New Roman" w:hAnsi="Times New Roman" w:cs="Times New Roman"/>
            <w:sz w:val="24"/>
            <w:szCs w:val="24"/>
            <w:vertAlign w:val="superscript"/>
          </w:rPr>
          <w:t>22</w:t>
        </w:r>
      </w:hyperlink>
      <w:r>
        <w:rPr>
          <w:rFonts w:ascii="Times New Roman" w:eastAsia="Times New Roman" w:hAnsi="Times New Roman" w:cs="Times New Roman"/>
          <w:sz w:val="24"/>
          <w:szCs w:val="24"/>
        </w:rPr>
        <w:t>, and deployed the inconsistent versions of Long-Term Data Record (LTDR) reflectance data</w:t>
      </w:r>
      <w:hyperlink r:id="rId22">
        <w:r>
          <w:rPr>
            <w:rFonts w:ascii="Times New Roman" w:eastAsia="Times New Roman" w:hAnsi="Times New Roman" w:cs="Times New Roman"/>
            <w:sz w:val="24"/>
            <w:szCs w:val="24"/>
            <w:vertAlign w:val="superscript"/>
          </w:rPr>
          <w:t>23–25</w:t>
        </w:r>
      </w:hyperlink>
      <w:r>
        <w:rPr>
          <w:rFonts w:ascii="Times New Roman" w:eastAsia="Times New Roman" w:hAnsi="Times New Roman" w:cs="Times New Roman"/>
          <w:sz w:val="24"/>
          <w:szCs w:val="24"/>
        </w:rPr>
        <w:t>.</w:t>
      </w:r>
    </w:p>
    <w:p w:rsidR="008B1D00" w:rsidRDefault="009B220F">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S2. AVHRR LTDR LAI</w:t>
      </w:r>
    </w:p>
    <w:p w:rsidR="008B1D00" w:rsidRDefault="009B220F">
      <w:pPr>
        <w:spacing w:line="480" w:lineRule="auto"/>
        <w:ind w:firstLin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evaluate SNU LAI using the original LTDR V5 surface reflectance-based LAI, we use the LTDR V5 LAI (AVH15C1) from 1982 to 2021, acquired from the NOAA online archive</w:t>
      </w:r>
      <w:hyperlink r:id="rId23">
        <w:r>
          <w:rPr>
            <w:rFonts w:ascii="Times New Roman" w:eastAsia="Times New Roman" w:hAnsi="Times New Roman" w:cs="Times New Roman"/>
            <w:sz w:val="24"/>
            <w:szCs w:val="24"/>
            <w:vertAlign w:val="superscript"/>
          </w:rPr>
          <w:t>26</w:t>
        </w:r>
      </w:hyperlink>
      <w:r>
        <w:rPr>
          <w:rFonts w:ascii="Times New Roman" w:eastAsia="Times New Roman" w:hAnsi="Times New Roman" w:cs="Times New Roman"/>
          <w:sz w:val="24"/>
          <w:szCs w:val="24"/>
        </w:rPr>
        <w:t xml:space="preserve">. The LTDR team provided daily temporal resolution and 0.05º spatial resolution global LAI data based on the AVH09C1 surface reflectance product. The LTDR LAI algorithm used artificial neural networks trained with monthly MODIS LAI during the NOAA-16 periods from 2001 to 2007. They used normalized NDVI, NIR reflectance, red reflectance, and the cosine of solar zenith angle derived from AVH09C1 during the training, and tested the predicted LAI compared to MODIS LAI in each biome classified by the MODIS land cover product. We average the original daily LTDR LAI data into a monthly interval, after filtering out cloud, cloud-shadow, and snow pixels using the quality flag of AVH15C1. </w:t>
      </w:r>
    </w:p>
    <w:p w:rsidR="008B1D00" w:rsidRDefault="009B220F">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S3. GIMMS LAI4g</w:t>
      </w:r>
    </w:p>
    <w:p w:rsidR="008B1D00" w:rsidRDefault="009B220F">
      <w:pPr>
        <w:spacing w:line="480" w:lineRule="auto"/>
        <w:ind w:firstLin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evaluate SNU LAI using the recently updated long-term LAI dataset, we use the GIMMS LAI4g dataset. GIMMS LAI4g provided spatiotemporally consistent LAI from 1982 to 2020 with bi-weekly temporal resolution and 1/12º spatial resolution</w:t>
      </w:r>
      <w:hyperlink r:id="rId24">
        <w:r>
          <w:rPr>
            <w:rFonts w:ascii="Times New Roman" w:eastAsia="Times New Roman" w:hAnsi="Times New Roman" w:cs="Times New Roman"/>
            <w:sz w:val="24"/>
            <w:szCs w:val="24"/>
            <w:vertAlign w:val="superscript"/>
          </w:rPr>
          <w:t>10</w:t>
        </w:r>
      </w:hyperlink>
      <w:r>
        <w:rPr>
          <w:rFonts w:ascii="Times New Roman" w:eastAsia="Times New Roman" w:hAnsi="Times New Roman" w:cs="Times New Roman"/>
          <w:sz w:val="24"/>
          <w:szCs w:val="24"/>
        </w:rPr>
        <w:t>. By training a biome-specific neural network model based on high-quality Landsat LAI and PKU GIMMS NDVI</w:t>
      </w:r>
      <w:hyperlink r:id="rId25">
        <w:r>
          <w:rPr>
            <w:rFonts w:ascii="Times New Roman" w:eastAsia="Times New Roman" w:hAnsi="Times New Roman" w:cs="Times New Roman"/>
            <w:sz w:val="24"/>
            <w:szCs w:val="24"/>
            <w:vertAlign w:val="superscript"/>
          </w:rPr>
          <w:t>20</w:t>
        </w:r>
      </w:hyperlink>
      <w:r>
        <w:rPr>
          <w:rFonts w:ascii="Times New Roman" w:eastAsia="Times New Roman" w:hAnsi="Times New Roman" w:cs="Times New Roman"/>
          <w:sz w:val="24"/>
          <w:szCs w:val="24"/>
        </w:rPr>
        <w:t xml:space="preserve">, they generated GIMMS LAI4g from 1982 to 2015. Then they consolidated the GIMMS LAI4g with a reprocessed MODIS LAI using a pixel-wise linear regression on the overlapping period data for 2004–2015. The final output of GIMMS LAI4g consists of the consolidated GIMMS LAI4g data (1982–2003) and the reprocessed MODIS LAI data (2004–2020). </w:t>
      </w:r>
    </w:p>
    <w:p w:rsidR="008B1D00" w:rsidRDefault="009B220F">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S4. GIMMS LAI3g</w:t>
      </w:r>
    </w:p>
    <w:p w:rsidR="008B1D00" w:rsidRDefault="009B220F">
      <w:pPr>
        <w:spacing w:line="480" w:lineRule="auto"/>
        <w:ind w:firstLin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To evaluate SNU LAI using a widely used long-term LAI dataset, we adapt the GIMMS LAI3g data. This dataset has been applied extensively in global vegetation studies, including the Intergovernmental Panel on Climate Change (IPCC) Sixth Assessment Report (AR6)</w:t>
      </w:r>
      <w:hyperlink r:id="rId26">
        <w:r>
          <w:rPr>
            <w:rFonts w:ascii="Times New Roman" w:eastAsia="Times New Roman" w:hAnsi="Times New Roman" w:cs="Times New Roman"/>
            <w:sz w:val="24"/>
            <w:szCs w:val="24"/>
            <w:vertAlign w:val="superscript"/>
          </w:rPr>
          <w:t>27</w:t>
        </w:r>
      </w:hyperlink>
      <w:r>
        <w:rPr>
          <w:rFonts w:ascii="Times New Roman" w:eastAsia="Times New Roman" w:hAnsi="Times New Roman" w:cs="Times New Roman"/>
          <w:sz w:val="24"/>
          <w:szCs w:val="24"/>
        </w:rPr>
        <w:t>, to assess vegetation changes and evaluate Earth system model simulations. GIMMS LAI3g provided bi-weekly temporal resolution and 1/12º spatial resolution global LAI, which is based on the GIMMS NDVI3g and MODIS LAI</w:t>
      </w:r>
      <w:hyperlink r:id="rId27">
        <w:r>
          <w:rPr>
            <w:rFonts w:ascii="Times New Roman" w:eastAsia="Times New Roman" w:hAnsi="Times New Roman" w:cs="Times New Roman"/>
            <w:sz w:val="24"/>
            <w:szCs w:val="24"/>
            <w:vertAlign w:val="superscript"/>
          </w:rPr>
          <w:t>28</w:t>
        </w:r>
      </w:hyperlink>
      <w:r>
        <w:rPr>
          <w:rFonts w:ascii="Times New Roman" w:eastAsia="Times New Roman" w:hAnsi="Times New Roman" w:cs="Times New Roman"/>
          <w:sz w:val="24"/>
          <w:szCs w:val="24"/>
        </w:rPr>
        <w:t>. The feed-forward neural networks were trained on monthly MODIS LAI and GIMMS NDVI3g data spanning from 2000 to 2009</w:t>
      </w:r>
      <w:hyperlink r:id="rId28">
        <w:r>
          <w:rPr>
            <w:rFonts w:ascii="Times New Roman" w:eastAsia="Times New Roman" w:hAnsi="Times New Roman" w:cs="Times New Roman"/>
            <w:sz w:val="24"/>
            <w:szCs w:val="24"/>
            <w:vertAlign w:val="superscript"/>
          </w:rPr>
          <w:t>29</w:t>
        </w:r>
      </w:hyperlink>
      <w:r>
        <w:rPr>
          <w:rFonts w:ascii="Times New Roman" w:eastAsia="Times New Roman" w:hAnsi="Times New Roman" w:cs="Times New Roman"/>
          <w:sz w:val="24"/>
          <w:szCs w:val="24"/>
        </w:rPr>
        <w:t>. Subsequently, the trained model was used to generate GIMMS LAI3g for the entire period of the GIMMS NDVI3g dataset. We average the original bi-weekly GIMMS LAI3g data into a monthly interval and spatially resample it from a 1/12º to a 0.05º resolution using the nearest neighbor approach. The global monthly GIMMS LAI3g spanning from 1982 to 2015 is used in this study.</w:t>
      </w:r>
    </w:p>
    <w:p w:rsidR="008B1D00" w:rsidRDefault="009B220F">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S5. Ground truth data </w:t>
      </w:r>
    </w:p>
    <w:p w:rsidR="008B1D00" w:rsidRDefault="009B220F">
      <w:pPr>
        <w:spacing w:line="480" w:lineRule="auto"/>
        <w:ind w:firstLin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evaluate the SNU LAI across ecosystems, we use the Committee on Earth Observation Satellites (CEOS) DIRECT 2.1 dataset, which provides a global network of LAI reference data (https://calvalportal.ceos.org/lpv-direct-v2.1)</w:t>
      </w:r>
      <w:hyperlink r:id="rId29">
        <w:r>
          <w:rPr>
            <w:rFonts w:ascii="Times New Roman" w:eastAsia="Times New Roman" w:hAnsi="Times New Roman" w:cs="Times New Roman"/>
            <w:sz w:val="24"/>
            <w:szCs w:val="24"/>
            <w:vertAlign w:val="superscript"/>
          </w:rPr>
          <w:t>30</w:t>
        </w:r>
      </w:hyperlink>
      <w:r>
        <w:rPr>
          <w:rFonts w:ascii="Times New Roman" w:eastAsia="Times New Roman" w:hAnsi="Times New Roman" w:cs="Times New Roman"/>
          <w:sz w:val="24"/>
          <w:szCs w:val="24"/>
        </w:rPr>
        <w:t>. CEOS DIRECT 2.1 provided averaged LAI values over a 3 km×3 km area by upscaling the original ground measurements with high spatial resolution satellite imagery. We exclude sites that had only a single observation across the entire study period. A total of 28 sites and 166 measurements are used, including croplands (CRO), deciduous broadleaf forests (DBF), mixed forests (MF), needleleaf forests (NF), and shrublands (SHR). The detailed sampling scheme and measurement strategy were described in the CEOS LPV subgroup (</w:t>
      </w:r>
      <w:hyperlink r:id="rId30">
        <w:r>
          <w:rPr>
            <w:rFonts w:ascii="Times New Roman" w:eastAsia="Times New Roman" w:hAnsi="Times New Roman" w:cs="Times New Roman"/>
            <w:color w:val="1155CC"/>
            <w:sz w:val="24"/>
            <w:szCs w:val="24"/>
            <w:u w:val="single"/>
          </w:rPr>
          <w:t>http://lpvs.gsfc.nasa.gov/</w:t>
        </w:r>
      </w:hyperlink>
      <w:r>
        <w:rPr>
          <w:rFonts w:ascii="Times New Roman" w:eastAsia="Times New Roman" w:hAnsi="Times New Roman" w:cs="Times New Roman"/>
          <w:sz w:val="24"/>
          <w:szCs w:val="24"/>
        </w:rPr>
        <w:t>).</w:t>
      </w:r>
    </w:p>
    <w:p w:rsidR="008B1D00" w:rsidRDefault="009B220F">
      <w:pPr>
        <w:pStyle w:val="3"/>
        <w:spacing w:before="0" w:line="480" w:lineRule="auto"/>
        <w:jc w:val="both"/>
        <w:rPr>
          <w:rFonts w:ascii="Times New Roman" w:eastAsia="Times New Roman" w:hAnsi="Times New Roman" w:cs="Times New Roman"/>
          <w:b/>
          <w:color w:val="000000"/>
        </w:rPr>
      </w:pPr>
      <w:bookmarkStart w:id="1" w:name="_2zd2y6fjw7ya" w:colFirst="0" w:colLast="0"/>
      <w:bookmarkEnd w:id="1"/>
      <w:r>
        <w:rPr>
          <w:rFonts w:ascii="Times New Roman" w:eastAsia="Times New Roman" w:hAnsi="Times New Roman" w:cs="Times New Roman"/>
          <w:b/>
          <w:color w:val="000000"/>
        </w:rPr>
        <w:lastRenderedPageBreak/>
        <w:t>S6. Nutrient datasets</w:t>
      </w:r>
    </w:p>
    <w:p w:rsidR="008B1D00" w:rsidRDefault="009B220F">
      <w:pPr>
        <w:spacing w:line="480" w:lineRule="auto"/>
        <w:ind w:firstLin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use global atmospheric nitrogen and phosphorus deposition data from 1980–2013</w:t>
      </w:r>
      <w:hyperlink r:id="rId31">
        <w:r>
          <w:rPr>
            <w:vertAlign w:val="superscript"/>
          </w:rPr>
          <w:t>31</w:t>
        </w:r>
      </w:hyperlink>
      <w:r>
        <w:rPr>
          <w:rFonts w:ascii="Times New Roman" w:eastAsia="Times New Roman" w:hAnsi="Times New Roman" w:cs="Times New Roman"/>
          <w:sz w:val="24"/>
          <w:szCs w:val="24"/>
        </w:rPr>
        <w:t xml:space="preserve">. The original dataset generates monthly global gridded rates of reactive N and total P deposition, combining both dry and wet pathways. Data are generated by the </w:t>
      </w:r>
      <w:proofErr w:type="spellStart"/>
      <w:r>
        <w:rPr>
          <w:rFonts w:ascii="Times New Roman" w:eastAsia="Times New Roman" w:hAnsi="Times New Roman" w:cs="Times New Roman"/>
          <w:sz w:val="24"/>
          <w:szCs w:val="24"/>
        </w:rPr>
        <w:t>Laboratoire</w:t>
      </w:r>
      <w:proofErr w:type="spellEnd"/>
      <w:r>
        <w:rPr>
          <w:rFonts w:ascii="Times New Roman" w:eastAsia="Times New Roman" w:hAnsi="Times New Roman" w:cs="Times New Roman"/>
          <w:sz w:val="24"/>
          <w:szCs w:val="24"/>
        </w:rPr>
        <w:t xml:space="preserve"> de </w:t>
      </w:r>
      <w:proofErr w:type="spellStart"/>
      <w:r>
        <w:rPr>
          <w:rFonts w:ascii="Times New Roman" w:eastAsia="Times New Roman" w:hAnsi="Times New Roman" w:cs="Times New Roman"/>
          <w:sz w:val="24"/>
          <w:szCs w:val="24"/>
        </w:rPr>
        <w:t>Météorologie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Dynamique</w:t>
      </w:r>
      <w:proofErr w:type="spellEnd"/>
      <w:r>
        <w:rPr>
          <w:rFonts w:ascii="Times New Roman" w:eastAsia="Times New Roman" w:hAnsi="Times New Roman" w:cs="Times New Roman"/>
          <w:sz w:val="24"/>
          <w:szCs w:val="24"/>
        </w:rPr>
        <w:t xml:space="preserve"> Zoom general circulation model (LMDZ) coupled with the Interactive Chemistry and Aerosols module (INCA), aggregated from monthly outputs, and include bias corrections based on global observation networks. We obtain the processed annual global gridded nitrogen and phosphorus dataset from the publicly accessible repository (</w:t>
      </w:r>
      <w:hyperlink r:id="rId32">
        <w:r>
          <w:rPr>
            <w:rFonts w:ascii="Times New Roman" w:eastAsia="Times New Roman" w:hAnsi="Times New Roman" w:cs="Times New Roman"/>
            <w:color w:val="1155CC"/>
            <w:sz w:val="24"/>
            <w:szCs w:val="24"/>
            <w:u w:val="single"/>
          </w:rPr>
          <w:t>https://figshare.com/s/898e5d6c4f0982674ae3</w:t>
        </w:r>
      </w:hyperlink>
      <w:r>
        <w:rPr>
          <w:rFonts w:ascii="Times New Roman" w:eastAsia="Times New Roman" w:hAnsi="Times New Roman" w:cs="Times New Roman"/>
          <w:sz w:val="24"/>
          <w:szCs w:val="24"/>
        </w:rPr>
        <w:t>)</w:t>
      </w:r>
      <w:hyperlink r:id="rId33">
        <w:r>
          <w:rPr>
            <w:vertAlign w:val="superscript"/>
          </w:rPr>
          <w:t>32</w:t>
        </w:r>
      </w:hyperlink>
      <w:r>
        <w:rPr>
          <w:rFonts w:ascii="Times New Roman" w:eastAsia="Times New Roman" w:hAnsi="Times New Roman" w:cs="Times New Roman"/>
          <w:sz w:val="24"/>
          <w:szCs w:val="24"/>
        </w:rPr>
        <w:t>.</w:t>
      </w:r>
    </w:p>
    <w:p w:rsidR="008B1D00" w:rsidRDefault="009B220F">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S7. Comparison of global trends among different long-term satellite LAI datasets</w:t>
      </w:r>
    </w:p>
    <w:p w:rsidR="008B1D00" w:rsidRDefault="009B220F">
      <w:pPr>
        <w:spacing w:line="480" w:lineRule="auto"/>
        <w:ind w:firstLin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examine the trends in different regions, we used the same criteria to separate the high-latitude Northern Hemisphere (NH) (50–90°N), temperate NH (25–50°N), tropical region (25°S–25°N), and extratropical Southern Hemisphere (SH) (25–90°S). In the tropical region, we have separated it into Tropical America (25–125°W), Tropical Africa (25°W–75°E), and Tropical Asia (75–180°E). We considered actual pixel areas to calculate global or regional values. Since each satellite LAI dataset has different data periods, we matched the data periods according to the purpose of the analysis. For the </w:t>
      </w:r>
      <w:proofErr w:type="spellStart"/>
      <w:r>
        <w:rPr>
          <w:rFonts w:ascii="Times New Roman" w:eastAsia="Times New Roman" w:hAnsi="Times New Roman" w:cs="Times New Roman"/>
          <w:sz w:val="24"/>
          <w:szCs w:val="24"/>
        </w:rPr>
        <w:t>intercomparison</w:t>
      </w:r>
      <w:proofErr w:type="spellEnd"/>
      <w:r>
        <w:rPr>
          <w:rFonts w:ascii="Times New Roman" w:eastAsia="Times New Roman" w:hAnsi="Times New Roman" w:cs="Times New Roman"/>
          <w:sz w:val="24"/>
          <w:szCs w:val="24"/>
        </w:rPr>
        <w:t xml:space="preserve"> of SNU LAI, LTDR LAI, LAI4g, and LAI3g, we separate the data into three different periods including 1982–1999, 2000–2015, and 1982–2015. To compare the temporal consistency in each season, we calculate the LAI trends in January–March, April–June, July–September, and October–December during the periods 1982–1999 and 2000–2015.</w:t>
      </w:r>
    </w:p>
    <w:p w:rsidR="008B1D00" w:rsidRDefault="009B220F">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S8. Machine learning-based attribution analysis</w:t>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To examine the consistency of estimated contributions of individual climate drivers to LAI trends, we apply a machine learning–based attribution approach that combines an extreme gradient boosting (</w:t>
      </w:r>
      <w:proofErr w:type="spellStart"/>
      <w:r>
        <w:rPr>
          <w:rFonts w:ascii="Times New Roman" w:eastAsia="Times New Roman" w:hAnsi="Times New Roman" w:cs="Times New Roman"/>
          <w:sz w:val="24"/>
          <w:szCs w:val="24"/>
        </w:rPr>
        <w:t>XGBoost</w:t>
      </w:r>
      <w:proofErr w:type="spellEnd"/>
      <w:r>
        <w:rPr>
          <w:rFonts w:ascii="Times New Roman" w:eastAsia="Times New Roman" w:hAnsi="Times New Roman" w:cs="Times New Roman"/>
          <w:sz w:val="24"/>
          <w:szCs w:val="24"/>
        </w:rPr>
        <w:t>) model</w:t>
      </w:r>
      <w:hyperlink r:id="rId34">
        <w:r>
          <w:rPr>
            <w:vertAlign w:val="superscript"/>
          </w:rPr>
          <w:t>33</w:t>
        </w:r>
      </w:hyperlink>
      <w:r>
        <w:rPr>
          <w:rFonts w:ascii="Times New Roman" w:eastAsia="Times New Roman" w:hAnsi="Times New Roman" w:cs="Times New Roman"/>
          <w:sz w:val="24"/>
          <w:szCs w:val="24"/>
        </w:rPr>
        <w:t xml:space="preserve"> with Shapley value</w:t>
      </w:r>
      <w:hyperlink r:id="rId35">
        <w:r>
          <w:rPr>
            <w:vertAlign w:val="superscript"/>
          </w:rPr>
          <w:t>34</w:t>
        </w:r>
      </w:hyperlink>
      <w:r>
        <w:rPr>
          <w:rFonts w:ascii="Times New Roman" w:eastAsia="Times New Roman" w:hAnsi="Times New Roman" w:cs="Times New Roman"/>
          <w:sz w:val="24"/>
          <w:szCs w:val="24"/>
        </w:rPr>
        <w:t>. The model is trained to predict standardized LAI trends from four standardized climate driver trends: atmospheric CO₂ concentration, 2-m air temperature, precipitation, and shortwave radiation. To ensure sufficient training samples, we use all 0.05° grid-cell data within each 0.25° block (5×5 grid cells). For each block, the model is trained on 70% of randomly selected samples and tested on the remaining 30%. To obtain an attribution coefficient for each driver, we regress the SHAP values against the corresponding standardized driver values. The resulting slope (γ) represents the sensitivity of predicted standardized LAI to unit changes in the standardized climate variable. To estimate the contribution of each driver to the long-term LAI trend, we multiply γ by the raw linear trend of the corresponding driver and by the block-level standard deviation of LAI, yielding absolute contributions in units of 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decade</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w:t>
      </w:r>
    </w:p>
    <w:p w:rsidR="008B1D00" w:rsidRDefault="009B220F">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S9. Relationship between nutrient availability and CFE</w:t>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 dominant CFE on global greening persists between 1982–2001 and 2002–2021, but its regional shifts may reflect spatially heterogeneous changes in nutrient availability (Supplementary Fig. 17)</w:t>
      </w:r>
      <w:hyperlink r:id="rId36">
        <w:r w:rsidR="002F0BFA">
          <w:rPr>
            <w:vertAlign w:val="superscript"/>
          </w:rPr>
          <w:t>3</w:t>
        </w:r>
        <w:r w:rsidR="00E46121">
          <w:rPr>
            <w:vertAlign w:val="superscript"/>
          </w:rPr>
          <w:t>5</w:t>
        </w:r>
        <w:r>
          <w:rPr>
            <w:vertAlign w:val="superscript"/>
          </w:rPr>
          <w:t>,</w:t>
        </w:r>
        <w:r w:rsidR="002F0BFA">
          <w:rPr>
            <w:vertAlign w:val="superscript"/>
          </w:rPr>
          <w:t>3</w:t>
        </w:r>
        <w:r w:rsidR="00E46121">
          <w:rPr>
            <w:vertAlign w:val="superscript"/>
          </w:rPr>
          <w:t>6</w:t>
        </w:r>
      </w:hyperlink>
      <w:r>
        <w:rPr>
          <w:rFonts w:ascii="Times New Roman" w:eastAsia="Times New Roman" w:hAnsi="Times New Roman" w:cs="Times New Roman"/>
          <w:sz w:val="24"/>
          <w:szCs w:val="24"/>
        </w:rPr>
        <w:t>. In temperate and continental regions, increases in nitrogen and phosphorus availability significantly enhance the contribution of CO₂ to LAI trends (Supplementary Figs. 18–19). This finding is supported by evidence from the Duke Free-Air CO</w:t>
      </w:r>
      <w:r w:rsidR="003504C0"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Enrichment (FACE) site, where elevated CO</w:t>
      </w:r>
      <w:r w:rsidR="003504C0"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increased leaf area duration under nitrogen-enriched conditions</w:t>
      </w:r>
      <w:hyperlink r:id="rId37">
        <w:r w:rsidR="00E46121">
          <w:rPr>
            <w:vertAlign w:val="superscript"/>
          </w:rPr>
          <w:t>37</w:t>
        </w:r>
      </w:hyperlink>
      <w:r>
        <w:rPr>
          <w:rFonts w:ascii="Times New Roman" w:eastAsia="Times New Roman" w:hAnsi="Times New Roman" w:cs="Times New Roman"/>
          <w:sz w:val="24"/>
          <w:szCs w:val="24"/>
        </w:rPr>
        <w:t>, but additional nitrogen did not further enhance LAI once the canopy was closed</w:t>
      </w:r>
      <w:hyperlink r:id="rId38">
        <w:r w:rsidR="00E46121">
          <w:rPr>
            <w:vertAlign w:val="superscript"/>
          </w:rPr>
          <w:t>38</w:t>
        </w:r>
      </w:hyperlink>
      <w:r>
        <w:rPr>
          <w:rFonts w:ascii="Times New Roman" w:eastAsia="Times New Roman" w:hAnsi="Times New Roman" w:cs="Times New Roman"/>
          <w:sz w:val="24"/>
          <w:szCs w:val="24"/>
        </w:rPr>
        <w:t>. Consistent results from other FACE experiments further support that CO₂-induced increases in leaf area are limited by low nitrogen availability</w:t>
      </w:r>
      <w:hyperlink r:id="rId39">
        <w:r w:rsidR="00E46121">
          <w:rPr>
            <w:vertAlign w:val="superscript"/>
          </w:rPr>
          <w:t>39</w:t>
        </w:r>
      </w:hyperlink>
      <w:r>
        <w:rPr>
          <w:rFonts w:ascii="Times New Roman" w:eastAsia="Times New Roman" w:hAnsi="Times New Roman" w:cs="Times New Roman"/>
          <w:sz w:val="24"/>
          <w:szCs w:val="24"/>
        </w:rPr>
        <w:t>. While water availability strongly constrains LAI responses to elevated CO</w:t>
      </w:r>
      <w:r w:rsidR="003504C0"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in dry regions</w:t>
      </w:r>
      <w:hyperlink r:id="rId40">
        <w:r w:rsidR="00E46121">
          <w:rPr>
            <w:vertAlign w:val="superscript"/>
          </w:rPr>
          <w:t>40</w:t>
        </w:r>
        <w:r>
          <w:rPr>
            <w:vertAlign w:val="superscript"/>
          </w:rPr>
          <w:t>,</w:t>
        </w:r>
        <w:r w:rsidR="00E46121">
          <w:rPr>
            <w:vertAlign w:val="superscript"/>
          </w:rPr>
          <w:t>41</w:t>
        </w:r>
      </w:hyperlink>
      <w:r>
        <w:rPr>
          <w:rFonts w:ascii="Times New Roman" w:eastAsia="Times New Roman" w:hAnsi="Times New Roman" w:cs="Times New Roman"/>
          <w:sz w:val="24"/>
          <w:szCs w:val="24"/>
        </w:rPr>
        <w:t>, nutrient limitation can dampen CO</w:t>
      </w:r>
      <w:r w:rsidR="003504C0"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-induced increases in LAI</w:t>
      </w:r>
      <w:hyperlink r:id="rId41">
        <w:r w:rsidR="00E46121">
          <w:rPr>
            <w:vertAlign w:val="superscript"/>
          </w:rPr>
          <w:t>42</w:t>
        </w:r>
      </w:hyperlink>
      <w:r>
        <w:rPr>
          <w:rFonts w:ascii="Times New Roman" w:eastAsia="Times New Roman" w:hAnsi="Times New Roman" w:cs="Times New Roman"/>
          <w:sz w:val="24"/>
          <w:szCs w:val="24"/>
        </w:rPr>
        <w:t>. Tropical regions show only a weak link between nutrient availability and CO</w:t>
      </w:r>
      <w:r w:rsidR="003504C0"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-driven LAI trends, yet interpretation remains limited by the absence of comprehensive experiments in tropical rainforests, and forthcoming </w:t>
      </w:r>
      <w:proofErr w:type="spellStart"/>
      <w:r>
        <w:rPr>
          <w:rFonts w:ascii="Times New Roman" w:eastAsia="Times New Roman" w:hAnsi="Times New Roman" w:cs="Times New Roman"/>
          <w:sz w:val="24"/>
          <w:szCs w:val="24"/>
        </w:rPr>
        <w:t>AmazonFACE</w:t>
      </w:r>
      <w:proofErr w:type="spellEnd"/>
      <w:r>
        <w:rPr>
          <w:rFonts w:ascii="Times New Roman" w:eastAsia="Times New Roman" w:hAnsi="Times New Roman" w:cs="Times New Roman"/>
          <w:sz w:val="24"/>
          <w:szCs w:val="24"/>
        </w:rPr>
        <w:t xml:space="preserve"> is expected to provide a crucial reference for this relationship</w:t>
      </w:r>
      <w:hyperlink r:id="rId42">
        <w:r w:rsidR="00E46121">
          <w:rPr>
            <w:vertAlign w:val="superscript"/>
          </w:rPr>
          <w:t>43</w:t>
        </w:r>
        <w:r>
          <w:rPr>
            <w:vertAlign w:val="superscript"/>
          </w:rPr>
          <w:t>,</w:t>
        </w:r>
        <w:r w:rsidR="00E46121">
          <w:rPr>
            <w:vertAlign w:val="superscript"/>
          </w:rPr>
          <w:t>44</w:t>
        </w:r>
      </w:hyperlink>
      <w:r>
        <w:rPr>
          <w:rFonts w:ascii="Times New Roman" w:eastAsia="Times New Roman" w:hAnsi="Times New Roman" w:cs="Times New Roman"/>
          <w:sz w:val="24"/>
          <w:szCs w:val="24"/>
        </w:rPr>
        <w:t>.</w:t>
      </w:r>
      <w:r>
        <w:br w:type="page"/>
      </w:r>
    </w:p>
    <w:p w:rsidR="008B1D00" w:rsidRDefault="009B220F">
      <w:pPr>
        <w:spacing w:line="480" w:lineRule="auto"/>
        <w:jc w:val="center"/>
        <w:rPr>
          <w:rFonts w:ascii="Times New Roman" w:eastAsia="Times New Roman" w:hAnsi="Times New Roman" w:cs="Times New Roman"/>
          <w:b/>
          <w:color w:val="000000"/>
        </w:rPr>
      </w:pPr>
      <w:r>
        <w:rPr>
          <w:rFonts w:ascii="Times New Roman" w:eastAsia="Times New Roman" w:hAnsi="Times New Roman" w:cs="Times New Roman"/>
          <w:b/>
          <w:noProof/>
        </w:rPr>
        <w:lastRenderedPageBreak/>
        <w:drawing>
          <wp:inline distT="114300" distB="114300" distL="114300" distR="114300">
            <wp:extent cx="5943600" cy="2679700"/>
            <wp:effectExtent l="0" t="0" r="0" b="0"/>
            <wp:docPr id="14"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3"/>
                    <a:srcRect/>
                    <a:stretch>
                      <a:fillRect/>
                    </a:stretch>
                  </pic:blipFill>
                  <pic:spPr>
                    <a:xfrm>
                      <a:off x="0" y="0"/>
                      <a:ext cx="5943600" cy="2679700"/>
                    </a:xfrm>
                    <a:prstGeom prst="rect">
                      <a:avLst/>
                    </a:prstGeom>
                    <a:ln/>
                  </pic:spPr>
                </pic:pic>
              </a:graphicData>
            </a:graphic>
          </wp:inline>
        </w:drawing>
      </w:r>
    </w:p>
    <w:p w:rsidR="008B1D00" w:rsidRDefault="009B220F">
      <w:pPr>
        <w:keepNext/>
        <w:keepLines/>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Fig</w:t>
      </w:r>
      <w:r>
        <w:rPr>
          <w:rFonts w:ascii="Times New Roman" w:eastAsia="Times New Roman" w:hAnsi="Times New Roman" w:cs="Times New Roman"/>
          <w:b/>
          <w:sz w:val="24"/>
          <w:szCs w:val="24"/>
        </w:rPr>
        <w:t>ure</w:t>
      </w:r>
      <w:r>
        <w:rPr>
          <w:rFonts w:ascii="Times New Roman" w:eastAsia="Times New Roman" w:hAnsi="Times New Roman" w:cs="Times New Roman"/>
          <w:b/>
          <w:color w:val="000000"/>
          <w:sz w:val="24"/>
          <w:szCs w:val="24"/>
        </w:rPr>
        <w:t xml:space="preserve"> S1.</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a,</w:t>
      </w:r>
      <w:r>
        <w:rPr>
          <w:rFonts w:ascii="Times New Roman" w:eastAsia="Times New Roman" w:hAnsi="Times New Roman" w:cs="Times New Roman"/>
          <w:color w:val="000000"/>
          <w:sz w:val="24"/>
          <w:szCs w:val="24"/>
        </w:rPr>
        <w:t xml:space="preserve"> Training and </w:t>
      </w:r>
      <w:r>
        <w:rPr>
          <w:rFonts w:ascii="Times New Roman" w:eastAsia="Times New Roman" w:hAnsi="Times New Roman" w:cs="Times New Roman"/>
          <w:b/>
          <w:color w:val="000000"/>
          <w:sz w:val="24"/>
          <w:szCs w:val="24"/>
        </w:rPr>
        <w:t>b,</w:t>
      </w:r>
      <w:r>
        <w:rPr>
          <w:rFonts w:ascii="Times New Roman" w:eastAsia="Times New Roman" w:hAnsi="Times New Roman" w:cs="Times New Roman"/>
          <w:color w:val="000000"/>
          <w:sz w:val="24"/>
          <w:szCs w:val="24"/>
        </w:rPr>
        <w:t xml:space="preserve"> validation of annual mean SNU LAI predictions against benchmark annual mean MODIS LAI. Black lines indicate a linear regression slope, and the dotted lines indicate a 1:1 line. The color bar represents the point density.</w:t>
      </w:r>
    </w:p>
    <w:p w:rsidR="008B1D00" w:rsidRDefault="008B1D00">
      <w:pPr>
        <w:keepNext/>
        <w:keepLines/>
        <w:pBdr>
          <w:top w:val="nil"/>
          <w:left w:val="nil"/>
          <w:bottom w:val="nil"/>
          <w:right w:val="nil"/>
          <w:between w:val="nil"/>
        </w:pBdr>
        <w:spacing w:after="0" w:line="480" w:lineRule="auto"/>
        <w:jc w:val="both"/>
        <w:rPr>
          <w:rFonts w:ascii="Times New Roman" w:eastAsia="Times New Roman" w:hAnsi="Times New Roman" w:cs="Times New Roman"/>
          <w:sz w:val="24"/>
          <w:szCs w:val="24"/>
        </w:rPr>
      </w:pPr>
    </w:p>
    <w:p w:rsidR="008B1D00" w:rsidRDefault="009B220F">
      <w:pPr>
        <w:spacing w:line="480" w:lineRule="auto"/>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3922069" cy="3268810"/>
            <wp:effectExtent l="0" t="0" r="0" b="0"/>
            <wp:docPr id="27"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44"/>
                    <a:srcRect/>
                    <a:stretch>
                      <a:fillRect/>
                    </a:stretch>
                  </pic:blipFill>
                  <pic:spPr>
                    <a:xfrm>
                      <a:off x="0" y="0"/>
                      <a:ext cx="3922069" cy="3268810"/>
                    </a:xfrm>
                    <a:prstGeom prst="rect">
                      <a:avLst/>
                    </a:prstGeom>
                    <a:ln/>
                  </pic:spPr>
                </pic:pic>
              </a:graphicData>
            </a:graphic>
          </wp:inline>
        </w:drawing>
      </w:r>
    </w:p>
    <w:p w:rsidR="008B1D00" w:rsidRDefault="009B220F">
      <w:pPr>
        <w:keepNext/>
        <w:keepLines/>
        <w:pBdr>
          <w:top w:val="nil"/>
          <w:left w:val="nil"/>
          <w:bottom w:val="nil"/>
          <w:right w:val="nil"/>
          <w:between w:val="nil"/>
        </w:pBdr>
        <w:spacing w:after="0" w:line="480" w:lineRule="auto"/>
        <w:jc w:val="both"/>
        <w:rPr>
          <w:rFonts w:ascii="Times New Roman" w:eastAsia="Times New Roman" w:hAnsi="Times New Roman" w:cs="Times New Roman"/>
          <w:color w:val="2F5496"/>
          <w:sz w:val="24"/>
          <w:szCs w:val="24"/>
        </w:rPr>
      </w:pPr>
      <w:r>
        <w:rPr>
          <w:rFonts w:ascii="Times New Roman" w:eastAsia="Times New Roman" w:hAnsi="Times New Roman" w:cs="Times New Roman"/>
          <w:b/>
          <w:color w:val="000000"/>
          <w:sz w:val="24"/>
          <w:szCs w:val="24"/>
        </w:rPr>
        <w:lastRenderedPageBreak/>
        <w:t>Figure S</w:t>
      </w:r>
      <w:r>
        <w:rPr>
          <w:rFonts w:ascii="Times New Roman" w:eastAsia="Times New Roman" w:hAnsi="Times New Roman" w:cs="Times New Roman"/>
          <w:b/>
          <w:sz w:val="24"/>
          <w:szCs w:val="24"/>
        </w:rPr>
        <w:t>2</w:t>
      </w:r>
      <w:r>
        <w:rPr>
          <w:rFonts w:ascii="Times New Roman" w:eastAsia="Times New Roman" w:hAnsi="Times New Roman" w:cs="Times New Roman"/>
          <w:b/>
          <w:color w:val="000000"/>
          <w:sz w:val="24"/>
          <w:szCs w:val="24"/>
        </w:rPr>
        <w:t>.</w:t>
      </w:r>
      <w:r>
        <w:rPr>
          <w:rFonts w:ascii="Times New Roman" w:eastAsia="Times New Roman" w:hAnsi="Times New Roman" w:cs="Times New Roman"/>
          <w:color w:val="000000"/>
          <w:sz w:val="24"/>
          <w:szCs w:val="24"/>
        </w:rPr>
        <w:t xml:space="preserve"> Evaluation of satellite LAI datasets using global network of LAI reference data (CEOS DIRECT 2.1). Each color indicates different satellite LAI products, including SNU (black), LTDR (blue), LAI4g (orange), and LAI3g (green). The black line is a 1:1 line.</w:t>
      </w:r>
    </w:p>
    <w:p w:rsidR="008B1D00" w:rsidRDefault="008B1D00">
      <w:pPr>
        <w:spacing w:line="480" w:lineRule="auto"/>
        <w:rPr>
          <w:rFonts w:ascii="Times New Roman" w:eastAsia="Times New Roman" w:hAnsi="Times New Roman" w:cs="Times New Roman"/>
          <w:b/>
          <w:color w:val="000000"/>
          <w:sz w:val="24"/>
          <w:szCs w:val="24"/>
        </w:rPr>
      </w:pPr>
    </w:p>
    <w:p w:rsidR="008B1D00" w:rsidRDefault="009B220F">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extent cx="5943600" cy="5245100"/>
            <wp:effectExtent l="0" t="0" r="0" b="0"/>
            <wp:docPr id="10"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5"/>
                    <a:srcRect/>
                    <a:stretch>
                      <a:fillRect/>
                    </a:stretch>
                  </pic:blipFill>
                  <pic:spPr>
                    <a:xfrm>
                      <a:off x="0" y="0"/>
                      <a:ext cx="5943600" cy="5245100"/>
                    </a:xfrm>
                    <a:prstGeom prst="rect">
                      <a:avLst/>
                    </a:prstGeom>
                    <a:ln/>
                  </pic:spPr>
                </pic:pic>
              </a:graphicData>
            </a:graphic>
          </wp:inline>
        </w:drawing>
      </w:r>
    </w:p>
    <w:p w:rsidR="008B1D00" w:rsidRDefault="009B220F">
      <w:pPr>
        <w:spacing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Figure S</w:t>
      </w:r>
      <w:r>
        <w:rPr>
          <w:rFonts w:ascii="Times New Roman" w:eastAsia="Times New Roman" w:hAnsi="Times New Roman" w:cs="Times New Roman"/>
          <w:b/>
          <w:sz w:val="24"/>
          <w:szCs w:val="24"/>
        </w:rPr>
        <w:t>3</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Evaluation of SNU LAI, LTDR LAI, LAI4g, and LAI3g using </w:t>
      </w:r>
      <w:r>
        <w:rPr>
          <w:rFonts w:ascii="Times New Roman" w:eastAsia="Times New Roman" w:hAnsi="Times New Roman" w:cs="Times New Roman"/>
          <w:sz w:val="24"/>
          <w:szCs w:val="24"/>
        </w:rPr>
        <w:t xml:space="preserve">a </w:t>
      </w:r>
      <w:r>
        <w:rPr>
          <w:rFonts w:ascii="Times New Roman" w:eastAsia="Times New Roman" w:hAnsi="Times New Roman" w:cs="Times New Roman"/>
          <w:color w:val="000000"/>
          <w:sz w:val="24"/>
          <w:szCs w:val="24"/>
        </w:rPr>
        <w:t xml:space="preserve">global network of LAI reference data (CEOS DIRECT 2.1). Each panel indicates </w:t>
      </w:r>
      <w:r>
        <w:rPr>
          <w:rFonts w:ascii="Times New Roman" w:eastAsia="Times New Roman" w:hAnsi="Times New Roman" w:cs="Times New Roman"/>
          <w:b/>
          <w:sz w:val="24"/>
          <w:szCs w:val="24"/>
        </w:rPr>
        <w:t>a,</w:t>
      </w:r>
      <w:r>
        <w:rPr>
          <w:rFonts w:ascii="Times New Roman" w:eastAsia="Times New Roman" w:hAnsi="Times New Roman" w:cs="Times New Roman"/>
          <w:sz w:val="24"/>
          <w:szCs w:val="24"/>
        </w:rPr>
        <w:t xml:space="preserve"> SNU LAI,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LTDR LAI, </w:t>
      </w:r>
      <w:r>
        <w:rPr>
          <w:rFonts w:ascii="Times New Roman" w:eastAsia="Times New Roman" w:hAnsi="Times New Roman" w:cs="Times New Roman"/>
          <w:b/>
          <w:sz w:val="24"/>
          <w:szCs w:val="24"/>
        </w:rPr>
        <w:t>c,</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 xml:space="preserve">LAI4g, and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LAI3g</w:t>
      </w:r>
      <w:r>
        <w:rPr>
          <w:rFonts w:ascii="Times New Roman" w:eastAsia="Times New Roman" w:hAnsi="Times New Roman" w:cs="Times New Roman"/>
          <w:color w:val="000000"/>
          <w:sz w:val="24"/>
          <w:szCs w:val="24"/>
        </w:rPr>
        <w:t xml:space="preserve">. Green dots are forest (NF, DBF, and MF) and brown dots are non-forest (CRO, SHR) LAI values. The black line is a 1:1 line. </w:t>
      </w:r>
    </w:p>
    <w:p w:rsidR="005F22BD" w:rsidRDefault="005F22BD" w:rsidP="005F22BD">
      <w:pPr>
        <w:spacing w:line="480" w:lineRule="auto"/>
        <w:jc w:val="both"/>
        <w:rPr>
          <w:rFonts w:ascii="Times New Roman" w:hAnsi="Times New Roman" w:cs="Times New Roman"/>
          <w:sz w:val="24"/>
          <w:szCs w:val="24"/>
        </w:rPr>
      </w:pPr>
      <w:r w:rsidRPr="00562249">
        <w:rPr>
          <w:rFonts w:ascii="Times New Roman" w:hAnsi="Times New Roman" w:cs="Times New Roman"/>
          <w:sz w:val="24"/>
          <w:szCs w:val="24"/>
        </w:rPr>
        <w:drawing>
          <wp:inline distT="0" distB="0" distL="0" distR="0" wp14:anchorId="0EDDD965" wp14:editId="6FE9A41F">
            <wp:extent cx="5943600" cy="2971800"/>
            <wp:effectExtent l="0" t="0" r="0" b="0"/>
            <wp:docPr id="34" name="그림 2">
              <a:extLst xmlns:a="http://schemas.openxmlformats.org/drawingml/2006/main">
                <a:ext uri="{FF2B5EF4-FFF2-40B4-BE49-F238E27FC236}">
                  <a16:creationId xmlns:a16="http://schemas.microsoft.com/office/drawing/2014/main" id="{742C070F-035F-44C9-B023-8480351A68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742C070F-035F-44C9-B023-8480351A68F3}"/>
                        </a:ext>
                      </a:extLst>
                    </pic:cNvPr>
                    <pic:cNvPicPr>
                      <a:picLocks noChangeAspect="1"/>
                    </pic:cNvPicPr>
                  </pic:nvPicPr>
                  <pic:blipFill>
                    <a:blip r:embed="rId46"/>
                    <a:stretch>
                      <a:fillRect/>
                    </a:stretch>
                  </pic:blipFill>
                  <pic:spPr>
                    <a:xfrm>
                      <a:off x="0" y="0"/>
                      <a:ext cx="5943600" cy="2971800"/>
                    </a:xfrm>
                    <a:prstGeom prst="rect">
                      <a:avLst/>
                    </a:prstGeom>
                  </pic:spPr>
                </pic:pic>
              </a:graphicData>
            </a:graphic>
          </wp:inline>
        </w:drawing>
      </w:r>
    </w:p>
    <w:p w:rsidR="005F22BD" w:rsidRPr="00562249" w:rsidRDefault="005F22BD" w:rsidP="005F22BD">
      <w:pPr>
        <w:spacing w:line="480" w:lineRule="auto"/>
        <w:jc w:val="both"/>
        <w:rPr>
          <w:rFonts w:ascii="Times New Roman" w:hAnsi="Times New Roman" w:cs="Times New Roman" w:hint="eastAsia"/>
          <w:sz w:val="24"/>
          <w:szCs w:val="24"/>
        </w:rPr>
      </w:pPr>
      <w:r>
        <w:rPr>
          <w:rFonts w:ascii="Times New Roman" w:eastAsia="Times New Roman" w:hAnsi="Times New Roman" w:cs="Times New Roman"/>
          <w:b/>
          <w:sz w:val="24"/>
          <w:szCs w:val="24"/>
        </w:rPr>
        <w:t>Figure S</w:t>
      </w:r>
      <w:r>
        <w:rPr>
          <w:rFonts w:ascii="Times New Roman" w:eastAsia="Times New Roman" w:hAnsi="Times New Roman" w:cs="Times New Roman"/>
          <w:b/>
          <w:sz w:val="24"/>
          <w:szCs w:val="24"/>
        </w:rPr>
        <w:t>4</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t>
      </w:r>
      <w:r w:rsidRPr="00562249">
        <w:rPr>
          <w:rFonts w:ascii="Times New Roman" w:eastAsia="Times New Roman" w:hAnsi="Times New Roman" w:cs="Times New Roman"/>
          <w:sz w:val="24"/>
          <w:szCs w:val="24"/>
        </w:rPr>
        <w:t xml:space="preserve">Global distribution of </w:t>
      </w:r>
      <w:proofErr w:type="spellStart"/>
      <w:r w:rsidRPr="00562249">
        <w:rPr>
          <w:rFonts w:ascii="Times New Roman" w:eastAsia="Times New Roman" w:hAnsi="Times New Roman" w:cs="Times New Roman"/>
          <w:sz w:val="24"/>
          <w:szCs w:val="24"/>
        </w:rPr>
        <w:t>Köppen</w:t>
      </w:r>
      <w:proofErr w:type="spellEnd"/>
      <w:r w:rsidRPr="00562249">
        <w:rPr>
          <w:rFonts w:ascii="Times New Roman" w:eastAsia="Times New Roman" w:hAnsi="Times New Roman" w:cs="Times New Roman"/>
          <w:sz w:val="24"/>
          <w:szCs w:val="24"/>
        </w:rPr>
        <w:t xml:space="preserve"> climate zones at 1° spatial resolution. The map shows four major climate categories: Tropical (green), Dry (yellow), Temperate (blue), and Continental (red).</w:t>
      </w:r>
    </w:p>
    <w:p w:rsidR="008B1D00" w:rsidRDefault="009B220F">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extent cx="4040505" cy="3367088"/>
            <wp:effectExtent l="0" t="0" r="0" b="0"/>
            <wp:docPr id="6"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47"/>
                    <a:srcRect/>
                    <a:stretch>
                      <a:fillRect/>
                    </a:stretch>
                  </pic:blipFill>
                  <pic:spPr>
                    <a:xfrm>
                      <a:off x="0" y="0"/>
                      <a:ext cx="4040505" cy="3367088"/>
                    </a:xfrm>
                    <a:prstGeom prst="rect">
                      <a:avLst/>
                    </a:prstGeom>
                    <a:ln/>
                  </pic:spPr>
                </pic:pic>
              </a:graphicData>
            </a:graphic>
          </wp:inline>
        </w:drawing>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w:t>
      </w:r>
      <w:r w:rsidR="005F22BD">
        <w:rPr>
          <w:rFonts w:ascii="Times New Roman" w:eastAsia="Times New Roman" w:hAnsi="Times New Roman" w:cs="Times New Roman"/>
          <w:b/>
          <w:sz w:val="24"/>
          <w:szCs w:val="24"/>
        </w:rPr>
        <w:t>5</w:t>
      </w:r>
      <w:r>
        <w:rPr>
          <w:rFonts w:ascii="Times New Roman" w:eastAsia="Times New Roman" w:hAnsi="Times New Roman" w:cs="Times New Roman"/>
          <w:sz w:val="24"/>
          <w:szCs w:val="24"/>
        </w:rPr>
        <w:t>. Temporal dynamics of the global growing season mean LAI anomaly during 1982–2021. Global LAI anomalies are computed by subtracting the multi-year growing season mean of the area-weighted global growing season mean LAI from the corresponding value in each year. Slope and interannual variability are calculated for the period from 1982 to 2015. Each color indicates different satellite LAI products, including SNU (black), LTDR (blue), LAI4g (orange), and LAI3g (green).</w:t>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extent cx="5943600" cy="2692400"/>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8"/>
                    <a:srcRect/>
                    <a:stretch>
                      <a:fillRect/>
                    </a:stretch>
                  </pic:blipFill>
                  <pic:spPr>
                    <a:xfrm>
                      <a:off x="0" y="0"/>
                      <a:ext cx="5943600" cy="2692400"/>
                    </a:xfrm>
                    <a:prstGeom prst="rect">
                      <a:avLst/>
                    </a:prstGeom>
                    <a:ln/>
                  </pic:spPr>
                </pic:pic>
              </a:graphicData>
            </a:graphic>
          </wp:inline>
        </w:drawing>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w:t>
      </w:r>
      <w:r w:rsidR="005F22BD">
        <w:rPr>
          <w:rFonts w:ascii="Times New Roman" w:eastAsia="Times New Roman" w:hAnsi="Times New Roman" w:cs="Times New Roman"/>
          <w:b/>
          <w:sz w:val="24"/>
          <w:szCs w:val="24"/>
        </w:rPr>
        <w:t>6</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Global growing season mean LAI trends. For different periods, global LAI trends are calculated by selecting statistically significant pixels (Mann–Kendall test,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within each </w:t>
      </w:r>
      <w:r>
        <w:rPr>
          <w:rFonts w:ascii="Times New Roman" w:eastAsia="Times New Roman" w:hAnsi="Times New Roman" w:cs="Times New Roman"/>
          <w:b/>
          <w:sz w:val="24"/>
          <w:szCs w:val="24"/>
        </w:rPr>
        <w:t>a,</w:t>
      </w:r>
      <w:r>
        <w:rPr>
          <w:rFonts w:ascii="Times New Roman" w:eastAsia="Times New Roman" w:hAnsi="Times New Roman" w:cs="Times New Roman"/>
          <w:sz w:val="24"/>
          <w:szCs w:val="24"/>
        </w:rPr>
        <w:t xml:space="preserve"> 20-year moving window and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15-year moving window. Colors represented different datasets: SNU (black), LTDR (blue), LAI4g (orange), and LAI3g (green).</w:t>
      </w:r>
    </w:p>
    <w:p w:rsidR="008B1D00" w:rsidRDefault="009B220F">
      <w:pPr>
        <w:spacing w:line="480" w:lineRule="auto"/>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extent cx="5943600" cy="8026400"/>
            <wp:effectExtent l="0" t="0" r="0" b="0"/>
            <wp:docPr id="20"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49"/>
                    <a:srcRect/>
                    <a:stretch>
                      <a:fillRect/>
                    </a:stretch>
                  </pic:blipFill>
                  <pic:spPr>
                    <a:xfrm>
                      <a:off x="0" y="0"/>
                      <a:ext cx="5943600" cy="8026400"/>
                    </a:xfrm>
                    <a:prstGeom prst="rect">
                      <a:avLst/>
                    </a:prstGeom>
                    <a:ln/>
                  </pic:spPr>
                </pic:pic>
              </a:graphicData>
            </a:graphic>
          </wp:inline>
        </w:drawing>
      </w:r>
    </w:p>
    <w:p w:rsidR="008B1D00" w:rsidRDefault="009B220F">
      <w:pPr>
        <w:keepNext/>
        <w:keepLines/>
        <w:pBdr>
          <w:top w:val="nil"/>
          <w:left w:val="nil"/>
          <w:bottom w:val="nil"/>
          <w:right w:val="nil"/>
          <w:between w:val="nil"/>
        </w:pBdr>
        <w:spacing w:after="0" w:line="480" w:lineRule="auto"/>
        <w:jc w:val="both"/>
        <w:rPr>
          <w:rFonts w:ascii="Times New Roman" w:eastAsia="Times New Roman" w:hAnsi="Times New Roman" w:cs="Times New Roman"/>
          <w:color w:val="2F5496"/>
          <w:sz w:val="26"/>
          <w:szCs w:val="26"/>
        </w:rPr>
      </w:pPr>
      <w:bookmarkStart w:id="2" w:name="_qh3n3a8aj4ds" w:colFirst="0" w:colLast="0"/>
      <w:bookmarkEnd w:id="2"/>
      <w:r>
        <w:rPr>
          <w:rFonts w:ascii="Times New Roman" w:eastAsia="Times New Roman" w:hAnsi="Times New Roman" w:cs="Times New Roman"/>
          <w:b/>
          <w:color w:val="000000"/>
          <w:sz w:val="24"/>
          <w:szCs w:val="24"/>
        </w:rPr>
        <w:lastRenderedPageBreak/>
        <w:t>Fig</w:t>
      </w:r>
      <w:r>
        <w:rPr>
          <w:rFonts w:ascii="Times New Roman" w:eastAsia="Times New Roman" w:hAnsi="Times New Roman" w:cs="Times New Roman"/>
          <w:b/>
          <w:sz w:val="24"/>
          <w:szCs w:val="24"/>
        </w:rPr>
        <w:t>ure</w:t>
      </w:r>
      <w:r>
        <w:rPr>
          <w:rFonts w:ascii="Times New Roman" w:eastAsia="Times New Roman" w:hAnsi="Times New Roman" w:cs="Times New Roman"/>
          <w:b/>
          <w:color w:val="000000"/>
          <w:sz w:val="24"/>
          <w:szCs w:val="24"/>
        </w:rPr>
        <w:t xml:space="preserve"> S</w:t>
      </w:r>
      <w:r w:rsidR="005F22BD">
        <w:rPr>
          <w:rFonts w:ascii="Times New Roman" w:eastAsia="Times New Roman" w:hAnsi="Times New Roman" w:cs="Times New Roman"/>
          <w:b/>
          <w:sz w:val="24"/>
          <w:szCs w:val="24"/>
        </w:rPr>
        <w:t>7</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Spatial pattern of global LAI trends in long-term satellite products. Each column indicates different periods (Left: 1982–1999; Right: 2000–2015). Each row showed a different LAI dataset: </w:t>
      </w:r>
      <w:proofErr w:type="spellStart"/>
      <w:proofErr w:type="gramStart"/>
      <w:r>
        <w:rPr>
          <w:rFonts w:ascii="Times New Roman" w:eastAsia="Times New Roman" w:hAnsi="Times New Roman" w:cs="Times New Roman"/>
          <w:b/>
          <w:sz w:val="24"/>
          <w:szCs w:val="24"/>
        </w:rPr>
        <w:t>a,b</w:t>
      </w:r>
      <w:proofErr w:type="spellEnd"/>
      <w:proofErr w:type="gramEnd"/>
      <w:r>
        <w:rPr>
          <w:rFonts w:ascii="Times New Roman" w:eastAsia="Times New Roman" w:hAnsi="Times New Roman" w:cs="Times New Roman"/>
          <w:b/>
          <w:sz w:val="24"/>
          <w:szCs w:val="24"/>
        </w:rPr>
        <w:t>,</w:t>
      </w:r>
      <w:r>
        <w:rPr>
          <w:rFonts w:ascii="Times New Roman" w:eastAsia="Times New Roman" w:hAnsi="Times New Roman" w:cs="Times New Roman"/>
          <w:color w:val="000000"/>
          <w:sz w:val="24"/>
          <w:szCs w:val="24"/>
        </w:rPr>
        <w:t xml:space="preserve"> SNU LAI, </w:t>
      </w:r>
      <w:proofErr w:type="spellStart"/>
      <w:r>
        <w:rPr>
          <w:rFonts w:ascii="Times New Roman" w:eastAsia="Times New Roman" w:hAnsi="Times New Roman" w:cs="Times New Roman"/>
          <w:b/>
          <w:sz w:val="24"/>
          <w:szCs w:val="24"/>
        </w:rPr>
        <w:t>c,d</w:t>
      </w:r>
      <w:proofErr w:type="spellEnd"/>
      <w:r>
        <w:rPr>
          <w:rFonts w:ascii="Times New Roman" w:eastAsia="Times New Roman" w:hAnsi="Times New Roman" w:cs="Times New Roman"/>
          <w:b/>
          <w:sz w:val="24"/>
          <w:szCs w:val="24"/>
        </w:rPr>
        <w:t>,</w:t>
      </w:r>
      <w:r>
        <w:rPr>
          <w:rFonts w:ascii="Times New Roman" w:eastAsia="Times New Roman" w:hAnsi="Times New Roman" w:cs="Times New Roman"/>
          <w:color w:val="000000"/>
          <w:sz w:val="24"/>
          <w:szCs w:val="24"/>
        </w:rPr>
        <w:t xml:space="preserve"> LTDR LAI, </w:t>
      </w:r>
      <w:proofErr w:type="spellStart"/>
      <w:r>
        <w:rPr>
          <w:rFonts w:ascii="Times New Roman" w:eastAsia="Times New Roman" w:hAnsi="Times New Roman" w:cs="Times New Roman"/>
          <w:b/>
          <w:sz w:val="24"/>
          <w:szCs w:val="24"/>
        </w:rPr>
        <w:t>e,f</w:t>
      </w:r>
      <w:proofErr w:type="spellEnd"/>
      <w:r>
        <w:rPr>
          <w:rFonts w:ascii="Times New Roman" w:eastAsia="Times New Roman" w:hAnsi="Times New Roman" w:cs="Times New Roman"/>
          <w:b/>
          <w:sz w:val="24"/>
          <w:szCs w:val="24"/>
        </w:rPr>
        <w:t>,</w:t>
      </w:r>
      <w:r>
        <w:rPr>
          <w:rFonts w:ascii="Times New Roman" w:eastAsia="Times New Roman" w:hAnsi="Times New Roman" w:cs="Times New Roman"/>
          <w:color w:val="000000"/>
          <w:sz w:val="24"/>
          <w:szCs w:val="24"/>
        </w:rPr>
        <w:t xml:space="preserve"> LAI4g, and </w:t>
      </w:r>
      <w:proofErr w:type="spellStart"/>
      <w:r>
        <w:rPr>
          <w:rFonts w:ascii="Times New Roman" w:eastAsia="Times New Roman" w:hAnsi="Times New Roman" w:cs="Times New Roman"/>
          <w:b/>
          <w:sz w:val="24"/>
          <w:szCs w:val="24"/>
        </w:rPr>
        <w:t>g,h</w:t>
      </w:r>
      <w:proofErr w:type="spellEnd"/>
      <w:r>
        <w:rPr>
          <w:rFonts w:ascii="Times New Roman" w:eastAsia="Times New Roman" w:hAnsi="Times New Roman" w:cs="Times New Roman"/>
          <w:b/>
          <w:sz w:val="24"/>
          <w:szCs w:val="24"/>
        </w:rPr>
        <w:t>,</w:t>
      </w:r>
      <w:r>
        <w:rPr>
          <w:rFonts w:ascii="Times New Roman" w:eastAsia="Times New Roman" w:hAnsi="Times New Roman" w:cs="Times New Roman"/>
          <w:color w:val="000000"/>
          <w:sz w:val="24"/>
          <w:szCs w:val="24"/>
        </w:rPr>
        <w:t xml:space="preserve"> LAI3g. Statistically significant pixels were colored (Mann–Kendall test, </w:t>
      </w:r>
      <w:r>
        <w:rPr>
          <w:rFonts w:ascii="Times New Roman" w:eastAsia="Times New Roman" w:hAnsi="Times New Roman" w:cs="Times New Roman"/>
          <w:i/>
          <w:sz w:val="24"/>
          <w:szCs w:val="24"/>
        </w:rPr>
        <w:t>P</w:t>
      </w:r>
      <w:r>
        <w:rPr>
          <w:rFonts w:ascii="Times New Roman" w:eastAsia="Times New Roman" w:hAnsi="Times New Roman" w:cs="Times New Roman"/>
          <w:color w:val="000000"/>
          <w:sz w:val="24"/>
          <w:szCs w:val="24"/>
        </w:rPr>
        <w:t> &lt; 0.1)</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and insignificant pixels were grey </w:t>
      </w:r>
      <w:r>
        <w:rPr>
          <w:rFonts w:ascii="Times New Roman" w:eastAsia="Times New Roman" w:hAnsi="Times New Roman" w:cs="Times New Roman"/>
          <w:sz w:val="24"/>
          <w:szCs w:val="24"/>
        </w:rPr>
        <w:t xml:space="preserve">in </w:t>
      </w:r>
      <w:r>
        <w:rPr>
          <w:rFonts w:ascii="Times New Roman" w:eastAsia="Times New Roman" w:hAnsi="Times New Roman" w:cs="Times New Roman"/>
          <w:color w:val="000000"/>
          <w:sz w:val="24"/>
          <w:szCs w:val="24"/>
        </w:rPr>
        <w:t>color.</w:t>
      </w:r>
    </w:p>
    <w:p w:rsidR="008B1D00" w:rsidRDefault="009B220F">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noProof/>
        </w:rPr>
        <w:drawing>
          <wp:inline distT="114300" distB="114300" distL="114300" distR="114300">
            <wp:extent cx="5943600" cy="4864100"/>
            <wp:effectExtent l="0" t="0" r="0" b="0"/>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0"/>
                    <a:srcRect/>
                    <a:stretch>
                      <a:fillRect/>
                    </a:stretch>
                  </pic:blipFill>
                  <pic:spPr>
                    <a:xfrm>
                      <a:off x="0" y="0"/>
                      <a:ext cx="5943600" cy="4864100"/>
                    </a:xfrm>
                    <a:prstGeom prst="rect">
                      <a:avLst/>
                    </a:prstGeom>
                    <a:ln/>
                  </pic:spPr>
                </pic:pic>
              </a:graphicData>
            </a:graphic>
          </wp:inline>
        </w:drawing>
      </w:r>
    </w:p>
    <w:p w:rsidR="008B1D00" w:rsidRDefault="009B220F">
      <w:pPr>
        <w:keepNext/>
        <w:keepLines/>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Fig</w:t>
      </w:r>
      <w:r>
        <w:rPr>
          <w:rFonts w:ascii="Times New Roman" w:eastAsia="Times New Roman" w:hAnsi="Times New Roman" w:cs="Times New Roman"/>
          <w:b/>
          <w:sz w:val="24"/>
          <w:szCs w:val="24"/>
        </w:rPr>
        <w:t>ure</w:t>
      </w:r>
      <w:r>
        <w:rPr>
          <w:rFonts w:ascii="Times New Roman" w:eastAsia="Times New Roman" w:hAnsi="Times New Roman" w:cs="Times New Roman"/>
          <w:b/>
          <w:color w:val="000000"/>
          <w:sz w:val="24"/>
          <w:szCs w:val="24"/>
        </w:rPr>
        <w:t xml:space="preserve"> S</w:t>
      </w:r>
      <w:r w:rsidR="005F22BD">
        <w:rPr>
          <w:rFonts w:ascii="Times New Roman" w:eastAsia="Times New Roman" w:hAnsi="Times New Roman" w:cs="Times New Roman"/>
          <w:b/>
          <w:sz w:val="24"/>
          <w:szCs w:val="24"/>
        </w:rPr>
        <w:t>8</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Temporal dynamics of the annual growing season mean LAI anomaly over high-latitude Northern Hemisphere (NH), temperate NH, tropical, and extratropical Southern Hemisphere (SH) regions. The LAI anomaly is computed by the difference between the annual growing season mean LAI and the multi-year growing season mean value of each pixel. Regional values were calculated considering the actual pixel area. Each panel shows a different LAI product: </w:t>
      </w:r>
      <w:r>
        <w:rPr>
          <w:rFonts w:ascii="Times New Roman" w:eastAsia="Times New Roman" w:hAnsi="Times New Roman" w:cs="Times New Roman"/>
          <w:b/>
          <w:sz w:val="24"/>
          <w:szCs w:val="24"/>
        </w:rPr>
        <w:t>a,</w:t>
      </w:r>
      <w:r>
        <w:rPr>
          <w:rFonts w:ascii="Times New Roman" w:eastAsia="Times New Roman" w:hAnsi="Times New Roman" w:cs="Times New Roman"/>
          <w:sz w:val="24"/>
          <w:szCs w:val="24"/>
        </w:rPr>
        <w:t xml:space="preserve"> SNU LAI,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LTDR LAI, </w:t>
      </w:r>
      <w:r>
        <w:rPr>
          <w:rFonts w:ascii="Times New Roman" w:eastAsia="Times New Roman" w:hAnsi="Times New Roman" w:cs="Times New Roman"/>
          <w:b/>
          <w:sz w:val="24"/>
          <w:szCs w:val="24"/>
        </w:rPr>
        <w:t>c,</w:t>
      </w:r>
      <w:r>
        <w:rPr>
          <w:rFonts w:ascii="Times New Roman" w:eastAsia="Times New Roman" w:hAnsi="Times New Roman" w:cs="Times New Roman"/>
          <w:sz w:val="24"/>
          <w:szCs w:val="24"/>
        </w:rPr>
        <w:t xml:space="preserve"> LAI4g, and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LAI3g.</w:t>
      </w:r>
    </w:p>
    <w:p w:rsidR="008B1D00" w:rsidRDefault="008B1D00">
      <w:pPr>
        <w:spacing w:line="480" w:lineRule="auto"/>
        <w:rPr>
          <w:rFonts w:ascii="Times New Roman" w:eastAsia="Times New Roman" w:hAnsi="Times New Roman" w:cs="Times New Roman"/>
        </w:rPr>
      </w:pPr>
    </w:p>
    <w:p w:rsidR="008B1D00" w:rsidRDefault="009B220F">
      <w:pPr>
        <w:spacing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noProof/>
        </w:rPr>
        <w:drawing>
          <wp:inline distT="114300" distB="114300" distL="114300" distR="114300">
            <wp:extent cx="5943600" cy="4953000"/>
            <wp:effectExtent l="0" t="0" r="0" b="0"/>
            <wp:docPr id="24"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51"/>
                    <a:srcRect/>
                    <a:stretch>
                      <a:fillRect/>
                    </a:stretch>
                  </pic:blipFill>
                  <pic:spPr>
                    <a:xfrm>
                      <a:off x="0" y="0"/>
                      <a:ext cx="5943600" cy="4953000"/>
                    </a:xfrm>
                    <a:prstGeom prst="rect">
                      <a:avLst/>
                    </a:prstGeom>
                    <a:ln/>
                  </pic:spPr>
                </pic:pic>
              </a:graphicData>
            </a:graphic>
          </wp:inline>
        </w:drawing>
      </w:r>
      <w:r>
        <w:rPr>
          <w:rFonts w:ascii="Times New Roman" w:eastAsia="Times New Roman" w:hAnsi="Times New Roman" w:cs="Times New Roman"/>
          <w:b/>
          <w:color w:val="000000"/>
          <w:sz w:val="24"/>
          <w:szCs w:val="24"/>
        </w:rPr>
        <w:t>Fig</w:t>
      </w:r>
      <w:r>
        <w:rPr>
          <w:rFonts w:ascii="Times New Roman" w:eastAsia="Times New Roman" w:hAnsi="Times New Roman" w:cs="Times New Roman"/>
          <w:b/>
          <w:sz w:val="24"/>
          <w:szCs w:val="24"/>
        </w:rPr>
        <w:t>ure</w:t>
      </w:r>
      <w:r>
        <w:rPr>
          <w:rFonts w:ascii="Times New Roman" w:eastAsia="Times New Roman" w:hAnsi="Times New Roman" w:cs="Times New Roman"/>
          <w:b/>
          <w:color w:val="000000"/>
          <w:sz w:val="24"/>
          <w:szCs w:val="24"/>
        </w:rPr>
        <w:t xml:space="preserve"> S</w:t>
      </w:r>
      <w:r w:rsidR="005F22BD">
        <w:rPr>
          <w:rFonts w:ascii="Times New Roman" w:eastAsia="Times New Roman" w:hAnsi="Times New Roman" w:cs="Times New Roman"/>
          <w:b/>
          <w:sz w:val="24"/>
          <w:szCs w:val="24"/>
        </w:rPr>
        <w:t>9</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Trends in </w:t>
      </w:r>
      <w:r>
        <w:rPr>
          <w:rFonts w:ascii="Times New Roman" w:eastAsia="Times New Roman" w:hAnsi="Times New Roman" w:cs="Times New Roman"/>
          <w:b/>
          <w:sz w:val="24"/>
          <w:szCs w:val="24"/>
        </w:rPr>
        <w:t>a,</w:t>
      </w:r>
      <w:r>
        <w:rPr>
          <w:rFonts w:ascii="Times New Roman" w:eastAsia="Times New Roman" w:hAnsi="Times New Roman" w:cs="Times New Roman"/>
          <w:sz w:val="24"/>
          <w:szCs w:val="24"/>
        </w:rPr>
        <w:t xml:space="preserve"> SNU LAI,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LTDR LAI, </w:t>
      </w:r>
      <w:r>
        <w:rPr>
          <w:rFonts w:ascii="Times New Roman" w:eastAsia="Times New Roman" w:hAnsi="Times New Roman" w:cs="Times New Roman"/>
          <w:b/>
          <w:sz w:val="24"/>
          <w:szCs w:val="24"/>
        </w:rPr>
        <w:t>c,</w:t>
      </w:r>
      <w:r>
        <w:rPr>
          <w:rFonts w:ascii="Times New Roman" w:eastAsia="Times New Roman" w:hAnsi="Times New Roman" w:cs="Times New Roman"/>
          <w:sz w:val="24"/>
          <w:szCs w:val="24"/>
        </w:rPr>
        <w:t xml:space="preserve"> LAI4g, and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LAI3g</w:t>
      </w:r>
      <w:r>
        <w:rPr>
          <w:rFonts w:ascii="Times New Roman" w:eastAsia="Times New Roman" w:hAnsi="Times New Roman" w:cs="Times New Roman"/>
          <w:color w:val="000000"/>
          <w:sz w:val="24"/>
          <w:szCs w:val="24"/>
        </w:rPr>
        <w:t xml:space="preserve"> for each season during 1982–1999 and 2000–2015. Each color indicates a different season, including January-March </w:t>
      </w:r>
      <w:r>
        <w:rPr>
          <w:rFonts w:ascii="Times New Roman" w:eastAsia="Times New Roman" w:hAnsi="Times New Roman" w:cs="Times New Roman"/>
          <w:color w:val="000000"/>
          <w:sz w:val="24"/>
          <w:szCs w:val="24"/>
        </w:rPr>
        <w:lastRenderedPageBreak/>
        <w:t xml:space="preserve">(Dark yellow), April-June (Dark green), July-September (Dark orange), and October-December (Dark blue). The filled bars represent the period 1982–1999, and the dashed bars represent the period 2000–2015. The LAI anomaly is computed by the difference between the mean LAI in each season and the multi-year mean value of each pixel. Global values were calculated considering the actual pixel area. </w:t>
      </w:r>
    </w:p>
    <w:p w:rsidR="008B1D00" w:rsidRDefault="009B220F">
      <w:pPr>
        <w:tabs>
          <w:tab w:val="left" w:pos="1040"/>
          <w:tab w:val="left" w:pos="2660"/>
        </w:tabs>
        <w:spacing w:line="480" w:lineRule="auto"/>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extent cx="5943600" cy="2209800"/>
            <wp:effectExtent l="0" t="0" r="0" b="0"/>
            <wp:docPr id="25"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52"/>
                    <a:srcRect/>
                    <a:stretch>
                      <a:fillRect/>
                    </a:stretch>
                  </pic:blipFill>
                  <pic:spPr>
                    <a:xfrm>
                      <a:off x="0" y="0"/>
                      <a:ext cx="5943600" cy="2209800"/>
                    </a:xfrm>
                    <a:prstGeom prst="rect">
                      <a:avLst/>
                    </a:prstGeom>
                    <a:ln/>
                  </pic:spPr>
                </pic:pic>
              </a:graphicData>
            </a:graphic>
          </wp:inline>
        </w:drawing>
      </w:r>
    </w:p>
    <w:p w:rsidR="008B1D00" w:rsidRDefault="009B220F">
      <w:pPr>
        <w:keepNext/>
        <w:keepLines/>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Fig</w:t>
      </w:r>
      <w:r>
        <w:rPr>
          <w:rFonts w:ascii="Times New Roman" w:eastAsia="Times New Roman" w:hAnsi="Times New Roman" w:cs="Times New Roman"/>
          <w:b/>
          <w:sz w:val="24"/>
          <w:szCs w:val="24"/>
        </w:rPr>
        <w:t>ure</w:t>
      </w:r>
      <w:r>
        <w:rPr>
          <w:rFonts w:ascii="Times New Roman" w:eastAsia="Times New Roman" w:hAnsi="Times New Roman" w:cs="Times New Roman"/>
          <w:b/>
          <w:color w:val="000000"/>
          <w:sz w:val="24"/>
          <w:szCs w:val="24"/>
        </w:rPr>
        <w:t xml:space="preserve"> S</w:t>
      </w:r>
      <w:r w:rsidR="005F22BD">
        <w:rPr>
          <w:rFonts w:ascii="Times New Roman" w:eastAsia="Times New Roman" w:hAnsi="Times New Roman" w:cs="Times New Roman"/>
          <w:b/>
          <w:sz w:val="24"/>
          <w:szCs w:val="24"/>
        </w:rPr>
        <w:t>10</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Global greening and browning areas (%) for SNU LAI considering the actual pixel area. Each panel represents a different period (</w:t>
      </w:r>
      <w:r>
        <w:rPr>
          <w:rFonts w:ascii="Times New Roman" w:eastAsia="Times New Roman" w:hAnsi="Times New Roman" w:cs="Times New Roman"/>
          <w:sz w:val="24"/>
          <w:szCs w:val="24"/>
        </w:rPr>
        <w:t>a</w:t>
      </w:r>
      <w:r>
        <w:rPr>
          <w:rFonts w:ascii="Times New Roman" w:eastAsia="Times New Roman" w:hAnsi="Times New Roman" w:cs="Times New Roman"/>
          <w:color w:val="000000"/>
          <w:sz w:val="24"/>
          <w:szCs w:val="24"/>
        </w:rPr>
        <w:t xml:space="preserve">: 1982–1999; </w:t>
      </w:r>
      <w:r>
        <w:rPr>
          <w:rFonts w:ascii="Times New Roman" w:eastAsia="Times New Roman" w:hAnsi="Times New Roman" w:cs="Times New Roman"/>
          <w:sz w:val="24"/>
          <w:szCs w:val="24"/>
        </w:rPr>
        <w:t>b</w:t>
      </w:r>
      <w:r>
        <w:rPr>
          <w:rFonts w:ascii="Times New Roman" w:eastAsia="Times New Roman" w:hAnsi="Times New Roman" w:cs="Times New Roman"/>
          <w:color w:val="000000"/>
          <w:sz w:val="24"/>
          <w:szCs w:val="24"/>
        </w:rPr>
        <w:t xml:space="preserve">: 2000–2015). Using the growing season mean LAI trend, we calculated global greening and browning areas, where a positive LAI trend indicates greening, while a negative LAI trend indicates browning. Statistically significant trends (Mann–Kendall test, </w:t>
      </w:r>
      <w:r>
        <w:rPr>
          <w:rFonts w:ascii="Times New Roman" w:eastAsia="Times New Roman" w:hAnsi="Times New Roman" w:cs="Times New Roman"/>
          <w:i/>
          <w:sz w:val="24"/>
          <w:szCs w:val="24"/>
        </w:rPr>
        <w:t>P</w:t>
      </w:r>
      <w:r>
        <w:rPr>
          <w:rFonts w:ascii="Times New Roman" w:eastAsia="Times New Roman" w:hAnsi="Times New Roman" w:cs="Times New Roman"/>
          <w:color w:val="000000"/>
          <w:sz w:val="24"/>
          <w:szCs w:val="24"/>
        </w:rPr>
        <w:t xml:space="preserve"> &lt; 0.1) were only used. </w:t>
      </w:r>
    </w:p>
    <w:p w:rsidR="008B1D00" w:rsidRDefault="008B1D00">
      <w:pPr>
        <w:spacing w:line="480" w:lineRule="auto"/>
        <w:rPr>
          <w:rFonts w:ascii="Times New Roman" w:eastAsia="Times New Roman" w:hAnsi="Times New Roman" w:cs="Times New Roman"/>
        </w:rPr>
      </w:pPr>
    </w:p>
    <w:p w:rsidR="008B1D00" w:rsidRDefault="008B1D00">
      <w:pPr>
        <w:spacing w:line="480" w:lineRule="auto"/>
        <w:rPr>
          <w:rFonts w:ascii="Times New Roman" w:eastAsia="Times New Roman" w:hAnsi="Times New Roman" w:cs="Times New Roman"/>
        </w:rPr>
      </w:pPr>
    </w:p>
    <w:p w:rsidR="008B1D00" w:rsidRDefault="009B220F">
      <w:pPr>
        <w:spacing w:line="480" w:lineRule="auto"/>
        <w:rPr>
          <w:rFonts w:ascii="Times New Roman" w:eastAsia="Times New Roman" w:hAnsi="Times New Roman" w:cs="Times New Roman"/>
        </w:rPr>
      </w:pPr>
      <w:r>
        <w:br w:type="page"/>
      </w:r>
    </w:p>
    <w:p w:rsidR="008B1D00" w:rsidRDefault="009B220F">
      <w:pPr>
        <w:spacing w:line="480" w:lineRule="auto"/>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extent cx="3773307" cy="6424613"/>
            <wp:effectExtent l="0" t="0" r="0" b="0"/>
            <wp:docPr id="12"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53"/>
                    <a:srcRect/>
                    <a:stretch>
                      <a:fillRect/>
                    </a:stretch>
                  </pic:blipFill>
                  <pic:spPr>
                    <a:xfrm>
                      <a:off x="0" y="0"/>
                      <a:ext cx="3773307" cy="6424613"/>
                    </a:xfrm>
                    <a:prstGeom prst="rect">
                      <a:avLst/>
                    </a:prstGeom>
                    <a:ln/>
                  </pic:spPr>
                </pic:pic>
              </a:graphicData>
            </a:graphic>
          </wp:inline>
        </w:drawing>
      </w:r>
    </w:p>
    <w:p w:rsidR="008B1D00" w:rsidRDefault="009B220F">
      <w:pPr>
        <w:spacing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Fig</w:t>
      </w:r>
      <w:r>
        <w:rPr>
          <w:rFonts w:ascii="Times New Roman" w:eastAsia="Times New Roman" w:hAnsi="Times New Roman" w:cs="Times New Roman"/>
          <w:b/>
          <w:sz w:val="24"/>
          <w:szCs w:val="24"/>
        </w:rPr>
        <w:t>ure</w:t>
      </w:r>
      <w:r>
        <w:rPr>
          <w:rFonts w:ascii="Times New Roman" w:eastAsia="Times New Roman" w:hAnsi="Times New Roman" w:cs="Times New Roman"/>
          <w:b/>
          <w:color w:val="000000"/>
          <w:sz w:val="24"/>
          <w:szCs w:val="24"/>
        </w:rPr>
        <w:t xml:space="preserve"> S</w:t>
      </w:r>
      <w:r>
        <w:rPr>
          <w:rFonts w:ascii="Times New Roman" w:eastAsia="Times New Roman" w:hAnsi="Times New Roman" w:cs="Times New Roman"/>
          <w:b/>
          <w:sz w:val="24"/>
          <w:szCs w:val="24"/>
        </w:rPr>
        <w:t>1</w:t>
      </w:r>
      <w:r w:rsidR="005F22BD">
        <w:rPr>
          <w:rFonts w:ascii="Times New Roman" w:eastAsia="Times New Roman" w:hAnsi="Times New Roman" w:cs="Times New Roman"/>
          <w:b/>
          <w:sz w:val="24"/>
          <w:szCs w:val="24"/>
        </w:rPr>
        <w:t>1</w:t>
      </w:r>
      <w:r>
        <w:rPr>
          <w:rFonts w:ascii="Times New Roman" w:eastAsia="Times New Roman" w:hAnsi="Times New Roman" w:cs="Times New Roman"/>
          <w:b/>
          <w:color w:val="000000"/>
          <w:sz w:val="24"/>
          <w:szCs w:val="24"/>
        </w:rPr>
        <w:t>.</w:t>
      </w:r>
      <w:r>
        <w:rPr>
          <w:rFonts w:ascii="Times New Roman" w:eastAsia="Times New Roman" w:hAnsi="Times New Roman" w:cs="Times New Roman"/>
          <w:color w:val="000000"/>
          <w:sz w:val="24"/>
          <w:szCs w:val="24"/>
        </w:rPr>
        <w:t xml:space="preserve"> Global greening and browning areas (%) within each 20-year moving window in satellite LAI datasets</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a,</w:t>
      </w:r>
      <w:r>
        <w:rPr>
          <w:rFonts w:ascii="Times New Roman" w:eastAsia="Times New Roman" w:hAnsi="Times New Roman" w:cs="Times New Roman"/>
          <w:sz w:val="24"/>
          <w:szCs w:val="24"/>
        </w:rPr>
        <w:t xml:space="preserve"> SNU LAI,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LTDR LAI, </w:t>
      </w:r>
      <w:r>
        <w:rPr>
          <w:rFonts w:ascii="Times New Roman" w:eastAsia="Times New Roman" w:hAnsi="Times New Roman" w:cs="Times New Roman"/>
          <w:b/>
          <w:sz w:val="24"/>
          <w:szCs w:val="24"/>
        </w:rPr>
        <w:t>c,</w:t>
      </w:r>
      <w:r>
        <w:rPr>
          <w:rFonts w:ascii="Times New Roman" w:eastAsia="Times New Roman" w:hAnsi="Times New Roman" w:cs="Times New Roman"/>
          <w:sz w:val="24"/>
          <w:szCs w:val="24"/>
        </w:rPr>
        <w:t xml:space="preserve"> LAI4g, and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LAI3g</w:t>
      </w:r>
      <w:r>
        <w:rPr>
          <w:rFonts w:ascii="Times New Roman" w:eastAsia="Times New Roman" w:hAnsi="Times New Roman" w:cs="Times New Roman"/>
          <w:color w:val="000000"/>
          <w:sz w:val="24"/>
          <w:szCs w:val="24"/>
        </w:rPr>
        <w:t xml:space="preserve">. Green bars indicated the percentage of significant (Mann–Kendall test, </w:t>
      </w:r>
      <w:r>
        <w:rPr>
          <w:rFonts w:ascii="Times New Roman" w:eastAsia="Times New Roman" w:hAnsi="Times New Roman" w:cs="Times New Roman"/>
          <w:i/>
          <w:sz w:val="24"/>
          <w:szCs w:val="24"/>
        </w:rPr>
        <w:t>P</w:t>
      </w:r>
      <w:r>
        <w:rPr>
          <w:rFonts w:ascii="Times New Roman" w:eastAsia="Times New Roman" w:hAnsi="Times New Roman" w:cs="Times New Roman"/>
          <w:color w:val="000000"/>
          <w:sz w:val="24"/>
          <w:szCs w:val="24"/>
        </w:rPr>
        <w:t xml:space="preserve"> &lt; 0.1) greening pixels, and brown bars represented significant browning pixels across different periods.</w:t>
      </w:r>
    </w:p>
    <w:p w:rsidR="00BC2386" w:rsidRDefault="00BC2386" w:rsidP="00BC2386">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4F04BF19" wp14:editId="0423FD6C">
            <wp:extent cx="5943600" cy="5651500"/>
            <wp:effectExtent l="0" t="0" r="0" b="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54"/>
                    <a:srcRect/>
                    <a:stretch>
                      <a:fillRect/>
                    </a:stretch>
                  </pic:blipFill>
                  <pic:spPr>
                    <a:xfrm>
                      <a:off x="0" y="0"/>
                      <a:ext cx="5943600" cy="5651500"/>
                    </a:xfrm>
                    <a:prstGeom prst="rect">
                      <a:avLst/>
                    </a:prstGeom>
                    <a:ln/>
                  </pic:spPr>
                </pic:pic>
              </a:graphicData>
            </a:graphic>
          </wp:inline>
        </w:drawing>
      </w:r>
    </w:p>
    <w:p w:rsidR="00BC2386" w:rsidRDefault="00BC2386" w:rsidP="00BC2386">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S1</w:t>
      </w:r>
      <w:r>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Attribution of global leaf area index (LAI) trends to climate drivers during 1982–2021. Each row indicates different satellite datasets, including SNU LAI (a–c), LTDR LAI (d–f), LAI4g (g–</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and LAI3g (j–l). Area-weighted mean LAI trends attributed to atmospheric CO2 concentration, air temperature (</w:t>
      </w:r>
      <w:proofErr w:type="spellStart"/>
      <w:r>
        <w:rPr>
          <w:rFonts w:ascii="Times New Roman" w:eastAsia="Times New Roman" w:hAnsi="Times New Roman" w:cs="Times New Roman"/>
          <w:sz w:val="24"/>
          <w:szCs w:val="24"/>
        </w:rPr>
        <w:t>Tair</w:t>
      </w:r>
      <w:proofErr w:type="spellEnd"/>
      <w:r>
        <w:rPr>
          <w:rFonts w:ascii="Times New Roman" w:eastAsia="Times New Roman" w:hAnsi="Times New Roman" w:cs="Times New Roman"/>
          <w:sz w:val="24"/>
          <w:szCs w:val="24"/>
        </w:rPr>
        <w:t xml:space="preserve">), precipitation (PPT), and shortwave radiation (SW) from satellite observations and the TRENDY ensemble are shown. Error bars represent the spatial standard deviation across vegetated land surfaces. Box plots represent the relative contribution of climate-driven LAI trends, where each value is the median relative contribution (%) of each driver. </w:t>
      </w:r>
      <w:r>
        <w:rPr>
          <w:rFonts w:ascii="Times New Roman" w:eastAsia="Times New Roman" w:hAnsi="Times New Roman" w:cs="Times New Roman"/>
          <w:sz w:val="24"/>
          <w:szCs w:val="24"/>
        </w:rPr>
        <w:lastRenderedPageBreak/>
        <w:t>Each map is a spatial distribution of contributions from atmospheric CO2 concentration for different satellite LAI datasets. White indicates non-vegetated regions, and grey indicates areas of high multicollinearity. The latter are defined as grid cells where the maximum variance inflation factor among the four predictors is &gt; 10. Pink and green colors denote negative and positive contributions, respectively.</w:t>
      </w:r>
    </w:p>
    <w:p w:rsidR="00BC2386" w:rsidRDefault="00BC2386" w:rsidP="00BC2386">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73BDDBD1" wp14:editId="55A6DAFC">
            <wp:extent cx="5943600" cy="5486400"/>
            <wp:effectExtent l="0" t="0" r="0" b="0"/>
            <wp:docPr id="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55"/>
                    <a:srcRect/>
                    <a:stretch>
                      <a:fillRect/>
                    </a:stretch>
                  </pic:blipFill>
                  <pic:spPr>
                    <a:xfrm>
                      <a:off x="0" y="0"/>
                      <a:ext cx="5943600" cy="5486400"/>
                    </a:xfrm>
                    <a:prstGeom prst="rect">
                      <a:avLst/>
                    </a:prstGeom>
                    <a:ln/>
                  </pic:spPr>
                </pic:pic>
              </a:graphicData>
            </a:graphic>
          </wp:inline>
        </w:drawing>
      </w:r>
    </w:p>
    <w:p w:rsidR="00BC2386" w:rsidRPr="00BC2386" w:rsidRDefault="00BC2386">
      <w:pPr>
        <w:spacing w:line="480" w:lineRule="auto"/>
        <w:jc w:val="both"/>
        <w:rPr>
          <w:rFonts w:ascii="Times New Roman" w:hAnsi="Times New Roman" w:cs="Times New Roman" w:hint="eastAsia"/>
          <w:sz w:val="24"/>
          <w:szCs w:val="24"/>
        </w:rPr>
      </w:pPr>
      <w:r>
        <w:rPr>
          <w:rFonts w:ascii="Times New Roman" w:eastAsia="Times New Roman" w:hAnsi="Times New Roman" w:cs="Times New Roman"/>
          <w:b/>
          <w:sz w:val="24"/>
          <w:szCs w:val="24"/>
        </w:rPr>
        <w:t>Figure S1</w:t>
      </w:r>
      <w:r>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Same as Fig. S1</w:t>
      </w:r>
      <w:r>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but excluding managed ecosystems. Cropland and managed forest areas are masked using a fixed land-cover map derived from the MODIS annual land cover product </w:t>
      </w:r>
      <w:r>
        <w:rPr>
          <w:rFonts w:ascii="Times New Roman" w:eastAsia="Times New Roman" w:hAnsi="Times New Roman" w:cs="Times New Roman"/>
          <w:sz w:val="24"/>
          <w:szCs w:val="24"/>
        </w:rPr>
        <w:lastRenderedPageBreak/>
        <w:t>(2001–2021), by assigning each pixel the most frequently occurring land-cover class over the period. Managed forests are defined as MODIS forest pixels excluding intact forest areas, which are identified using the global forest map</w:t>
      </w:r>
      <w:hyperlink r:id="rId56">
        <w:r>
          <w:rPr>
            <w:vertAlign w:val="superscript"/>
          </w:rPr>
          <w:t>35</w:t>
        </w:r>
      </w:hyperlink>
      <w:r>
        <w:rPr>
          <w:rFonts w:ascii="Times New Roman" w:eastAsia="Times New Roman" w:hAnsi="Times New Roman" w:cs="Times New Roman"/>
          <w:sz w:val="24"/>
          <w:szCs w:val="24"/>
        </w:rPr>
        <w:t>.</w:t>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extent cx="5943600" cy="2057400"/>
            <wp:effectExtent l="0" t="0" r="0" b="0"/>
            <wp:docPr id="15"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57"/>
                    <a:srcRect/>
                    <a:stretch>
                      <a:fillRect/>
                    </a:stretch>
                  </pic:blipFill>
                  <pic:spPr>
                    <a:xfrm>
                      <a:off x="0" y="0"/>
                      <a:ext cx="5943600" cy="2057400"/>
                    </a:xfrm>
                    <a:prstGeom prst="rect">
                      <a:avLst/>
                    </a:prstGeom>
                    <a:ln/>
                  </pic:spPr>
                </pic:pic>
              </a:graphicData>
            </a:graphic>
          </wp:inline>
        </w:drawing>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S1</w:t>
      </w:r>
      <w:r w:rsidR="00BC2386">
        <w:rPr>
          <w:rFonts w:ascii="Times New Roman" w:eastAsia="Times New Roman" w:hAnsi="Times New Roman" w:cs="Times New Roman"/>
          <w:b/>
          <w:sz w:val="24"/>
          <w:szCs w:val="24"/>
        </w:rPr>
        <w:t>4</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Attribution of global leaf area index (LAI) trends to climate drivers during 1982–2021. </w:t>
      </w:r>
      <w:proofErr w:type="spellStart"/>
      <w:proofErr w:type="gramStart"/>
      <w:r>
        <w:rPr>
          <w:rFonts w:ascii="Times New Roman" w:eastAsia="Times New Roman" w:hAnsi="Times New Roman" w:cs="Times New Roman"/>
          <w:b/>
          <w:sz w:val="24"/>
          <w:szCs w:val="24"/>
        </w:rPr>
        <w:t>a,b</w:t>
      </w:r>
      <w:proofErr w:type="spellEnd"/>
      <w:proofErr w:type="gram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Spatial distributions of contributions from atmospheric CO</w:t>
      </w:r>
      <w:r w:rsidR="0010392C"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concentration (CO</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and air temperature (</w:t>
      </w:r>
      <w:proofErr w:type="spellStart"/>
      <w:r>
        <w:rPr>
          <w:rFonts w:ascii="Times New Roman" w:eastAsia="Times New Roman" w:hAnsi="Times New Roman" w:cs="Times New Roman"/>
          <w:sz w:val="24"/>
          <w:szCs w:val="24"/>
        </w:rPr>
        <w:t>Tair</w:t>
      </w:r>
      <w:proofErr w:type="spellEnd"/>
      <w:r>
        <w:rPr>
          <w:rFonts w:ascii="Times New Roman" w:eastAsia="Times New Roman" w:hAnsi="Times New Roman" w:cs="Times New Roman"/>
          <w:sz w:val="24"/>
          <w:szCs w:val="24"/>
        </w:rPr>
        <w:t xml:space="preserve">) for satellite-derived LAI trends. </w:t>
      </w:r>
      <w:r>
        <w:rPr>
          <w:rFonts w:ascii="Times New Roman" w:eastAsia="Times New Roman" w:hAnsi="Times New Roman" w:cs="Times New Roman"/>
        </w:rPr>
        <w:t>White indicates non-vegetated regions, and grey indicates areas of high multicollinearity</w:t>
      </w:r>
      <w:r>
        <w:rPr>
          <w:rFonts w:ascii="Times New Roman" w:eastAsia="Times New Roman" w:hAnsi="Times New Roman" w:cs="Times New Roman"/>
          <w:sz w:val="24"/>
          <w:szCs w:val="24"/>
        </w:rPr>
        <w:t xml:space="preserve"> (The maximum variance inflation factor among the four predictors is &gt; 10). Pink and green colors denote negative and positive contributions, respectively.</w:t>
      </w:r>
    </w:p>
    <w:p w:rsidR="00C5503B" w:rsidRPr="006F3EFA" w:rsidRDefault="006F3EFA" w:rsidP="00C5503B">
      <w:pPr>
        <w:spacing w:line="480" w:lineRule="auto"/>
        <w:jc w:val="both"/>
        <w:rPr>
          <w:rFonts w:ascii="Times New Roman" w:hAnsi="Times New Roman" w:cs="Times New Roman" w:hint="eastAsia"/>
          <w:sz w:val="24"/>
          <w:szCs w:val="24"/>
        </w:rPr>
      </w:pPr>
      <w:r>
        <w:rPr>
          <w:rFonts w:ascii="Times New Roman" w:hAnsi="Times New Roman" w:cs="Times New Roman" w:hint="eastAsia"/>
          <w:noProof/>
          <w:sz w:val="24"/>
          <w:szCs w:val="24"/>
        </w:rPr>
        <w:lastRenderedPageBreak/>
        <w:drawing>
          <wp:inline distT="0" distB="0" distL="0" distR="0">
            <wp:extent cx="5943600" cy="3901440"/>
            <wp:effectExtent l="0" t="0" r="0" b="3810"/>
            <wp:docPr id="36" name="그림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그림7.png"/>
                    <pic:cNvPicPr/>
                  </pic:nvPicPr>
                  <pic:blipFill>
                    <a:blip r:embed="rId58">
                      <a:extLst>
                        <a:ext uri="{28A0092B-C50C-407E-A947-70E740481C1C}">
                          <a14:useLocalDpi xmlns:a14="http://schemas.microsoft.com/office/drawing/2010/main" val="0"/>
                        </a:ext>
                      </a:extLst>
                    </a:blip>
                    <a:stretch>
                      <a:fillRect/>
                    </a:stretch>
                  </pic:blipFill>
                  <pic:spPr>
                    <a:xfrm>
                      <a:off x="0" y="0"/>
                      <a:ext cx="5943600" cy="3901440"/>
                    </a:xfrm>
                    <a:prstGeom prst="rect">
                      <a:avLst/>
                    </a:prstGeom>
                  </pic:spPr>
                </pic:pic>
              </a:graphicData>
            </a:graphic>
          </wp:inline>
        </w:drawing>
      </w:r>
    </w:p>
    <w:p w:rsidR="00C5503B" w:rsidRDefault="00C5503B" w:rsidP="00C5503B">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w:t>
      </w:r>
      <w:r>
        <w:rPr>
          <w:rFonts w:ascii="Times New Roman" w:eastAsia="Times New Roman" w:hAnsi="Times New Roman" w:cs="Times New Roman"/>
          <w:b/>
          <w:sz w:val="24"/>
          <w:szCs w:val="24"/>
        </w:rPr>
        <w:t>15</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Same as Fig. 2, but using Mauna Loa atmospheric CO</w:t>
      </w:r>
      <w:r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observations (</w:t>
      </w:r>
      <w:hyperlink r:id="rId59">
        <w:r>
          <w:rPr>
            <w:rFonts w:ascii="Times New Roman" w:eastAsia="Times New Roman" w:hAnsi="Times New Roman" w:cs="Times New Roman"/>
            <w:color w:val="1155CC"/>
            <w:sz w:val="24"/>
            <w:szCs w:val="24"/>
            <w:u w:val="single"/>
          </w:rPr>
          <w:t>https://gml.noaa.gov/ccgg/trends/</w:t>
        </w:r>
      </w:hyperlink>
      <w:r>
        <w:rPr>
          <w:rFonts w:ascii="Times New Roman" w:eastAsia="Times New Roman" w:hAnsi="Times New Roman" w:cs="Times New Roman"/>
          <w:sz w:val="24"/>
          <w:szCs w:val="24"/>
        </w:rPr>
        <w:t>) uniformly across all global pixels.</w:t>
      </w:r>
    </w:p>
    <w:p w:rsidR="00C5503B" w:rsidRPr="00EC0A35" w:rsidRDefault="00EC0A35" w:rsidP="00C5503B">
      <w:pPr>
        <w:spacing w:line="480" w:lineRule="auto"/>
        <w:jc w:val="both"/>
        <w:rPr>
          <w:rFonts w:ascii="Times New Roman" w:hAnsi="Times New Roman" w:cs="Times New Roman" w:hint="eastAsia"/>
          <w:sz w:val="24"/>
          <w:szCs w:val="24"/>
        </w:rPr>
      </w:pPr>
      <w:r>
        <w:rPr>
          <w:rFonts w:ascii="Times New Roman" w:hAnsi="Times New Roman" w:cs="Times New Roman" w:hint="eastAsia"/>
          <w:noProof/>
          <w:sz w:val="24"/>
          <w:szCs w:val="24"/>
        </w:rPr>
        <w:lastRenderedPageBreak/>
        <w:drawing>
          <wp:inline distT="0" distB="0" distL="0" distR="0">
            <wp:extent cx="5943600" cy="3984625"/>
            <wp:effectExtent l="0" t="0" r="0" b="0"/>
            <wp:docPr id="35" name="그림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그림6.png"/>
                    <pic:cNvPicPr/>
                  </pic:nvPicPr>
                  <pic:blipFill>
                    <a:blip r:embed="rId60">
                      <a:extLst>
                        <a:ext uri="{28A0092B-C50C-407E-A947-70E740481C1C}">
                          <a14:useLocalDpi xmlns:a14="http://schemas.microsoft.com/office/drawing/2010/main" val="0"/>
                        </a:ext>
                      </a:extLst>
                    </a:blip>
                    <a:stretch>
                      <a:fillRect/>
                    </a:stretch>
                  </pic:blipFill>
                  <pic:spPr>
                    <a:xfrm>
                      <a:off x="0" y="0"/>
                      <a:ext cx="5943600" cy="3984625"/>
                    </a:xfrm>
                    <a:prstGeom prst="rect">
                      <a:avLst/>
                    </a:prstGeom>
                  </pic:spPr>
                </pic:pic>
              </a:graphicData>
            </a:graphic>
          </wp:inline>
        </w:drawing>
      </w:r>
    </w:p>
    <w:p w:rsidR="00C5503B" w:rsidRDefault="00C5503B" w:rsidP="00C5503B">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w:t>
      </w:r>
      <w:r>
        <w:rPr>
          <w:rFonts w:ascii="Times New Roman" w:eastAsia="Times New Roman" w:hAnsi="Times New Roman" w:cs="Times New Roman"/>
          <w:b/>
          <w:sz w:val="24"/>
          <w:szCs w:val="24"/>
        </w:rPr>
        <w:t>16</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Same as Fig. 2, but using Climate Research Unit (CRU) 4.06 temperature and precipitation product (https://data.ceda.ac.uk/badc/cru/data/cru_ts/cru_ts_4.06).</w:t>
      </w:r>
    </w:p>
    <w:p w:rsidR="00C5503B" w:rsidRPr="00C5503B" w:rsidRDefault="00C5503B">
      <w:pPr>
        <w:spacing w:line="480" w:lineRule="auto"/>
        <w:jc w:val="both"/>
        <w:rPr>
          <w:rFonts w:ascii="Times New Roman" w:hAnsi="Times New Roman" w:cs="Times New Roman" w:hint="eastAsia"/>
          <w:sz w:val="24"/>
          <w:szCs w:val="24"/>
        </w:rPr>
      </w:pP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extent cx="5943600" cy="40259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1"/>
                    <a:srcRect/>
                    <a:stretch>
                      <a:fillRect/>
                    </a:stretch>
                  </pic:blipFill>
                  <pic:spPr>
                    <a:xfrm>
                      <a:off x="0" y="0"/>
                      <a:ext cx="5943600" cy="4025900"/>
                    </a:xfrm>
                    <a:prstGeom prst="rect">
                      <a:avLst/>
                    </a:prstGeom>
                    <a:ln/>
                  </pic:spPr>
                </pic:pic>
              </a:graphicData>
            </a:graphic>
          </wp:inline>
        </w:drawing>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S1</w:t>
      </w:r>
      <w:r w:rsidR="005244D7">
        <w:rPr>
          <w:rFonts w:ascii="Times New Roman" w:eastAsia="Times New Roman" w:hAnsi="Times New Roman" w:cs="Times New Roman"/>
          <w:b/>
          <w:sz w:val="24"/>
          <w:szCs w:val="24"/>
        </w:rPr>
        <w:t>7</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Attribution of global leaf area index (LAI) trends to climate drivers during 1982–2021. </w:t>
      </w:r>
      <w:proofErr w:type="spellStart"/>
      <w:proofErr w:type="gramStart"/>
      <w:r>
        <w:rPr>
          <w:rFonts w:ascii="Times New Roman" w:eastAsia="Times New Roman" w:hAnsi="Times New Roman" w:cs="Times New Roman"/>
          <w:b/>
          <w:sz w:val="24"/>
          <w:szCs w:val="24"/>
        </w:rPr>
        <w:t>a,b</w:t>
      </w:r>
      <w:proofErr w:type="spellEnd"/>
      <w:proofErr w:type="gram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Spatial distributions of contributions from air temperature for satellite and TRENDY ensemble LAI trends. </w:t>
      </w:r>
      <w:r>
        <w:rPr>
          <w:rFonts w:ascii="Times New Roman" w:eastAsia="Times New Roman" w:hAnsi="Times New Roman" w:cs="Times New Roman"/>
        </w:rPr>
        <w:t xml:space="preserve">White indicates non-vegetated regions, and grey indicates areas of high multicollinearity </w:t>
      </w:r>
      <w:r>
        <w:rPr>
          <w:rFonts w:ascii="Times New Roman" w:eastAsia="Times New Roman" w:hAnsi="Times New Roman" w:cs="Times New Roman"/>
          <w:sz w:val="24"/>
          <w:szCs w:val="24"/>
        </w:rPr>
        <w:t>(The maximum variance inflation factor among the four predictors is &gt; 10). Pink and green colors denote negative and positive contributions, respectively.</w:t>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extent cx="5943600" cy="4191000"/>
            <wp:effectExtent l="0" t="0" r="0" b="0"/>
            <wp:docPr id="26"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2"/>
                    <a:srcRect/>
                    <a:stretch>
                      <a:fillRect/>
                    </a:stretch>
                  </pic:blipFill>
                  <pic:spPr>
                    <a:xfrm>
                      <a:off x="0" y="0"/>
                      <a:ext cx="5943600" cy="4191000"/>
                    </a:xfrm>
                    <a:prstGeom prst="rect">
                      <a:avLst/>
                    </a:prstGeom>
                    <a:ln/>
                  </pic:spPr>
                </pic:pic>
              </a:graphicData>
            </a:graphic>
          </wp:inline>
        </w:drawing>
      </w:r>
      <w:r>
        <w:rPr>
          <w:rFonts w:ascii="Times New Roman" w:eastAsia="Times New Roman" w:hAnsi="Times New Roman" w:cs="Times New Roman"/>
          <w:b/>
          <w:sz w:val="24"/>
          <w:szCs w:val="24"/>
        </w:rPr>
        <w:t>Figure S1</w:t>
      </w:r>
      <w:r w:rsidR="00BA4E2B">
        <w:rPr>
          <w:rFonts w:ascii="Times New Roman" w:eastAsia="Times New Roman" w:hAnsi="Times New Roman" w:cs="Times New Roman"/>
          <w:b/>
          <w:sz w:val="24"/>
          <w:szCs w:val="24"/>
        </w:rPr>
        <w:t>8</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Area-weighted CO</w:t>
      </w:r>
      <w:r w:rsidRPr="00BC2386">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contributions to leaf area index (LAI) trends, shown globally and by climate zone. Each panel represents a different satellite LAI dataset.</w:t>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extent cx="5943600" cy="4102100"/>
            <wp:effectExtent l="0" t="0" r="0" b="0"/>
            <wp:docPr id="1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3"/>
                    <a:srcRect/>
                    <a:stretch>
                      <a:fillRect/>
                    </a:stretch>
                  </pic:blipFill>
                  <pic:spPr>
                    <a:xfrm>
                      <a:off x="0" y="0"/>
                      <a:ext cx="5943600" cy="4102100"/>
                    </a:xfrm>
                    <a:prstGeom prst="rect">
                      <a:avLst/>
                    </a:prstGeom>
                    <a:ln/>
                  </pic:spPr>
                </pic:pic>
              </a:graphicData>
            </a:graphic>
          </wp:inline>
        </w:drawing>
      </w:r>
      <w:r>
        <w:rPr>
          <w:rFonts w:ascii="Times New Roman" w:eastAsia="Times New Roman" w:hAnsi="Times New Roman" w:cs="Times New Roman"/>
          <w:b/>
          <w:sz w:val="24"/>
          <w:szCs w:val="24"/>
        </w:rPr>
        <w:t>Figure S1</w:t>
      </w:r>
      <w:r w:rsidR="00CC0494">
        <w:rPr>
          <w:rFonts w:ascii="Times New Roman" w:eastAsia="Times New Roman" w:hAnsi="Times New Roman" w:cs="Times New Roman"/>
          <w:b/>
          <w:sz w:val="24"/>
          <w:szCs w:val="24"/>
        </w:rPr>
        <w:t>9</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Same as Fig. S1</w:t>
      </w:r>
      <w:r w:rsidR="004C1C39">
        <w:rPr>
          <w:rFonts w:ascii="Times New Roman" w:eastAsia="Times New Roman" w:hAnsi="Times New Roman" w:cs="Times New Roman"/>
          <w:sz w:val="24"/>
          <w:szCs w:val="24"/>
        </w:rPr>
        <w:t>8</w:t>
      </w:r>
      <w:r>
        <w:rPr>
          <w:rFonts w:ascii="Times New Roman" w:eastAsia="Times New Roman" w:hAnsi="Times New Roman" w:cs="Times New Roman"/>
          <w:sz w:val="24"/>
          <w:szCs w:val="24"/>
        </w:rPr>
        <w:t>, but excluding managed ecosystems. Cropland and managed forest areas are masked using a fixed land-cover map derived from the MODIS annual land cover product (2001–2021)</w:t>
      </w:r>
      <w:hyperlink r:id="rId64">
        <w:r>
          <w:rPr>
            <w:vertAlign w:val="superscript"/>
          </w:rPr>
          <w:t>36</w:t>
        </w:r>
      </w:hyperlink>
      <w:r>
        <w:rPr>
          <w:rFonts w:ascii="Times New Roman" w:eastAsia="Times New Roman" w:hAnsi="Times New Roman" w:cs="Times New Roman"/>
          <w:sz w:val="24"/>
          <w:szCs w:val="24"/>
        </w:rPr>
        <w:t>, by assigning each pixel the most frequently occurring land-cover class over the period. Managed forests are defined as MODIS forest pixels excluding intact forest areas, which are identified using the global forest map</w:t>
      </w:r>
      <w:hyperlink r:id="rId65">
        <w:r>
          <w:rPr>
            <w:vertAlign w:val="superscript"/>
          </w:rPr>
          <w:t>35</w:t>
        </w:r>
      </w:hyperlink>
      <w:r>
        <w:rPr>
          <w:rFonts w:ascii="Times New Roman" w:eastAsia="Times New Roman" w:hAnsi="Times New Roman" w:cs="Times New Roman"/>
          <w:sz w:val="24"/>
          <w:szCs w:val="24"/>
        </w:rPr>
        <w:t>.</w:t>
      </w:r>
    </w:p>
    <w:p w:rsidR="00DA7983" w:rsidRDefault="00DA7983" w:rsidP="00DA7983">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57F3820D" wp14:editId="33D10E81">
            <wp:extent cx="5943600" cy="3561080"/>
            <wp:effectExtent l="0" t="0" r="0" b="1270"/>
            <wp:docPr id="33" name="그림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그림5.pn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943600" cy="3561080"/>
                    </a:xfrm>
                    <a:prstGeom prst="rect">
                      <a:avLst/>
                    </a:prstGeom>
                  </pic:spPr>
                </pic:pic>
              </a:graphicData>
            </a:graphic>
          </wp:inline>
        </w:drawing>
      </w:r>
      <w:r w:rsidRPr="00A113C8">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Figure S2</w:t>
      </w:r>
      <w:r>
        <w:rPr>
          <w:rFonts w:ascii="Times New Roman" w:eastAsia="Times New Roman" w:hAnsi="Times New Roman" w:cs="Times New Roman"/>
          <w:b/>
          <w:sz w:val="24"/>
          <w:szCs w:val="24"/>
        </w:rPr>
        <w:t>0</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t>
      </w:r>
      <w:r w:rsidRPr="00A113C8">
        <w:rPr>
          <w:rFonts w:ascii="Times New Roman" w:eastAsia="Times New Roman" w:hAnsi="Times New Roman" w:cs="Times New Roman"/>
          <w:sz w:val="24"/>
          <w:szCs w:val="24"/>
        </w:rPr>
        <w:t xml:space="preserve">Decadal changes of other factors (OF) contributions to LAI trends and associated agricultural drivers. </w:t>
      </w:r>
      <w:proofErr w:type="spellStart"/>
      <w:proofErr w:type="gramStart"/>
      <w:r w:rsidRPr="00A113C8">
        <w:rPr>
          <w:rFonts w:ascii="Times New Roman" w:eastAsia="Times New Roman" w:hAnsi="Times New Roman" w:cs="Times New Roman"/>
          <w:b/>
          <w:sz w:val="24"/>
          <w:szCs w:val="24"/>
        </w:rPr>
        <w:t>a,b</w:t>
      </w:r>
      <w:proofErr w:type="spellEnd"/>
      <w:proofErr w:type="gramEnd"/>
      <w:r w:rsidRPr="00A113C8">
        <w:rPr>
          <w:rFonts w:ascii="Times New Roman" w:eastAsia="Times New Roman" w:hAnsi="Times New Roman" w:cs="Times New Roman"/>
          <w:sz w:val="24"/>
          <w:szCs w:val="24"/>
        </w:rPr>
        <w:t xml:space="preserve"> OF contributions to satellite-derived LAI (SNU LAI) trend during 1982–2001 and 2002–2021. </w:t>
      </w:r>
      <w:proofErr w:type="spellStart"/>
      <w:proofErr w:type="gramStart"/>
      <w:r w:rsidRPr="00A113C8">
        <w:rPr>
          <w:rFonts w:ascii="Times New Roman" w:eastAsia="Times New Roman" w:hAnsi="Times New Roman" w:cs="Times New Roman"/>
          <w:b/>
          <w:sz w:val="24"/>
          <w:szCs w:val="24"/>
        </w:rPr>
        <w:t>c,d</w:t>
      </w:r>
      <w:proofErr w:type="spellEnd"/>
      <w:proofErr w:type="gramEnd"/>
      <w:r w:rsidRPr="00A113C8">
        <w:rPr>
          <w:rFonts w:ascii="Times New Roman" w:eastAsia="Times New Roman" w:hAnsi="Times New Roman" w:cs="Times New Roman"/>
          <w:sz w:val="24"/>
          <w:szCs w:val="24"/>
        </w:rPr>
        <w:t xml:space="preserve"> OF contributions to the TRENDY ensemble LAI trend over the same periods. OF contributions are defined as the difference between the observed LAI trend and the combined contributions of four climate drivers: atmospheric CO</w:t>
      </w:r>
      <w:r w:rsidR="00DE77D6" w:rsidRPr="00DE77D6">
        <w:rPr>
          <w:rFonts w:ascii="Times New Roman" w:eastAsia="Times New Roman" w:hAnsi="Times New Roman" w:cs="Times New Roman"/>
          <w:sz w:val="24"/>
          <w:szCs w:val="24"/>
          <w:vertAlign w:val="subscript"/>
        </w:rPr>
        <w:t>2</w:t>
      </w:r>
      <w:r w:rsidRPr="00A113C8">
        <w:rPr>
          <w:rFonts w:ascii="Times New Roman" w:eastAsia="Times New Roman" w:hAnsi="Times New Roman" w:cs="Times New Roman"/>
          <w:sz w:val="24"/>
          <w:szCs w:val="24"/>
        </w:rPr>
        <w:t xml:space="preserve"> concentration, </w:t>
      </w:r>
      <w:r>
        <w:rPr>
          <w:rFonts w:ascii="Times New Roman" w:eastAsia="Times New Roman" w:hAnsi="Times New Roman" w:cs="Times New Roman"/>
          <w:sz w:val="24"/>
          <w:szCs w:val="24"/>
        </w:rPr>
        <w:t>vapor pressure deficit</w:t>
      </w:r>
      <w:r w:rsidRPr="00A113C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soil moisture</w:t>
      </w:r>
      <w:r w:rsidRPr="00A113C8">
        <w:rPr>
          <w:rFonts w:ascii="Times New Roman" w:eastAsia="Times New Roman" w:hAnsi="Times New Roman" w:cs="Times New Roman"/>
          <w:sz w:val="24"/>
          <w:szCs w:val="24"/>
        </w:rPr>
        <w:t>, and shortwave radiation.</w:t>
      </w:r>
    </w:p>
    <w:p w:rsidR="006F5ED6" w:rsidRDefault="006F5ED6" w:rsidP="006F5ED6">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2B6BCC3A" wp14:editId="618694A0">
            <wp:extent cx="5943600" cy="2120900"/>
            <wp:effectExtent l="0" t="0" r="0" b="0"/>
            <wp:docPr id="21"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7"/>
                    <a:srcRect/>
                    <a:stretch>
                      <a:fillRect/>
                    </a:stretch>
                  </pic:blipFill>
                  <pic:spPr>
                    <a:xfrm>
                      <a:off x="0" y="0"/>
                      <a:ext cx="5943600" cy="2120900"/>
                    </a:xfrm>
                    <a:prstGeom prst="rect">
                      <a:avLst/>
                    </a:prstGeom>
                    <a:ln/>
                  </pic:spPr>
                </pic:pic>
              </a:graphicData>
            </a:graphic>
          </wp:inline>
        </w:drawing>
      </w:r>
    </w:p>
    <w:p w:rsidR="00DA7983" w:rsidRPr="00F32082" w:rsidRDefault="006F5ED6">
      <w:pPr>
        <w:spacing w:line="480" w:lineRule="auto"/>
        <w:jc w:val="both"/>
        <w:rPr>
          <w:rFonts w:ascii="Times New Roman" w:hAnsi="Times New Roman" w:cs="Times New Roman" w:hint="eastAsia"/>
          <w:sz w:val="24"/>
          <w:szCs w:val="24"/>
        </w:rPr>
      </w:pPr>
      <w:r>
        <w:rPr>
          <w:rFonts w:ascii="Times New Roman" w:eastAsia="Times New Roman" w:hAnsi="Times New Roman" w:cs="Times New Roman"/>
          <w:b/>
          <w:sz w:val="24"/>
          <w:szCs w:val="24"/>
        </w:rPr>
        <w:lastRenderedPageBreak/>
        <w:t>Figure S2</w:t>
      </w:r>
      <w:r>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Changes in global atmospheric nitrogen (N) and phosphorus (P) deposition rates. Decadal deposition changes are calculated as the difference between mean annual deposition rates for 2002–2013 and 1980–2001.</w:t>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extent cx="5943600" cy="5524500"/>
            <wp:effectExtent l="0" t="0" r="0" b="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8"/>
                    <a:srcRect/>
                    <a:stretch>
                      <a:fillRect/>
                    </a:stretch>
                  </pic:blipFill>
                  <pic:spPr>
                    <a:xfrm>
                      <a:off x="0" y="0"/>
                      <a:ext cx="5943600" cy="5524500"/>
                    </a:xfrm>
                    <a:prstGeom prst="rect">
                      <a:avLst/>
                    </a:prstGeom>
                    <a:ln/>
                  </pic:spPr>
                </pic:pic>
              </a:graphicData>
            </a:graphic>
          </wp:inline>
        </w:drawing>
      </w:r>
    </w:p>
    <w:p w:rsidR="008B1D00" w:rsidRDefault="009B220F">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w:t>
      </w:r>
      <w:r w:rsidR="00F32082">
        <w:rPr>
          <w:rFonts w:ascii="Times New Roman" w:eastAsia="Times New Roman" w:hAnsi="Times New Roman" w:cs="Times New Roman"/>
          <w:b/>
          <w:sz w:val="24"/>
          <w:szCs w:val="24"/>
        </w:rPr>
        <w:t>22</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Relationship between decadal changes in nitrogen (N) and phosphorus (P) deposition rate and the CO</w:t>
      </w:r>
      <w:r w:rsidR="0010392C"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contribution to leaf area index (LAI) trends, estimated from </w:t>
      </w:r>
      <w:proofErr w:type="spellStart"/>
      <w:proofErr w:type="gramStart"/>
      <w:r>
        <w:rPr>
          <w:rFonts w:ascii="Times New Roman" w:eastAsia="Times New Roman" w:hAnsi="Times New Roman" w:cs="Times New Roman"/>
          <w:b/>
          <w:sz w:val="24"/>
          <w:szCs w:val="24"/>
        </w:rPr>
        <w:t>a,c</w:t>
      </w:r>
      <w:proofErr w:type="spellEnd"/>
      <w:proofErr w:type="gram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satellite-derived LAI and </w:t>
      </w:r>
      <w:proofErr w:type="spellStart"/>
      <w:r>
        <w:rPr>
          <w:rFonts w:ascii="Times New Roman" w:eastAsia="Times New Roman" w:hAnsi="Times New Roman" w:cs="Times New Roman"/>
          <w:b/>
          <w:sz w:val="24"/>
          <w:szCs w:val="24"/>
        </w:rPr>
        <w:t>c,d</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the TRENDY ensemble LAI. Decadal deposition changes are calculated as the difference between mean annual deposition rates for 2002–2013 and 1980–2001. Changes in CO</w:t>
      </w:r>
      <w:r w:rsidR="0010392C"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 xml:space="preserve">contributions to LAI trends are calculated as the difference between 2002–2021 and 1982–2001. </w:t>
      </w:r>
      <w:r w:rsidR="0010392C">
        <w:rPr>
          <w:rFonts w:ascii="Times New Roman" w:eastAsia="Times New Roman" w:hAnsi="Times New Roman" w:cs="Times New Roman"/>
          <w:sz w:val="24"/>
          <w:szCs w:val="24"/>
        </w:rPr>
        <w:t>Colored</w:t>
      </w:r>
      <w:r>
        <w:rPr>
          <w:rFonts w:ascii="Times New Roman" w:eastAsia="Times New Roman" w:hAnsi="Times New Roman" w:cs="Times New Roman"/>
          <w:sz w:val="24"/>
          <w:szCs w:val="24"/>
        </w:rPr>
        <w:t xml:space="preserve"> symbols indicate area-weighted means for each climate zone: tropical (green), dry (orange), temperate (purple), continental (magenta), and global (olive). Error bars represent ±1 standard deviation across pixels within each climate zone. Dashed lines show linear regression fits based on the four individual climate zones.</w:t>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extent cx="3600000" cy="6374245"/>
            <wp:effectExtent l="0" t="0" r="0" b="0"/>
            <wp:docPr id="1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69"/>
                    <a:srcRect/>
                    <a:stretch>
                      <a:fillRect/>
                    </a:stretch>
                  </pic:blipFill>
                  <pic:spPr>
                    <a:xfrm>
                      <a:off x="0" y="0"/>
                      <a:ext cx="3600000" cy="6374245"/>
                    </a:xfrm>
                    <a:prstGeom prst="rect">
                      <a:avLst/>
                    </a:prstGeom>
                    <a:ln/>
                  </pic:spPr>
                </pic:pic>
              </a:graphicData>
            </a:graphic>
          </wp:inline>
        </w:drawing>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Figure S</w:t>
      </w:r>
      <w:r w:rsidR="00F32082">
        <w:rPr>
          <w:rFonts w:ascii="Times New Roman" w:eastAsia="Times New Roman" w:hAnsi="Times New Roman" w:cs="Times New Roman"/>
          <w:b/>
          <w:sz w:val="24"/>
          <w:szCs w:val="24"/>
        </w:rPr>
        <w:t>23</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Relationship between decadal changes in nitrogen (N) deposition rate and the CO</w:t>
      </w:r>
      <w:r w:rsidR="0010392C"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contribution to leaf area index (LAI) trends, estimated from </w:t>
      </w:r>
      <w:r>
        <w:rPr>
          <w:rFonts w:ascii="Times New Roman" w:eastAsia="Times New Roman" w:hAnsi="Times New Roman" w:cs="Times New Roman"/>
          <w:b/>
          <w:sz w:val="24"/>
          <w:szCs w:val="24"/>
        </w:rPr>
        <w:t>a–d,</w:t>
      </w:r>
      <w:r>
        <w:rPr>
          <w:rFonts w:ascii="Times New Roman" w:eastAsia="Times New Roman" w:hAnsi="Times New Roman" w:cs="Times New Roman"/>
          <w:sz w:val="24"/>
          <w:szCs w:val="24"/>
        </w:rPr>
        <w:t xml:space="preserve"> SNU LAI, and </w:t>
      </w:r>
      <w:r>
        <w:rPr>
          <w:rFonts w:ascii="Times New Roman" w:eastAsia="Times New Roman" w:hAnsi="Times New Roman" w:cs="Times New Roman"/>
          <w:b/>
          <w:sz w:val="24"/>
          <w:szCs w:val="24"/>
        </w:rPr>
        <w:t xml:space="preserve">e–h, </w:t>
      </w:r>
      <w:r>
        <w:rPr>
          <w:rFonts w:ascii="Times New Roman" w:eastAsia="Times New Roman" w:hAnsi="Times New Roman" w:cs="Times New Roman"/>
          <w:sz w:val="24"/>
          <w:szCs w:val="24"/>
        </w:rPr>
        <w:t>the TRENDY ensemble LAI. Decadal deposition changes are calculated as the difference between mean annual deposition rates for 2002–2013 and 1980–2001. Changes in CO</w:t>
      </w:r>
      <w:r w:rsidR="0010392C"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contributions to LAI trends are calculated as the difference between 2002–2021 and 1982–2001.</w:t>
      </w:r>
    </w:p>
    <w:p w:rsidR="008B1D00" w:rsidRDefault="008B1D00">
      <w:pPr>
        <w:spacing w:line="480" w:lineRule="auto"/>
        <w:jc w:val="both"/>
        <w:rPr>
          <w:rFonts w:ascii="Times New Roman" w:eastAsia="Times New Roman" w:hAnsi="Times New Roman" w:cs="Times New Roman"/>
          <w:sz w:val="24"/>
          <w:szCs w:val="24"/>
        </w:rPr>
      </w:pP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extent cx="3600000" cy="6384494"/>
            <wp:effectExtent l="0" t="0" r="0" b="0"/>
            <wp:docPr id="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70"/>
                    <a:srcRect/>
                    <a:stretch>
                      <a:fillRect/>
                    </a:stretch>
                  </pic:blipFill>
                  <pic:spPr>
                    <a:xfrm>
                      <a:off x="0" y="0"/>
                      <a:ext cx="3600000" cy="6384494"/>
                    </a:xfrm>
                    <a:prstGeom prst="rect">
                      <a:avLst/>
                    </a:prstGeom>
                    <a:ln/>
                  </pic:spPr>
                </pic:pic>
              </a:graphicData>
            </a:graphic>
          </wp:inline>
        </w:drawing>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w:t>
      </w:r>
      <w:r w:rsidR="005F22BD">
        <w:rPr>
          <w:rFonts w:ascii="Times New Roman" w:eastAsia="Times New Roman" w:hAnsi="Times New Roman" w:cs="Times New Roman"/>
          <w:b/>
          <w:sz w:val="24"/>
          <w:szCs w:val="24"/>
        </w:rPr>
        <w:t>2</w:t>
      </w:r>
      <w:r w:rsidR="00F32082">
        <w:rPr>
          <w:rFonts w:ascii="Times New Roman" w:eastAsia="Times New Roman" w:hAnsi="Times New Roman" w:cs="Times New Roman"/>
          <w:b/>
          <w:sz w:val="24"/>
          <w:szCs w:val="24"/>
        </w:rPr>
        <w:t>4</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Relationship between decadal changes in phosphorus (P) deposition rate and the CO</w:t>
      </w:r>
      <w:r w:rsidR="0010392C"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contribution to leaf area index (LAI) trends, estimated </w:t>
      </w:r>
      <w:r>
        <w:rPr>
          <w:rFonts w:ascii="Times New Roman" w:eastAsia="Times New Roman" w:hAnsi="Times New Roman" w:cs="Times New Roman"/>
          <w:b/>
          <w:sz w:val="24"/>
          <w:szCs w:val="24"/>
        </w:rPr>
        <w:t>a–d,</w:t>
      </w:r>
      <w:r>
        <w:rPr>
          <w:rFonts w:ascii="Times New Roman" w:eastAsia="Times New Roman" w:hAnsi="Times New Roman" w:cs="Times New Roman"/>
          <w:sz w:val="24"/>
          <w:szCs w:val="24"/>
        </w:rPr>
        <w:t xml:space="preserve"> SNU LAI, and </w:t>
      </w:r>
      <w:r>
        <w:rPr>
          <w:rFonts w:ascii="Times New Roman" w:eastAsia="Times New Roman" w:hAnsi="Times New Roman" w:cs="Times New Roman"/>
          <w:b/>
          <w:sz w:val="24"/>
          <w:szCs w:val="24"/>
        </w:rPr>
        <w:t xml:space="preserve">e–h, </w:t>
      </w:r>
      <w:r>
        <w:rPr>
          <w:rFonts w:ascii="Times New Roman" w:eastAsia="Times New Roman" w:hAnsi="Times New Roman" w:cs="Times New Roman"/>
          <w:sz w:val="24"/>
          <w:szCs w:val="24"/>
        </w:rPr>
        <w:t xml:space="preserve">the TRENDY ensemble LAI. Decadal deposition changes are calculated as the difference between mean annual </w:t>
      </w:r>
      <w:r>
        <w:rPr>
          <w:rFonts w:ascii="Times New Roman" w:eastAsia="Times New Roman" w:hAnsi="Times New Roman" w:cs="Times New Roman"/>
          <w:sz w:val="24"/>
          <w:szCs w:val="24"/>
        </w:rPr>
        <w:lastRenderedPageBreak/>
        <w:t>deposition rates for 2002–2013 and 1980–2001. Changes in CO</w:t>
      </w:r>
      <w:r w:rsidR="00CF338A"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contributions to LAI trends are calculated as the difference between 2002–2021 and 1982–2001. </w:t>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extent cx="3606102" cy="6382800"/>
            <wp:effectExtent l="0" t="0" r="0" b="0"/>
            <wp:docPr id="17"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71"/>
                    <a:srcRect/>
                    <a:stretch>
                      <a:fillRect/>
                    </a:stretch>
                  </pic:blipFill>
                  <pic:spPr>
                    <a:xfrm>
                      <a:off x="0" y="0"/>
                      <a:ext cx="3606102" cy="6382800"/>
                    </a:xfrm>
                    <a:prstGeom prst="rect">
                      <a:avLst/>
                    </a:prstGeom>
                    <a:ln/>
                  </pic:spPr>
                </pic:pic>
              </a:graphicData>
            </a:graphic>
          </wp:inline>
        </w:drawing>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S2</w:t>
      </w:r>
      <w:r w:rsidR="00303007">
        <w:rPr>
          <w:rFonts w:ascii="Times New Roman" w:eastAsia="Times New Roman" w:hAnsi="Times New Roman" w:cs="Times New Roman"/>
          <w:b/>
          <w:sz w:val="24"/>
          <w:szCs w:val="24"/>
        </w:rPr>
        <w:t>5</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Relationship between decadal changes in nitrogen (N) deposition rate and the CO</w:t>
      </w:r>
      <w:r w:rsidR="004C54D6"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contribution to leaf area index (LAI) trends, estimated from </w:t>
      </w:r>
      <w:r>
        <w:rPr>
          <w:rFonts w:ascii="Times New Roman" w:eastAsia="Times New Roman" w:hAnsi="Times New Roman" w:cs="Times New Roman"/>
          <w:b/>
          <w:sz w:val="24"/>
          <w:szCs w:val="24"/>
        </w:rPr>
        <w:t>a–d,</w:t>
      </w:r>
      <w:r>
        <w:rPr>
          <w:rFonts w:ascii="Times New Roman" w:eastAsia="Times New Roman" w:hAnsi="Times New Roman" w:cs="Times New Roman"/>
          <w:sz w:val="24"/>
          <w:szCs w:val="24"/>
        </w:rPr>
        <w:t xml:space="preserve"> SNU LAI, and </w:t>
      </w:r>
      <w:r>
        <w:rPr>
          <w:rFonts w:ascii="Times New Roman" w:eastAsia="Times New Roman" w:hAnsi="Times New Roman" w:cs="Times New Roman"/>
          <w:b/>
          <w:sz w:val="24"/>
          <w:szCs w:val="24"/>
        </w:rPr>
        <w:t xml:space="preserve">e–h, </w:t>
      </w:r>
      <w:r>
        <w:rPr>
          <w:rFonts w:ascii="Times New Roman" w:eastAsia="Times New Roman" w:hAnsi="Times New Roman" w:cs="Times New Roman"/>
          <w:sz w:val="24"/>
          <w:szCs w:val="24"/>
        </w:rPr>
        <w:t xml:space="preserve">the TRENDY </w:t>
      </w:r>
      <w:r>
        <w:rPr>
          <w:rFonts w:ascii="Times New Roman" w:eastAsia="Times New Roman" w:hAnsi="Times New Roman" w:cs="Times New Roman"/>
          <w:sz w:val="24"/>
          <w:szCs w:val="24"/>
        </w:rPr>
        <w:lastRenderedPageBreak/>
        <w:t>ensemble LAI. Decadal deposition changes are calculated as the difference between mean annual deposition rates for 2002–2013 and 1980–2001. Changes in CO</w:t>
      </w:r>
      <w:r w:rsidR="00D3096D"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contributions to LAI trends are calculated as the difference between 2002–2013 and 1982–2001.</w:t>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extent cx="3600000" cy="6384494"/>
            <wp:effectExtent l="0" t="0" r="0" b="0"/>
            <wp:docPr id="22"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72"/>
                    <a:srcRect/>
                    <a:stretch>
                      <a:fillRect/>
                    </a:stretch>
                  </pic:blipFill>
                  <pic:spPr>
                    <a:xfrm>
                      <a:off x="0" y="0"/>
                      <a:ext cx="3600000" cy="6384494"/>
                    </a:xfrm>
                    <a:prstGeom prst="rect">
                      <a:avLst/>
                    </a:prstGeom>
                    <a:ln/>
                  </pic:spPr>
                </pic:pic>
              </a:graphicData>
            </a:graphic>
          </wp:inline>
        </w:drawing>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Figure S2</w:t>
      </w:r>
      <w:r w:rsidR="00303007">
        <w:rPr>
          <w:rFonts w:ascii="Times New Roman" w:eastAsia="Times New Roman" w:hAnsi="Times New Roman" w:cs="Times New Roman"/>
          <w:b/>
          <w:sz w:val="24"/>
          <w:szCs w:val="24"/>
        </w:rPr>
        <w:t>6</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Relationship between decadal changes in phosphorus (P) deposition rate and the CO</w:t>
      </w:r>
      <w:r w:rsidR="00C2241E"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contribution to leaf area index (LAI) trends, estimated from </w:t>
      </w:r>
      <w:r>
        <w:rPr>
          <w:rFonts w:ascii="Times New Roman" w:eastAsia="Times New Roman" w:hAnsi="Times New Roman" w:cs="Times New Roman"/>
          <w:b/>
          <w:sz w:val="24"/>
          <w:szCs w:val="24"/>
        </w:rPr>
        <w:t>a–d,</w:t>
      </w:r>
      <w:r>
        <w:rPr>
          <w:rFonts w:ascii="Times New Roman" w:eastAsia="Times New Roman" w:hAnsi="Times New Roman" w:cs="Times New Roman"/>
          <w:sz w:val="24"/>
          <w:szCs w:val="24"/>
        </w:rPr>
        <w:t xml:space="preserve"> SNU LAI, and </w:t>
      </w:r>
      <w:r>
        <w:rPr>
          <w:rFonts w:ascii="Times New Roman" w:eastAsia="Times New Roman" w:hAnsi="Times New Roman" w:cs="Times New Roman"/>
          <w:b/>
          <w:sz w:val="24"/>
          <w:szCs w:val="24"/>
        </w:rPr>
        <w:t xml:space="preserve">e–h, </w:t>
      </w:r>
      <w:r>
        <w:rPr>
          <w:rFonts w:ascii="Times New Roman" w:eastAsia="Times New Roman" w:hAnsi="Times New Roman" w:cs="Times New Roman"/>
          <w:sz w:val="24"/>
          <w:szCs w:val="24"/>
        </w:rPr>
        <w:t>the TRENDY ensemble LAI. Decadal deposition changes are calculated as the difference between mean annual deposition rates for 2002–2013 and 1980–2001. Changes in CO</w:t>
      </w:r>
      <w:r w:rsidR="00EC2130"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contributions to LAI trends are calculated as the difference between 2002–2013 and 1982–2001.</w:t>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extent cx="5943600" cy="4597400"/>
            <wp:effectExtent l="0" t="0" r="0" b="0"/>
            <wp:docPr id="1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73"/>
                    <a:srcRect/>
                    <a:stretch>
                      <a:fillRect/>
                    </a:stretch>
                  </pic:blipFill>
                  <pic:spPr>
                    <a:xfrm>
                      <a:off x="0" y="0"/>
                      <a:ext cx="5943600" cy="4597400"/>
                    </a:xfrm>
                    <a:prstGeom prst="rect">
                      <a:avLst/>
                    </a:prstGeom>
                    <a:ln/>
                  </pic:spPr>
                </pic:pic>
              </a:graphicData>
            </a:graphic>
          </wp:inline>
        </w:drawing>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S2</w:t>
      </w:r>
      <w:r w:rsidR="00303007">
        <w:rPr>
          <w:rFonts w:ascii="Times New Roman" w:eastAsia="Times New Roman" w:hAnsi="Times New Roman" w:cs="Times New Roman"/>
          <w:b/>
          <w:sz w:val="24"/>
          <w:szCs w:val="24"/>
        </w:rPr>
        <w:t>7</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Relationship between decadal changes in nitrogen (N) deposition rate and the CO</w:t>
      </w:r>
      <w:r w:rsidR="0034702E"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contribution to leaf area index (LAI) trends, estimated from 15 Earth system models in TRENDY v12 and SNU LAI. Decadal deposition changes are calculated as the difference between mean </w:t>
      </w:r>
      <w:r>
        <w:rPr>
          <w:rFonts w:ascii="Times New Roman" w:eastAsia="Times New Roman" w:hAnsi="Times New Roman" w:cs="Times New Roman"/>
          <w:sz w:val="24"/>
          <w:szCs w:val="24"/>
        </w:rPr>
        <w:lastRenderedPageBreak/>
        <w:t>annual deposition rates for 2002–2021 and 1980–2001. Changes in CO</w:t>
      </w:r>
      <w:r w:rsidR="00BB10DC"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contributions to LAI trends are calculated as the difference between 2002–2021 and 1982–2001.</w:t>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extent cx="5943600" cy="4584700"/>
            <wp:effectExtent l="0" t="0" r="0" b="0"/>
            <wp:docPr id="23"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74"/>
                    <a:srcRect/>
                    <a:stretch>
                      <a:fillRect/>
                    </a:stretch>
                  </pic:blipFill>
                  <pic:spPr>
                    <a:xfrm>
                      <a:off x="0" y="0"/>
                      <a:ext cx="5943600" cy="4584700"/>
                    </a:xfrm>
                    <a:prstGeom prst="rect">
                      <a:avLst/>
                    </a:prstGeom>
                    <a:ln/>
                  </pic:spPr>
                </pic:pic>
              </a:graphicData>
            </a:graphic>
          </wp:inline>
        </w:drawing>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S2</w:t>
      </w:r>
      <w:r w:rsidR="00303007">
        <w:rPr>
          <w:rFonts w:ascii="Times New Roman" w:eastAsia="Times New Roman" w:hAnsi="Times New Roman" w:cs="Times New Roman"/>
          <w:b/>
          <w:sz w:val="24"/>
          <w:szCs w:val="24"/>
        </w:rPr>
        <w:t>8</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Relationship between decadal changes in phosphorus (P) deposition rate and the CO</w:t>
      </w:r>
      <w:r w:rsidR="0063245C"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contribution to leaf area index (LAI) trends, estimated from 15 Earth system models in TRENDY v12 and SNU LAI. Decadal deposition changes are calculated as the difference between mean annual deposition rates for 2002–2021 and 1980–2001. Changes in CO</w:t>
      </w:r>
      <w:r w:rsidR="005E6152" w:rsidRPr="003504C0">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 contributions to LAI trends are calculated as the difference between 2002–2021 and 1982–2001.</w:t>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extent cx="5943600" cy="2552700"/>
            <wp:effectExtent l="0" t="0" r="0" b="0"/>
            <wp:docPr id="18"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5"/>
                    <a:srcRect/>
                    <a:stretch>
                      <a:fillRect/>
                    </a:stretch>
                  </pic:blipFill>
                  <pic:spPr>
                    <a:xfrm>
                      <a:off x="0" y="0"/>
                      <a:ext cx="5943600" cy="2552700"/>
                    </a:xfrm>
                    <a:prstGeom prst="rect">
                      <a:avLst/>
                    </a:prstGeom>
                    <a:ln/>
                  </pic:spPr>
                </pic:pic>
              </a:graphicData>
            </a:graphic>
          </wp:inline>
        </w:drawing>
      </w:r>
    </w:p>
    <w:p w:rsidR="008B1D00" w:rsidRDefault="009B220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S2</w:t>
      </w:r>
      <w:r w:rsidR="00303007">
        <w:rPr>
          <w:rFonts w:ascii="Times New Roman" w:eastAsia="Times New Roman" w:hAnsi="Times New Roman" w:cs="Times New Roman"/>
          <w:b/>
          <w:sz w:val="24"/>
          <w:szCs w:val="24"/>
        </w:rPr>
        <w:t>9</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Trends in </w:t>
      </w:r>
      <w:r w:rsidR="00106B63">
        <w:rPr>
          <w:rFonts w:ascii="Times New Roman" w:eastAsia="Times New Roman" w:hAnsi="Times New Roman" w:cs="Times New Roman"/>
          <w:sz w:val="24"/>
          <w:szCs w:val="24"/>
        </w:rPr>
        <w:t>SNU LAI</w:t>
      </w:r>
      <w:r>
        <w:rPr>
          <w:rFonts w:ascii="Times New Roman" w:eastAsia="Times New Roman" w:hAnsi="Times New Roman" w:cs="Times New Roman"/>
          <w:sz w:val="24"/>
          <w:szCs w:val="24"/>
        </w:rPr>
        <w:t xml:space="preserve"> and TRENDY LAI across climate space defined by climatological annual total precipitation and annual mean vapor pressure deficit during 1982–2021.</w:t>
      </w:r>
    </w:p>
    <w:p w:rsidR="00FD6746" w:rsidRDefault="00FD6746" w:rsidP="00FD6746">
      <w:pPr>
        <w:keepNext/>
        <w:keepLines/>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Table S</w:t>
      </w:r>
      <w:r>
        <w:rPr>
          <w:rFonts w:ascii="Times New Roman" w:eastAsia="Times New Roman" w:hAnsi="Times New Roman" w:cs="Times New Roman"/>
          <w:b/>
          <w:sz w:val="24"/>
          <w:szCs w:val="24"/>
        </w:rPr>
        <w:t>1</w:t>
      </w:r>
      <w:r>
        <w:rPr>
          <w:rFonts w:ascii="Times New Roman" w:eastAsia="Times New Roman" w:hAnsi="Times New Roman" w:cs="Times New Roman"/>
          <w:b/>
          <w:color w:val="000000"/>
          <w:sz w:val="24"/>
          <w:szCs w:val="24"/>
        </w:rPr>
        <w:t>.</w:t>
      </w:r>
      <w:r>
        <w:rPr>
          <w:rFonts w:ascii="Times New Roman" w:eastAsia="Times New Roman" w:hAnsi="Times New Roman" w:cs="Times New Roman"/>
          <w:color w:val="000000"/>
          <w:sz w:val="24"/>
          <w:szCs w:val="24"/>
        </w:rPr>
        <w:t xml:space="preserve"> Performance of LAI predictions in each ecosystem. Needleleaf forests (NF), Evergreen Broadleaf Forests (EBF), Deciduous Broadleaf Forests (DBF), Mixed Forests (MF), Shrublands (SHR), Savanna (SAV), Grasslands (GRA), and Croplands (CRO).</w:t>
      </w:r>
    </w:p>
    <w:tbl>
      <w:tblPr>
        <w:tblW w:w="9360" w:type="dxa"/>
        <w:jc w:val="center"/>
        <w:tblBorders>
          <w:top w:val="single" w:sz="4" w:space="0" w:color="7F7F7F"/>
          <w:bottom w:val="single" w:sz="4" w:space="0" w:color="7F7F7F"/>
        </w:tblBorders>
        <w:tblLayout w:type="fixed"/>
        <w:tblLook w:val="04A0" w:firstRow="1" w:lastRow="0" w:firstColumn="1" w:lastColumn="0" w:noHBand="0" w:noVBand="1"/>
      </w:tblPr>
      <w:tblGrid>
        <w:gridCol w:w="2340"/>
        <w:gridCol w:w="2340"/>
        <w:gridCol w:w="2340"/>
        <w:gridCol w:w="2340"/>
      </w:tblGrid>
      <w:tr w:rsidR="00FD6746" w:rsidTr="00403312">
        <w:trPr>
          <w:trHeight w:val="372"/>
          <w:jc w:val="center"/>
        </w:trPr>
        <w:tc>
          <w:tcPr>
            <w:tcW w:w="2340" w:type="dxa"/>
            <w:vAlign w:val="bottom"/>
          </w:tcPr>
          <w:p w:rsidR="00FD6746" w:rsidRPr="00FD6746" w:rsidRDefault="00FD6746" w:rsidP="00403312">
            <w:pPr>
              <w:spacing w:line="480" w:lineRule="auto"/>
              <w:jc w:val="center"/>
              <w:rPr>
                <w:rFonts w:ascii="Times New Roman" w:hAnsi="Times New Roman" w:cs="Times New Roman"/>
              </w:rPr>
            </w:pP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R</w:t>
            </w:r>
            <w:r w:rsidRPr="00FD6746">
              <w:rPr>
                <w:rFonts w:ascii="Times New Roman" w:hAnsi="Times New Roman" w:cs="Times New Roman"/>
                <w:vertAlign w:val="superscript"/>
              </w:rPr>
              <w:t>2</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RMSE (m</w:t>
            </w:r>
            <w:r w:rsidRPr="00FD6746">
              <w:rPr>
                <w:rFonts w:ascii="Times New Roman" w:hAnsi="Times New Roman" w:cs="Times New Roman"/>
                <w:vertAlign w:val="superscript"/>
              </w:rPr>
              <w:t>2</w:t>
            </w:r>
            <w:r w:rsidRPr="00FD6746">
              <w:rPr>
                <w:rFonts w:ascii="Times New Roman" w:hAnsi="Times New Roman" w:cs="Times New Roman"/>
              </w:rPr>
              <w:t xml:space="preserve"> m</w:t>
            </w:r>
            <w:r w:rsidRPr="00FD6746">
              <w:rPr>
                <w:rFonts w:ascii="Times New Roman" w:hAnsi="Times New Roman" w:cs="Times New Roman"/>
                <w:vertAlign w:val="superscript"/>
              </w:rPr>
              <w:t>-2</w:t>
            </w:r>
            <w:r w:rsidRPr="00FD6746">
              <w:rPr>
                <w:rFonts w:ascii="Times New Roman" w:hAnsi="Times New Roman" w:cs="Times New Roman"/>
              </w:rPr>
              <w:t>)</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MAE (m</w:t>
            </w:r>
            <w:r w:rsidRPr="00FD6746">
              <w:rPr>
                <w:rFonts w:ascii="Times New Roman" w:hAnsi="Times New Roman" w:cs="Times New Roman"/>
                <w:vertAlign w:val="superscript"/>
              </w:rPr>
              <w:t>2</w:t>
            </w:r>
            <w:r w:rsidRPr="00FD6746">
              <w:rPr>
                <w:rFonts w:ascii="Times New Roman" w:hAnsi="Times New Roman" w:cs="Times New Roman"/>
              </w:rPr>
              <w:t xml:space="preserve"> m</w:t>
            </w:r>
            <w:r w:rsidRPr="00FD6746">
              <w:rPr>
                <w:rFonts w:ascii="Times New Roman" w:hAnsi="Times New Roman" w:cs="Times New Roman"/>
                <w:vertAlign w:val="superscript"/>
              </w:rPr>
              <w:t>-2</w:t>
            </w:r>
            <w:r w:rsidRPr="00FD6746">
              <w:rPr>
                <w:rFonts w:ascii="Times New Roman" w:hAnsi="Times New Roman" w:cs="Times New Roman"/>
              </w:rPr>
              <w:t>)</w:t>
            </w:r>
          </w:p>
        </w:tc>
      </w:tr>
      <w:tr w:rsidR="00FD6746" w:rsidTr="00403312">
        <w:trPr>
          <w:trHeight w:val="372"/>
          <w:jc w:val="center"/>
        </w:trPr>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b/>
              </w:rPr>
              <w:t>NF</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0.88</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0.33</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0.24</w:t>
            </w:r>
          </w:p>
        </w:tc>
      </w:tr>
      <w:tr w:rsidR="00FD6746" w:rsidTr="00403312">
        <w:trPr>
          <w:trHeight w:val="372"/>
          <w:jc w:val="center"/>
        </w:trPr>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b/>
              </w:rPr>
              <w:t>EBF</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0.82</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0.49</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0.34</w:t>
            </w:r>
          </w:p>
        </w:tc>
      </w:tr>
      <w:tr w:rsidR="00FD6746" w:rsidTr="00403312">
        <w:trPr>
          <w:trHeight w:val="372"/>
          <w:jc w:val="center"/>
        </w:trPr>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b/>
              </w:rPr>
              <w:t>DBF</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0.93</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0.39</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0.25</w:t>
            </w:r>
          </w:p>
        </w:tc>
      </w:tr>
      <w:tr w:rsidR="00FD6746" w:rsidTr="00403312">
        <w:trPr>
          <w:trHeight w:val="372"/>
          <w:jc w:val="center"/>
        </w:trPr>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b/>
              </w:rPr>
              <w:t>MF</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0.93</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0.40</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0.33</w:t>
            </w:r>
          </w:p>
        </w:tc>
      </w:tr>
      <w:tr w:rsidR="00FD6746" w:rsidTr="00403312">
        <w:trPr>
          <w:trHeight w:val="372"/>
          <w:jc w:val="center"/>
        </w:trPr>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b/>
              </w:rPr>
              <w:t>SHR</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0.91</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0.28</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0.32</w:t>
            </w:r>
          </w:p>
        </w:tc>
      </w:tr>
      <w:tr w:rsidR="00FD6746" w:rsidTr="00403312">
        <w:trPr>
          <w:trHeight w:val="372"/>
          <w:jc w:val="center"/>
        </w:trPr>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b/>
              </w:rPr>
              <w:t>SAV</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0.89</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0.23</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0.14</w:t>
            </w:r>
          </w:p>
        </w:tc>
      </w:tr>
      <w:tr w:rsidR="00FD6746" w:rsidTr="00403312">
        <w:trPr>
          <w:trHeight w:val="372"/>
          <w:jc w:val="center"/>
        </w:trPr>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b/>
              </w:rPr>
              <w:t>GRA</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0.90</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0.43</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0.29</w:t>
            </w:r>
          </w:p>
        </w:tc>
      </w:tr>
      <w:tr w:rsidR="00FD6746" w:rsidTr="00403312">
        <w:trPr>
          <w:trHeight w:val="372"/>
          <w:jc w:val="center"/>
        </w:trPr>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b/>
              </w:rPr>
              <w:lastRenderedPageBreak/>
              <w:t>CRO</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0.91</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0.32</w:t>
            </w:r>
          </w:p>
        </w:tc>
        <w:tc>
          <w:tcPr>
            <w:tcW w:w="2340" w:type="dxa"/>
            <w:vAlign w:val="bottom"/>
          </w:tcPr>
          <w:p w:rsidR="00FD6746" w:rsidRPr="00FD6746" w:rsidRDefault="00FD6746" w:rsidP="00403312">
            <w:pPr>
              <w:spacing w:line="480" w:lineRule="auto"/>
              <w:jc w:val="center"/>
              <w:rPr>
                <w:rFonts w:ascii="Times New Roman" w:hAnsi="Times New Roman" w:cs="Times New Roman"/>
              </w:rPr>
            </w:pPr>
            <w:r w:rsidRPr="00FD6746">
              <w:rPr>
                <w:rFonts w:ascii="Times New Roman" w:hAnsi="Times New Roman" w:cs="Times New Roman"/>
              </w:rPr>
              <w:t>0.19</w:t>
            </w:r>
          </w:p>
        </w:tc>
      </w:tr>
    </w:tbl>
    <w:p w:rsidR="002D644B" w:rsidRPr="002D644B" w:rsidRDefault="002D644B">
      <w:pPr>
        <w:spacing w:line="480" w:lineRule="auto"/>
        <w:jc w:val="both"/>
        <w:rPr>
          <w:rFonts w:ascii="Times New Roman" w:hAnsi="Times New Roman" w:cs="Times New Roman" w:hint="eastAsia"/>
          <w:sz w:val="24"/>
          <w:szCs w:val="24"/>
        </w:rPr>
      </w:pPr>
      <w:bookmarkStart w:id="3" w:name="_GoBack"/>
      <w:bookmarkEnd w:id="3"/>
    </w:p>
    <w:p w:rsidR="008B1D00" w:rsidRDefault="009B220F">
      <w:pPr>
        <w:keepNext/>
        <w:keepLines/>
        <w:pBdr>
          <w:top w:val="nil"/>
          <w:left w:val="nil"/>
          <w:bottom w:val="nil"/>
          <w:right w:val="nil"/>
          <w:between w:val="nil"/>
        </w:pBdr>
        <w:spacing w:after="0" w:line="480" w:lineRule="auto"/>
        <w:rPr>
          <w:rFonts w:ascii="Times New Roman" w:eastAsia="Times New Roman" w:hAnsi="Times New Roman" w:cs="Times New Roman"/>
          <w:b/>
          <w:color w:val="000000"/>
        </w:rPr>
      </w:pPr>
      <w:r>
        <w:rPr>
          <w:rFonts w:ascii="Times New Roman" w:eastAsia="Times New Roman" w:hAnsi="Times New Roman" w:cs="Times New Roman"/>
          <w:b/>
          <w:color w:val="000000"/>
          <w:sz w:val="24"/>
          <w:szCs w:val="24"/>
        </w:rPr>
        <w:t>Table S</w:t>
      </w:r>
      <w:r w:rsidR="002D644B">
        <w:rPr>
          <w:rFonts w:ascii="Times New Roman" w:eastAsia="Times New Roman" w:hAnsi="Times New Roman" w:cs="Times New Roman"/>
          <w:b/>
          <w:sz w:val="24"/>
          <w:szCs w:val="24"/>
        </w:rPr>
        <w:t>2</w:t>
      </w:r>
      <w:r>
        <w:rPr>
          <w:rFonts w:ascii="Times New Roman" w:eastAsia="Times New Roman" w:hAnsi="Times New Roman" w:cs="Times New Roman"/>
          <w:b/>
          <w:color w:val="000000"/>
          <w:sz w:val="24"/>
          <w:szCs w:val="24"/>
        </w:rPr>
        <w:t>. </w:t>
      </w:r>
      <w:r>
        <w:rPr>
          <w:rFonts w:ascii="Times New Roman" w:eastAsia="Times New Roman" w:hAnsi="Times New Roman" w:cs="Times New Roman"/>
          <w:color w:val="000000"/>
          <w:sz w:val="24"/>
          <w:szCs w:val="24"/>
        </w:rPr>
        <w:t xml:space="preserve">List of selected sites from the global network of LAI reference dataset (https://calvalportal.ceos.org/lpv-direct-v2.1). </w:t>
      </w:r>
    </w:p>
    <w:tbl>
      <w:tblPr>
        <w:tblStyle w:val="a5"/>
        <w:tblW w:w="9360" w:type="dxa"/>
        <w:tblInd w:w="0" w:type="dxa"/>
        <w:tblBorders>
          <w:top w:val="single" w:sz="4" w:space="0" w:color="7F7F7F"/>
          <w:bottom w:val="single" w:sz="4" w:space="0" w:color="7F7F7F"/>
        </w:tblBorders>
        <w:tblLayout w:type="fixed"/>
        <w:tblLook w:val="04A0" w:firstRow="1" w:lastRow="0" w:firstColumn="1" w:lastColumn="0" w:noHBand="0" w:noVBand="1"/>
      </w:tblPr>
      <w:tblGrid>
        <w:gridCol w:w="2339"/>
        <w:gridCol w:w="2341"/>
        <w:gridCol w:w="2340"/>
        <w:gridCol w:w="2340"/>
      </w:tblGrid>
      <w:tr w:rsidR="008B1D00" w:rsidTr="008B1D00">
        <w:trPr>
          <w:cnfStyle w:val="100000000000" w:firstRow="1" w:lastRow="0" w:firstColumn="0" w:lastColumn="0" w:oddVBand="0" w:evenVBand="0" w:oddHBand="0" w:evenHBand="0" w:firstRowFirstColumn="0" w:firstRowLastColumn="0" w:lastRowFirstColumn="0" w:lastRowLastColumn="0"/>
          <w:trHeight w:val="533"/>
        </w:trPr>
        <w:tc>
          <w:tcPr>
            <w:cnfStyle w:val="001000000000" w:firstRow="0" w:lastRow="0" w:firstColumn="1" w:lastColumn="0" w:oddVBand="0" w:evenVBand="0" w:oddHBand="0" w:evenHBand="0" w:firstRowFirstColumn="0" w:firstRowLastColumn="0" w:lastRowFirstColumn="0" w:lastRowLastColumn="0"/>
            <w:tcW w:w="2339" w:type="dxa"/>
            <w:vAlign w:val="center"/>
          </w:tcPr>
          <w:p w:rsidR="008B1D00" w:rsidRDefault="009B220F">
            <w:pPr>
              <w:spacing w:line="480" w:lineRule="auto"/>
              <w:jc w:val="center"/>
              <w:rPr>
                <w:sz w:val="22"/>
                <w:szCs w:val="22"/>
              </w:rPr>
            </w:pPr>
            <w:r>
              <w:rPr>
                <w:sz w:val="22"/>
                <w:szCs w:val="22"/>
              </w:rPr>
              <w:t>Site ID</w:t>
            </w:r>
          </w:p>
        </w:tc>
        <w:tc>
          <w:tcPr>
            <w:tcW w:w="2341" w:type="dxa"/>
            <w:vAlign w:val="center"/>
          </w:tcPr>
          <w:p w:rsidR="008B1D00" w:rsidRDefault="009B220F">
            <w:pPr>
              <w:spacing w:line="480" w:lineRule="auto"/>
              <w:jc w:val="center"/>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Latitude</w:t>
            </w:r>
          </w:p>
        </w:tc>
        <w:tc>
          <w:tcPr>
            <w:tcW w:w="2340" w:type="dxa"/>
            <w:vAlign w:val="center"/>
          </w:tcPr>
          <w:p w:rsidR="008B1D00" w:rsidRDefault="009B220F">
            <w:pPr>
              <w:spacing w:line="480" w:lineRule="auto"/>
              <w:jc w:val="center"/>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Longitude</w:t>
            </w:r>
          </w:p>
        </w:tc>
        <w:tc>
          <w:tcPr>
            <w:tcW w:w="2340" w:type="dxa"/>
            <w:vAlign w:val="center"/>
          </w:tcPr>
          <w:p w:rsidR="008B1D00" w:rsidRDefault="009B220F">
            <w:pPr>
              <w:spacing w:line="480" w:lineRule="auto"/>
              <w:jc w:val="center"/>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Land cover type</w:t>
            </w:r>
          </w:p>
        </w:tc>
      </w:tr>
      <w:tr w:rsidR="008B1D00" w:rsidTr="008B1D00">
        <w:trPr>
          <w:cnfStyle w:val="000000100000" w:firstRow="0" w:lastRow="0" w:firstColumn="0" w:lastColumn="0" w:oddVBand="0" w:evenVBand="0" w:oddHBand="1" w:evenHBand="0"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2339" w:type="dxa"/>
            <w:vAlign w:val="center"/>
          </w:tcPr>
          <w:p w:rsidR="008B1D00" w:rsidRDefault="009B220F">
            <w:pPr>
              <w:spacing w:line="480" w:lineRule="auto"/>
              <w:jc w:val="center"/>
              <w:rPr>
                <w:sz w:val="22"/>
                <w:szCs w:val="22"/>
              </w:rPr>
            </w:pPr>
            <w:r>
              <w:rPr>
                <w:b w:val="0"/>
                <w:sz w:val="22"/>
                <w:szCs w:val="22"/>
              </w:rPr>
              <w:t>HARV</w:t>
            </w:r>
          </w:p>
          <w:p w:rsidR="008B1D00" w:rsidRDefault="009B220F">
            <w:pPr>
              <w:spacing w:line="480" w:lineRule="auto"/>
              <w:jc w:val="center"/>
              <w:rPr>
                <w:sz w:val="22"/>
                <w:szCs w:val="22"/>
              </w:rPr>
            </w:pPr>
            <w:proofErr w:type="spellStart"/>
            <w:r>
              <w:rPr>
                <w:b w:val="0"/>
                <w:sz w:val="22"/>
                <w:szCs w:val="22"/>
              </w:rPr>
              <w:t>Barrax</w:t>
            </w:r>
            <w:proofErr w:type="spellEnd"/>
          </w:p>
          <w:p w:rsidR="008B1D00" w:rsidRDefault="009B220F">
            <w:pPr>
              <w:spacing w:line="480" w:lineRule="auto"/>
              <w:jc w:val="center"/>
              <w:rPr>
                <w:sz w:val="22"/>
                <w:szCs w:val="22"/>
              </w:rPr>
            </w:pPr>
            <w:proofErr w:type="spellStart"/>
            <w:r>
              <w:rPr>
                <w:b w:val="0"/>
                <w:sz w:val="22"/>
                <w:szCs w:val="22"/>
              </w:rPr>
              <w:t>Fundulea</w:t>
            </w:r>
            <w:proofErr w:type="spellEnd"/>
          </w:p>
          <w:p w:rsidR="008B1D00" w:rsidRDefault="009B220F">
            <w:pPr>
              <w:spacing w:line="480" w:lineRule="auto"/>
              <w:jc w:val="center"/>
              <w:rPr>
                <w:sz w:val="22"/>
                <w:szCs w:val="22"/>
              </w:rPr>
            </w:pPr>
            <w:proofErr w:type="spellStart"/>
            <w:r>
              <w:rPr>
                <w:b w:val="0"/>
                <w:sz w:val="22"/>
                <w:szCs w:val="22"/>
              </w:rPr>
              <w:t>Gourma</w:t>
            </w:r>
            <w:proofErr w:type="spellEnd"/>
          </w:p>
          <w:p w:rsidR="008B1D00" w:rsidRDefault="009B220F">
            <w:pPr>
              <w:spacing w:line="480" w:lineRule="auto"/>
              <w:jc w:val="center"/>
              <w:rPr>
                <w:sz w:val="22"/>
                <w:szCs w:val="22"/>
              </w:rPr>
            </w:pPr>
            <w:proofErr w:type="spellStart"/>
            <w:r>
              <w:rPr>
                <w:b w:val="0"/>
                <w:sz w:val="22"/>
                <w:szCs w:val="22"/>
              </w:rPr>
              <w:t>Hirsikangas</w:t>
            </w:r>
            <w:proofErr w:type="spellEnd"/>
          </w:p>
          <w:p w:rsidR="008B1D00" w:rsidRDefault="009B220F">
            <w:pPr>
              <w:spacing w:line="480" w:lineRule="auto"/>
              <w:jc w:val="center"/>
              <w:rPr>
                <w:sz w:val="22"/>
                <w:szCs w:val="22"/>
              </w:rPr>
            </w:pPr>
            <w:proofErr w:type="spellStart"/>
            <w:r>
              <w:rPr>
                <w:b w:val="0"/>
                <w:sz w:val="22"/>
                <w:szCs w:val="22"/>
              </w:rPr>
              <w:t>Jarvselja</w:t>
            </w:r>
            <w:proofErr w:type="spellEnd"/>
          </w:p>
          <w:p w:rsidR="008B1D00" w:rsidRDefault="009B220F">
            <w:pPr>
              <w:spacing w:line="480" w:lineRule="auto"/>
              <w:jc w:val="center"/>
              <w:rPr>
                <w:sz w:val="22"/>
                <w:szCs w:val="22"/>
              </w:rPr>
            </w:pPr>
            <w:proofErr w:type="spellStart"/>
            <w:r>
              <w:rPr>
                <w:b w:val="0"/>
                <w:sz w:val="22"/>
                <w:szCs w:val="22"/>
              </w:rPr>
              <w:t>Laprida</w:t>
            </w:r>
            <w:proofErr w:type="spellEnd"/>
          </w:p>
          <w:p w:rsidR="008B1D00" w:rsidRDefault="009B220F">
            <w:pPr>
              <w:spacing w:line="480" w:lineRule="auto"/>
              <w:jc w:val="center"/>
              <w:rPr>
                <w:sz w:val="22"/>
                <w:szCs w:val="22"/>
              </w:rPr>
            </w:pPr>
            <w:proofErr w:type="spellStart"/>
            <w:r>
              <w:rPr>
                <w:b w:val="0"/>
                <w:sz w:val="22"/>
                <w:szCs w:val="22"/>
              </w:rPr>
              <w:t>Nezer</w:t>
            </w:r>
            <w:proofErr w:type="spellEnd"/>
          </w:p>
          <w:p w:rsidR="008B1D00" w:rsidRDefault="009B220F">
            <w:pPr>
              <w:spacing w:line="480" w:lineRule="auto"/>
              <w:jc w:val="center"/>
              <w:rPr>
                <w:sz w:val="22"/>
                <w:szCs w:val="22"/>
              </w:rPr>
            </w:pPr>
            <w:r>
              <w:rPr>
                <w:b w:val="0"/>
                <w:sz w:val="22"/>
                <w:szCs w:val="22"/>
              </w:rPr>
              <w:t>Rovaniemi</w:t>
            </w:r>
          </w:p>
          <w:p w:rsidR="008B1D00" w:rsidRDefault="009B220F">
            <w:pPr>
              <w:spacing w:line="480" w:lineRule="auto"/>
              <w:jc w:val="center"/>
              <w:rPr>
                <w:sz w:val="22"/>
                <w:szCs w:val="22"/>
              </w:rPr>
            </w:pPr>
            <w:r>
              <w:rPr>
                <w:b w:val="0"/>
                <w:sz w:val="22"/>
                <w:szCs w:val="22"/>
              </w:rPr>
              <w:t>Turco2</w:t>
            </w:r>
          </w:p>
          <w:p w:rsidR="008B1D00" w:rsidRDefault="009B220F">
            <w:pPr>
              <w:spacing w:line="480" w:lineRule="auto"/>
              <w:jc w:val="center"/>
              <w:rPr>
                <w:sz w:val="22"/>
                <w:szCs w:val="22"/>
              </w:rPr>
            </w:pPr>
            <w:r>
              <w:rPr>
                <w:b w:val="0"/>
                <w:sz w:val="22"/>
                <w:szCs w:val="22"/>
              </w:rPr>
              <w:t>Wisconsin</w:t>
            </w:r>
          </w:p>
          <w:p w:rsidR="008B1D00" w:rsidRDefault="009B220F">
            <w:pPr>
              <w:spacing w:line="480" w:lineRule="auto"/>
              <w:jc w:val="center"/>
              <w:rPr>
                <w:sz w:val="22"/>
                <w:szCs w:val="22"/>
              </w:rPr>
            </w:pPr>
            <w:proofErr w:type="spellStart"/>
            <w:r>
              <w:rPr>
                <w:b w:val="0"/>
                <w:sz w:val="22"/>
                <w:szCs w:val="22"/>
              </w:rPr>
              <w:t>Dahra_South</w:t>
            </w:r>
            <w:proofErr w:type="spellEnd"/>
          </w:p>
          <w:p w:rsidR="008B1D00" w:rsidRDefault="009B220F">
            <w:pPr>
              <w:spacing w:line="480" w:lineRule="auto"/>
              <w:jc w:val="center"/>
              <w:rPr>
                <w:sz w:val="22"/>
                <w:szCs w:val="22"/>
              </w:rPr>
            </w:pPr>
            <w:proofErr w:type="spellStart"/>
            <w:r>
              <w:rPr>
                <w:b w:val="0"/>
                <w:sz w:val="22"/>
                <w:szCs w:val="22"/>
              </w:rPr>
              <w:t>Tessekre_South</w:t>
            </w:r>
            <w:proofErr w:type="spellEnd"/>
          </w:p>
          <w:p w:rsidR="008B1D00" w:rsidRDefault="009B220F">
            <w:pPr>
              <w:spacing w:line="480" w:lineRule="auto"/>
              <w:jc w:val="center"/>
              <w:rPr>
                <w:sz w:val="22"/>
                <w:szCs w:val="22"/>
              </w:rPr>
            </w:pPr>
            <w:proofErr w:type="spellStart"/>
            <w:r>
              <w:rPr>
                <w:b w:val="0"/>
                <w:sz w:val="22"/>
                <w:szCs w:val="22"/>
              </w:rPr>
              <w:t>Tessekre_North</w:t>
            </w:r>
            <w:proofErr w:type="spellEnd"/>
          </w:p>
          <w:p w:rsidR="008B1D00" w:rsidRDefault="009B220F">
            <w:pPr>
              <w:spacing w:line="480" w:lineRule="auto"/>
              <w:jc w:val="center"/>
              <w:rPr>
                <w:sz w:val="22"/>
                <w:szCs w:val="22"/>
              </w:rPr>
            </w:pPr>
            <w:proofErr w:type="spellStart"/>
            <w:r>
              <w:rPr>
                <w:b w:val="0"/>
                <w:sz w:val="22"/>
                <w:szCs w:val="22"/>
              </w:rPr>
              <w:t>Utiel</w:t>
            </w:r>
            <w:proofErr w:type="spellEnd"/>
          </w:p>
          <w:p w:rsidR="008B1D00" w:rsidRDefault="009B220F">
            <w:pPr>
              <w:spacing w:line="480" w:lineRule="auto"/>
              <w:jc w:val="center"/>
              <w:rPr>
                <w:sz w:val="22"/>
                <w:szCs w:val="22"/>
              </w:rPr>
            </w:pPr>
            <w:proofErr w:type="spellStart"/>
            <w:r>
              <w:rPr>
                <w:b w:val="0"/>
                <w:sz w:val="22"/>
                <w:szCs w:val="22"/>
              </w:rPr>
              <w:t>Mongu</w:t>
            </w:r>
            <w:proofErr w:type="spellEnd"/>
          </w:p>
          <w:p w:rsidR="008B1D00" w:rsidRDefault="009B220F">
            <w:pPr>
              <w:spacing w:line="480" w:lineRule="auto"/>
              <w:jc w:val="center"/>
              <w:rPr>
                <w:sz w:val="22"/>
                <w:szCs w:val="22"/>
              </w:rPr>
            </w:pPr>
            <w:proofErr w:type="spellStart"/>
            <w:r>
              <w:rPr>
                <w:b w:val="0"/>
                <w:sz w:val="22"/>
                <w:szCs w:val="22"/>
              </w:rPr>
              <w:t>Harth</w:t>
            </w:r>
            <w:proofErr w:type="spellEnd"/>
            <w:r>
              <w:rPr>
                <w:b w:val="0"/>
                <w:sz w:val="22"/>
                <w:szCs w:val="22"/>
              </w:rPr>
              <w:t xml:space="preserve"> Forest</w:t>
            </w:r>
          </w:p>
          <w:p w:rsidR="008B1D00" w:rsidRDefault="009B220F">
            <w:pPr>
              <w:spacing w:line="480" w:lineRule="auto"/>
              <w:jc w:val="center"/>
              <w:rPr>
                <w:sz w:val="22"/>
                <w:szCs w:val="22"/>
              </w:rPr>
            </w:pPr>
            <w:proofErr w:type="spellStart"/>
            <w:r>
              <w:rPr>
                <w:b w:val="0"/>
                <w:sz w:val="22"/>
                <w:szCs w:val="22"/>
              </w:rPr>
              <w:t>Pshenichne</w:t>
            </w:r>
            <w:proofErr w:type="spellEnd"/>
          </w:p>
          <w:p w:rsidR="008B1D00" w:rsidRDefault="009B220F">
            <w:pPr>
              <w:spacing w:line="480" w:lineRule="auto"/>
              <w:jc w:val="center"/>
              <w:rPr>
                <w:sz w:val="22"/>
                <w:szCs w:val="22"/>
              </w:rPr>
            </w:pPr>
            <w:proofErr w:type="spellStart"/>
            <w:r>
              <w:rPr>
                <w:b w:val="0"/>
                <w:sz w:val="22"/>
                <w:szCs w:val="22"/>
              </w:rPr>
              <w:t>Merguellil</w:t>
            </w:r>
            <w:proofErr w:type="spellEnd"/>
          </w:p>
          <w:p w:rsidR="008B1D00" w:rsidRDefault="009B220F">
            <w:pPr>
              <w:spacing w:line="480" w:lineRule="auto"/>
              <w:jc w:val="center"/>
              <w:rPr>
                <w:sz w:val="22"/>
                <w:szCs w:val="22"/>
              </w:rPr>
            </w:pPr>
            <w:r>
              <w:rPr>
                <w:b w:val="0"/>
                <w:sz w:val="22"/>
                <w:szCs w:val="22"/>
              </w:rPr>
              <w:lastRenderedPageBreak/>
              <w:t>SouthWest_1</w:t>
            </w:r>
          </w:p>
          <w:p w:rsidR="008B1D00" w:rsidRDefault="009B220F">
            <w:pPr>
              <w:spacing w:line="480" w:lineRule="auto"/>
              <w:jc w:val="center"/>
              <w:rPr>
                <w:sz w:val="22"/>
                <w:szCs w:val="22"/>
              </w:rPr>
            </w:pPr>
            <w:r>
              <w:rPr>
                <w:b w:val="0"/>
                <w:sz w:val="22"/>
                <w:szCs w:val="22"/>
              </w:rPr>
              <w:t>SouthWest_2</w:t>
            </w:r>
          </w:p>
          <w:p w:rsidR="008B1D00" w:rsidRDefault="009B220F">
            <w:pPr>
              <w:spacing w:line="480" w:lineRule="auto"/>
              <w:jc w:val="center"/>
              <w:rPr>
                <w:sz w:val="22"/>
                <w:szCs w:val="22"/>
              </w:rPr>
            </w:pPr>
            <w:proofErr w:type="spellStart"/>
            <w:r>
              <w:rPr>
                <w:b w:val="0"/>
                <w:sz w:val="22"/>
                <w:szCs w:val="22"/>
              </w:rPr>
              <w:t>Barrax-LasTiesas</w:t>
            </w:r>
            <w:proofErr w:type="spellEnd"/>
          </w:p>
          <w:p w:rsidR="008B1D00" w:rsidRDefault="009B220F">
            <w:pPr>
              <w:spacing w:line="480" w:lineRule="auto"/>
              <w:jc w:val="center"/>
              <w:rPr>
                <w:sz w:val="22"/>
                <w:szCs w:val="22"/>
              </w:rPr>
            </w:pPr>
            <w:proofErr w:type="spellStart"/>
            <w:r>
              <w:rPr>
                <w:b w:val="0"/>
                <w:sz w:val="22"/>
                <w:szCs w:val="22"/>
              </w:rPr>
              <w:t>Albufera</w:t>
            </w:r>
            <w:proofErr w:type="spellEnd"/>
          </w:p>
          <w:p w:rsidR="008B1D00" w:rsidRDefault="009B220F">
            <w:pPr>
              <w:spacing w:line="480" w:lineRule="auto"/>
              <w:jc w:val="center"/>
              <w:rPr>
                <w:sz w:val="22"/>
                <w:szCs w:val="22"/>
              </w:rPr>
            </w:pPr>
            <w:r>
              <w:rPr>
                <w:b w:val="0"/>
                <w:sz w:val="22"/>
                <w:szCs w:val="22"/>
              </w:rPr>
              <w:t>Ottawa</w:t>
            </w:r>
          </w:p>
          <w:p w:rsidR="008B1D00" w:rsidRDefault="009B220F">
            <w:pPr>
              <w:spacing w:line="480" w:lineRule="auto"/>
              <w:jc w:val="center"/>
              <w:rPr>
                <w:sz w:val="22"/>
                <w:szCs w:val="22"/>
              </w:rPr>
            </w:pPr>
            <w:proofErr w:type="spellStart"/>
            <w:r>
              <w:rPr>
                <w:b w:val="0"/>
                <w:sz w:val="22"/>
                <w:szCs w:val="22"/>
              </w:rPr>
              <w:t>Collelongo</w:t>
            </w:r>
            <w:proofErr w:type="spellEnd"/>
          </w:p>
          <w:p w:rsidR="008B1D00" w:rsidRDefault="009B220F">
            <w:pPr>
              <w:spacing w:line="480" w:lineRule="auto"/>
              <w:jc w:val="center"/>
              <w:rPr>
                <w:sz w:val="22"/>
                <w:szCs w:val="22"/>
              </w:rPr>
            </w:pPr>
            <w:proofErr w:type="spellStart"/>
            <w:r>
              <w:rPr>
                <w:b w:val="0"/>
                <w:sz w:val="22"/>
                <w:szCs w:val="22"/>
              </w:rPr>
              <w:t>Capitanata</w:t>
            </w:r>
            <w:proofErr w:type="spellEnd"/>
          </w:p>
          <w:p w:rsidR="008B1D00" w:rsidRDefault="009B220F">
            <w:pPr>
              <w:spacing w:line="480" w:lineRule="auto"/>
              <w:jc w:val="center"/>
              <w:rPr>
                <w:sz w:val="22"/>
                <w:szCs w:val="22"/>
              </w:rPr>
            </w:pPr>
            <w:proofErr w:type="spellStart"/>
            <w:r>
              <w:rPr>
                <w:b w:val="0"/>
                <w:sz w:val="22"/>
                <w:szCs w:val="22"/>
              </w:rPr>
              <w:t>Wielkopolska</w:t>
            </w:r>
            <w:proofErr w:type="spellEnd"/>
          </w:p>
          <w:p w:rsidR="008B1D00" w:rsidRDefault="009B220F">
            <w:pPr>
              <w:spacing w:line="480" w:lineRule="auto"/>
              <w:jc w:val="center"/>
              <w:rPr>
                <w:sz w:val="22"/>
                <w:szCs w:val="22"/>
              </w:rPr>
            </w:pPr>
            <w:r>
              <w:rPr>
                <w:b w:val="0"/>
                <w:sz w:val="22"/>
                <w:szCs w:val="22"/>
              </w:rPr>
              <w:t>Moncada</w:t>
            </w:r>
          </w:p>
        </w:tc>
        <w:tc>
          <w:tcPr>
            <w:tcW w:w="2341" w:type="dxa"/>
          </w:tcPr>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lastRenderedPageBreak/>
              <w:t>42.53°N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39.07°N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44.41°N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15.32°N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62.64°N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58.30°N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36.99°S</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44.57°N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66.46°N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18.24°S</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45.80°N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15.41°N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15.82°N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15.90°N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39.58°N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15.44°S</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47.81°N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50.08°N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35.57°N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lastRenderedPageBreak/>
              <w:t>43.55°N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43.45°N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39.05°N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39.27°N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45.31°N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41.85°N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41.46°N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52.06°N</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39.52°N</w:t>
            </w:r>
          </w:p>
        </w:tc>
        <w:tc>
          <w:tcPr>
            <w:tcW w:w="2340" w:type="dxa"/>
          </w:tcPr>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lastRenderedPageBreak/>
              <w:t>72.17°W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2.10°W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26.58°E</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1.55°W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27.01°W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27.26°W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60.55°E</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1.04°W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25.35°E</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68.19°W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90.08°W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15.43°W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15.06°W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15.06°W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1.26°W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23.25°E</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7.45°E</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30.23°E</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9.91°E</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lastRenderedPageBreak/>
              <w:t>1.09°E</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1.15°E</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2.10°W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0.32°W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75.77°W</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13.59°E</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15.49°E</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16.80°E</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0.39°W</w:t>
            </w:r>
          </w:p>
        </w:tc>
        <w:tc>
          <w:tcPr>
            <w:tcW w:w="2340" w:type="dxa"/>
          </w:tcPr>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lastRenderedPageBreak/>
              <w:t>MF</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CRO</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CRO</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SHR</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NF</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MF</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CRO</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NF</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NF</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SHR</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MF</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SHR</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SHR</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SHR</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CRO</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SHR</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DBF</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CRO</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CRO</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lastRenderedPageBreak/>
              <w:t>CRO</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CRO</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CRO</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CRO</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CRO</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DBF</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CRO</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CRO</w:t>
            </w:r>
          </w:p>
          <w:p w:rsidR="008B1D00" w:rsidRDefault="009B220F">
            <w:pPr>
              <w:spacing w:line="480" w:lineRule="auto"/>
              <w:jc w:val="center"/>
              <w:cnfStyle w:val="000000100000" w:firstRow="0" w:lastRow="0" w:firstColumn="0" w:lastColumn="0" w:oddVBand="0" w:evenVBand="0" w:oddHBand="1" w:evenHBand="0" w:firstRowFirstColumn="0" w:firstRowLastColumn="0" w:lastRowFirstColumn="0" w:lastRowLastColumn="0"/>
              <w:rPr>
                <w:sz w:val="22"/>
                <w:szCs w:val="22"/>
              </w:rPr>
            </w:pPr>
            <w:r>
              <w:rPr>
                <w:sz w:val="22"/>
                <w:szCs w:val="22"/>
              </w:rPr>
              <w:t>CRO</w:t>
            </w:r>
          </w:p>
        </w:tc>
      </w:tr>
    </w:tbl>
    <w:p w:rsidR="008B1D00" w:rsidRDefault="008B1D00">
      <w:pPr>
        <w:spacing w:line="480" w:lineRule="auto"/>
        <w:rPr>
          <w:rFonts w:ascii="Times New Roman" w:eastAsia="Times New Roman" w:hAnsi="Times New Roman" w:cs="Times New Roman"/>
        </w:rPr>
      </w:pPr>
    </w:p>
    <w:p w:rsidR="008B1D00" w:rsidRDefault="009B220F">
      <w:pPr>
        <w:keepNext/>
        <w:keepLines/>
        <w:spacing w:after="0" w:line="480" w:lineRule="auto"/>
        <w:jc w:val="both"/>
        <w:rPr>
          <w:rFonts w:ascii="Times New Roman" w:eastAsia="Times New Roman" w:hAnsi="Times New Roman" w:cs="Times New Roman"/>
        </w:rPr>
      </w:pPr>
      <w:r>
        <w:rPr>
          <w:rFonts w:ascii="Times New Roman" w:eastAsia="Times New Roman" w:hAnsi="Times New Roman" w:cs="Times New Roman"/>
          <w:b/>
          <w:sz w:val="24"/>
          <w:szCs w:val="24"/>
        </w:rPr>
        <w:t>Table S3.</w:t>
      </w:r>
      <w:r>
        <w:rPr>
          <w:rFonts w:ascii="Times New Roman" w:eastAsia="Times New Roman" w:hAnsi="Times New Roman" w:cs="Times New Roman"/>
          <w:sz w:val="24"/>
          <w:szCs w:val="24"/>
        </w:rPr>
        <w:t xml:space="preserve"> Spatial correlations between SNU LAI trends and simulated LAI trends from 15 Earth system models during 1982–2021, quantified using Spearman ρ and Kendall τ. Reported P values indicate the statistical significance of the correlations.</w:t>
      </w:r>
    </w:p>
    <w:tbl>
      <w:tblPr>
        <w:tblStyle w:val="a7"/>
        <w:tblW w:w="934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875"/>
        <w:gridCol w:w="1845"/>
        <w:gridCol w:w="1890"/>
        <w:gridCol w:w="1875"/>
        <w:gridCol w:w="1860"/>
      </w:tblGrid>
      <w:tr w:rsidR="008B1D00">
        <w:trPr>
          <w:trHeight w:val="650"/>
        </w:trPr>
        <w:tc>
          <w:tcPr>
            <w:tcW w:w="1875" w:type="dxa"/>
            <w:tcBorders>
              <w:top w:val="single" w:sz="8" w:space="0" w:color="000000"/>
              <w:left w:val="nil"/>
              <w:bottom w:val="single" w:sz="8" w:space="0" w:color="000000"/>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Model</w:t>
            </w:r>
          </w:p>
        </w:tc>
        <w:tc>
          <w:tcPr>
            <w:tcW w:w="1845" w:type="dxa"/>
            <w:tcBorders>
              <w:top w:val="single" w:sz="8" w:space="0" w:color="000000"/>
              <w:left w:val="nil"/>
              <w:bottom w:val="single" w:sz="8" w:space="0" w:color="000000"/>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Spearman ρ</w:t>
            </w:r>
          </w:p>
        </w:tc>
        <w:tc>
          <w:tcPr>
            <w:tcW w:w="1890" w:type="dxa"/>
            <w:tcBorders>
              <w:top w:val="single" w:sz="8" w:space="0" w:color="000000"/>
              <w:left w:val="nil"/>
              <w:bottom w:val="single" w:sz="8" w:space="0" w:color="000000"/>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P value</w:t>
            </w:r>
          </w:p>
        </w:tc>
        <w:tc>
          <w:tcPr>
            <w:tcW w:w="1875" w:type="dxa"/>
            <w:tcBorders>
              <w:top w:val="single" w:sz="8" w:space="0" w:color="000000"/>
              <w:left w:val="nil"/>
              <w:bottom w:val="single" w:sz="8" w:space="0" w:color="000000"/>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sz w:val="20"/>
                <w:szCs w:val="20"/>
              </w:rPr>
            </w:pPr>
            <w:r>
              <w:rPr>
                <w:rFonts w:ascii="Times New Roman" w:eastAsia="Times New Roman" w:hAnsi="Times New Roman" w:cs="Times New Roman"/>
              </w:rPr>
              <w:t>Kendall τ</w:t>
            </w:r>
          </w:p>
        </w:tc>
        <w:tc>
          <w:tcPr>
            <w:tcW w:w="1860" w:type="dxa"/>
            <w:tcBorders>
              <w:top w:val="single" w:sz="8" w:space="0" w:color="000000"/>
              <w:left w:val="nil"/>
              <w:bottom w:val="single" w:sz="8" w:space="0" w:color="000000"/>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P value</w:t>
            </w:r>
          </w:p>
        </w:tc>
      </w:tr>
      <w:tr w:rsidR="008B1D00">
        <w:trPr>
          <w:trHeight w:val="650"/>
        </w:trPr>
        <w:tc>
          <w:tcPr>
            <w:tcW w:w="1875" w:type="dxa"/>
            <w:tcBorders>
              <w:top w:val="single" w:sz="8" w:space="0" w:color="000000"/>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'CABLE-POP'</w:t>
            </w:r>
          </w:p>
        </w:tc>
        <w:tc>
          <w:tcPr>
            <w:tcW w:w="1845" w:type="dxa"/>
            <w:tcBorders>
              <w:top w:val="single" w:sz="8" w:space="0" w:color="000000"/>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0.085</w:t>
            </w:r>
          </w:p>
        </w:tc>
        <w:tc>
          <w:tcPr>
            <w:tcW w:w="1890" w:type="dxa"/>
            <w:tcBorders>
              <w:top w:val="single" w:sz="8" w:space="0" w:color="000000"/>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single" w:sz="8" w:space="0" w:color="000000"/>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0.06</w:t>
            </w:r>
          </w:p>
        </w:tc>
        <w:tc>
          <w:tcPr>
            <w:tcW w:w="1860" w:type="dxa"/>
            <w:tcBorders>
              <w:top w:val="single" w:sz="8" w:space="0" w:color="000000"/>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r w:rsidR="008B1D00">
        <w:trPr>
          <w:trHeight w:val="650"/>
        </w:trPr>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'CLASSIC'</w:t>
            </w:r>
          </w:p>
        </w:tc>
        <w:tc>
          <w:tcPr>
            <w:tcW w:w="184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0.086</w:t>
            </w:r>
          </w:p>
        </w:tc>
        <w:tc>
          <w:tcPr>
            <w:tcW w:w="189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0.063</w:t>
            </w:r>
          </w:p>
        </w:tc>
        <w:tc>
          <w:tcPr>
            <w:tcW w:w="186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r w:rsidR="008B1D00">
        <w:trPr>
          <w:trHeight w:val="650"/>
        </w:trPr>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'CLM5.0'</w:t>
            </w:r>
          </w:p>
        </w:tc>
        <w:tc>
          <w:tcPr>
            <w:tcW w:w="184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0.151</w:t>
            </w:r>
          </w:p>
        </w:tc>
        <w:tc>
          <w:tcPr>
            <w:tcW w:w="189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0.104</w:t>
            </w:r>
          </w:p>
        </w:tc>
        <w:tc>
          <w:tcPr>
            <w:tcW w:w="186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r w:rsidR="008B1D00">
        <w:trPr>
          <w:trHeight w:val="650"/>
        </w:trPr>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'DLEM'</w:t>
            </w:r>
          </w:p>
        </w:tc>
        <w:tc>
          <w:tcPr>
            <w:tcW w:w="184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0.253</w:t>
            </w:r>
          </w:p>
        </w:tc>
        <w:tc>
          <w:tcPr>
            <w:tcW w:w="189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0.176</w:t>
            </w:r>
          </w:p>
        </w:tc>
        <w:tc>
          <w:tcPr>
            <w:tcW w:w="186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r w:rsidR="008B1D00">
        <w:trPr>
          <w:trHeight w:val="650"/>
        </w:trPr>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'IBIS'</w:t>
            </w:r>
          </w:p>
        </w:tc>
        <w:tc>
          <w:tcPr>
            <w:tcW w:w="184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0.147</w:t>
            </w:r>
          </w:p>
        </w:tc>
        <w:tc>
          <w:tcPr>
            <w:tcW w:w="189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0.098</w:t>
            </w:r>
          </w:p>
        </w:tc>
        <w:tc>
          <w:tcPr>
            <w:tcW w:w="186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r w:rsidR="008B1D00">
        <w:trPr>
          <w:trHeight w:val="650"/>
        </w:trPr>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'ISAM'</w:t>
            </w:r>
          </w:p>
        </w:tc>
        <w:tc>
          <w:tcPr>
            <w:tcW w:w="184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0.127</w:t>
            </w:r>
          </w:p>
        </w:tc>
        <w:tc>
          <w:tcPr>
            <w:tcW w:w="189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0.085</w:t>
            </w:r>
          </w:p>
        </w:tc>
        <w:tc>
          <w:tcPr>
            <w:tcW w:w="186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r w:rsidR="008B1D00">
        <w:trPr>
          <w:trHeight w:val="650"/>
        </w:trPr>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lastRenderedPageBreak/>
              <w:t>'ISBA-CTRIP'</w:t>
            </w:r>
          </w:p>
        </w:tc>
        <w:tc>
          <w:tcPr>
            <w:tcW w:w="184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0.238</w:t>
            </w:r>
          </w:p>
        </w:tc>
        <w:tc>
          <w:tcPr>
            <w:tcW w:w="189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0.163</w:t>
            </w:r>
          </w:p>
        </w:tc>
        <w:tc>
          <w:tcPr>
            <w:tcW w:w="186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r w:rsidR="008B1D00">
        <w:trPr>
          <w:trHeight w:val="650"/>
        </w:trPr>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'JSBACH'</w:t>
            </w:r>
          </w:p>
        </w:tc>
        <w:tc>
          <w:tcPr>
            <w:tcW w:w="184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0.236</w:t>
            </w:r>
          </w:p>
        </w:tc>
        <w:tc>
          <w:tcPr>
            <w:tcW w:w="189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0.161</w:t>
            </w:r>
          </w:p>
        </w:tc>
        <w:tc>
          <w:tcPr>
            <w:tcW w:w="186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r w:rsidR="008B1D00">
        <w:trPr>
          <w:trHeight w:val="650"/>
        </w:trPr>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'JULES'</w:t>
            </w:r>
          </w:p>
        </w:tc>
        <w:tc>
          <w:tcPr>
            <w:tcW w:w="184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0.125</w:t>
            </w:r>
          </w:p>
        </w:tc>
        <w:tc>
          <w:tcPr>
            <w:tcW w:w="189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0.087</w:t>
            </w:r>
          </w:p>
        </w:tc>
        <w:tc>
          <w:tcPr>
            <w:tcW w:w="186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r w:rsidR="008B1D00">
        <w:trPr>
          <w:trHeight w:val="650"/>
        </w:trPr>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'LPJ-GUESS'</w:t>
            </w:r>
          </w:p>
        </w:tc>
        <w:tc>
          <w:tcPr>
            <w:tcW w:w="184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0.202</w:t>
            </w:r>
          </w:p>
        </w:tc>
        <w:tc>
          <w:tcPr>
            <w:tcW w:w="189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0.137</w:t>
            </w:r>
          </w:p>
        </w:tc>
        <w:tc>
          <w:tcPr>
            <w:tcW w:w="186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r w:rsidR="008B1D00">
        <w:trPr>
          <w:trHeight w:val="650"/>
        </w:trPr>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'LPX-Bern'</w:t>
            </w:r>
          </w:p>
        </w:tc>
        <w:tc>
          <w:tcPr>
            <w:tcW w:w="184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0.159</w:t>
            </w:r>
          </w:p>
        </w:tc>
        <w:tc>
          <w:tcPr>
            <w:tcW w:w="189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0.109</w:t>
            </w:r>
          </w:p>
        </w:tc>
        <w:tc>
          <w:tcPr>
            <w:tcW w:w="186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r w:rsidR="008B1D00">
        <w:trPr>
          <w:trHeight w:val="650"/>
        </w:trPr>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'OCN'</w:t>
            </w:r>
          </w:p>
        </w:tc>
        <w:tc>
          <w:tcPr>
            <w:tcW w:w="184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0.242</w:t>
            </w:r>
          </w:p>
        </w:tc>
        <w:tc>
          <w:tcPr>
            <w:tcW w:w="189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0.165</w:t>
            </w:r>
          </w:p>
        </w:tc>
        <w:tc>
          <w:tcPr>
            <w:tcW w:w="186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r w:rsidR="008B1D00">
        <w:trPr>
          <w:trHeight w:val="650"/>
        </w:trPr>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'ORCHIDEE'</w:t>
            </w:r>
          </w:p>
        </w:tc>
        <w:tc>
          <w:tcPr>
            <w:tcW w:w="184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0.248</w:t>
            </w:r>
          </w:p>
        </w:tc>
        <w:tc>
          <w:tcPr>
            <w:tcW w:w="189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0.176</w:t>
            </w:r>
          </w:p>
        </w:tc>
        <w:tc>
          <w:tcPr>
            <w:tcW w:w="186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r w:rsidR="008B1D00">
        <w:trPr>
          <w:trHeight w:val="650"/>
        </w:trPr>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'SDGVM'</w:t>
            </w:r>
          </w:p>
        </w:tc>
        <w:tc>
          <w:tcPr>
            <w:tcW w:w="184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0.21</w:t>
            </w:r>
          </w:p>
        </w:tc>
        <w:tc>
          <w:tcPr>
            <w:tcW w:w="189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0.143</w:t>
            </w:r>
          </w:p>
        </w:tc>
        <w:tc>
          <w:tcPr>
            <w:tcW w:w="1860" w:type="dxa"/>
            <w:tcBorders>
              <w:top w:val="nil"/>
              <w:left w:val="nil"/>
              <w:bottom w:val="nil"/>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r w:rsidR="008B1D00">
        <w:trPr>
          <w:trHeight w:val="650"/>
        </w:trPr>
        <w:tc>
          <w:tcPr>
            <w:tcW w:w="1875" w:type="dxa"/>
            <w:tcBorders>
              <w:top w:val="nil"/>
              <w:left w:val="nil"/>
              <w:bottom w:val="single" w:sz="8" w:space="0" w:color="000000"/>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'VISIT'</w:t>
            </w:r>
          </w:p>
        </w:tc>
        <w:tc>
          <w:tcPr>
            <w:tcW w:w="1845" w:type="dxa"/>
            <w:tcBorders>
              <w:top w:val="nil"/>
              <w:left w:val="nil"/>
              <w:bottom w:val="single" w:sz="8" w:space="0" w:color="000000"/>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0.107</w:t>
            </w:r>
          </w:p>
        </w:tc>
        <w:tc>
          <w:tcPr>
            <w:tcW w:w="1890" w:type="dxa"/>
            <w:tcBorders>
              <w:top w:val="nil"/>
              <w:left w:val="nil"/>
              <w:bottom w:val="single" w:sz="8" w:space="0" w:color="000000"/>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c>
          <w:tcPr>
            <w:tcW w:w="1875" w:type="dxa"/>
            <w:tcBorders>
              <w:top w:val="nil"/>
              <w:left w:val="nil"/>
              <w:bottom w:val="single" w:sz="8" w:space="0" w:color="000000"/>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0.073</w:t>
            </w:r>
          </w:p>
        </w:tc>
        <w:tc>
          <w:tcPr>
            <w:tcW w:w="1860" w:type="dxa"/>
            <w:tcBorders>
              <w:top w:val="nil"/>
              <w:left w:val="nil"/>
              <w:bottom w:val="single" w:sz="8" w:space="0" w:color="000000"/>
              <w:right w:val="nil"/>
            </w:tcBorders>
            <w:tcMar>
              <w:top w:w="100" w:type="dxa"/>
              <w:left w:w="100" w:type="dxa"/>
              <w:bottom w:w="100" w:type="dxa"/>
              <w:right w:w="100" w:type="dxa"/>
            </w:tcMar>
          </w:tcPr>
          <w:p w:rsidR="008B1D00" w:rsidRDefault="009B220F">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&lt; 0.001</w:t>
            </w:r>
          </w:p>
        </w:tc>
      </w:tr>
    </w:tbl>
    <w:p w:rsidR="008B1D00" w:rsidRDefault="008B1D00">
      <w:pPr>
        <w:spacing w:line="480" w:lineRule="auto"/>
        <w:rPr>
          <w:rFonts w:ascii="Times New Roman" w:eastAsia="Times New Roman" w:hAnsi="Times New Roman" w:cs="Times New Roman"/>
        </w:rPr>
      </w:pPr>
    </w:p>
    <w:p w:rsidR="008B1D00" w:rsidRDefault="008B1D00">
      <w:pPr>
        <w:spacing w:line="480" w:lineRule="auto"/>
        <w:rPr>
          <w:rFonts w:ascii="Times New Roman" w:eastAsia="Times New Roman" w:hAnsi="Times New Roman" w:cs="Times New Roman"/>
        </w:rPr>
      </w:pPr>
    </w:p>
    <w:p w:rsidR="008B1D00" w:rsidRDefault="009B220F">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w:t>
      </w:r>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76">
        <w:r w:rsidR="009B220F" w:rsidRPr="006272BE">
          <w:rPr>
            <w:rFonts w:ascii="Times New Roman" w:hAnsi="Times New Roman" w:cs="Times New Roman"/>
          </w:rPr>
          <w:t>1.</w:t>
        </w:r>
      </w:hyperlink>
      <w:r w:rsidR="009B220F" w:rsidRPr="006272BE">
        <w:rPr>
          <w:rFonts w:ascii="Times New Roman" w:eastAsia="Times New Roman" w:hAnsi="Times New Roman" w:cs="Times New Roman"/>
        </w:rPr>
        <w:tab/>
      </w:r>
      <w:hyperlink r:id="rId77">
        <w:r w:rsidR="009B220F" w:rsidRPr="006272BE">
          <w:rPr>
            <w:rFonts w:ascii="Times New Roman" w:hAnsi="Times New Roman" w:cs="Times New Roman"/>
          </w:rPr>
          <w:t xml:space="preserve">Jiang, C. </w:t>
        </w:r>
      </w:hyperlink>
      <w:hyperlink r:id="rId78">
        <w:r w:rsidR="009B220F" w:rsidRPr="006272BE">
          <w:rPr>
            <w:rFonts w:ascii="Times New Roman" w:hAnsi="Times New Roman" w:cs="Times New Roman"/>
            <w:i/>
          </w:rPr>
          <w:t>et al.</w:t>
        </w:r>
      </w:hyperlink>
      <w:hyperlink r:id="rId79">
        <w:r w:rsidR="009B220F" w:rsidRPr="006272BE">
          <w:rPr>
            <w:rFonts w:ascii="Times New Roman" w:hAnsi="Times New Roman" w:cs="Times New Roman"/>
          </w:rPr>
          <w:t xml:space="preserve"> Inconsistencies of interannual variability and trends in long‐term satellite leaf area index products. </w:t>
        </w:r>
      </w:hyperlink>
      <w:hyperlink r:id="rId80">
        <w:r w:rsidR="009B220F" w:rsidRPr="006272BE">
          <w:rPr>
            <w:rFonts w:ascii="Times New Roman" w:hAnsi="Times New Roman" w:cs="Times New Roman"/>
            <w:i/>
          </w:rPr>
          <w:t xml:space="preserve">Glob. Change Biol. </w:t>
        </w:r>
      </w:hyperlink>
      <w:hyperlink r:id="rId81">
        <w:r w:rsidR="009B220F" w:rsidRPr="006272BE">
          <w:rPr>
            <w:rFonts w:ascii="Times New Roman" w:hAnsi="Times New Roman" w:cs="Times New Roman"/>
            <w:b/>
          </w:rPr>
          <w:t>23</w:t>
        </w:r>
      </w:hyperlink>
      <w:hyperlink r:id="rId82">
        <w:r w:rsidR="009B220F" w:rsidRPr="006272BE">
          <w:rPr>
            <w:rFonts w:ascii="Times New Roman" w:hAnsi="Times New Roman" w:cs="Times New Roman"/>
          </w:rPr>
          <w:t xml:space="preserve">, 4133–4146 (2017).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83">
        <w:r w:rsidR="009B220F" w:rsidRPr="006272BE">
          <w:rPr>
            <w:rFonts w:ascii="Times New Roman" w:hAnsi="Times New Roman" w:cs="Times New Roman"/>
          </w:rPr>
          <w:t>2.</w:t>
        </w:r>
      </w:hyperlink>
      <w:r w:rsidR="009B220F" w:rsidRPr="006272BE">
        <w:rPr>
          <w:rFonts w:ascii="Times New Roman" w:eastAsia="Times New Roman" w:hAnsi="Times New Roman" w:cs="Times New Roman"/>
        </w:rPr>
        <w:tab/>
      </w:r>
      <w:hyperlink r:id="rId84">
        <w:r w:rsidR="009B220F" w:rsidRPr="006272BE">
          <w:rPr>
            <w:rFonts w:ascii="Times New Roman" w:hAnsi="Times New Roman" w:cs="Times New Roman"/>
          </w:rPr>
          <w:t xml:space="preserve">Garrigues, S. </w:t>
        </w:r>
      </w:hyperlink>
      <w:hyperlink r:id="rId85">
        <w:r w:rsidR="009B220F" w:rsidRPr="006272BE">
          <w:rPr>
            <w:rFonts w:ascii="Times New Roman" w:hAnsi="Times New Roman" w:cs="Times New Roman"/>
            <w:i/>
          </w:rPr>
          <w:t>et al.</w:t>
        </w:r>
      </w:hyperlink>
      <w:hyperlink r:id="rId86">
        <w:r w:rsidR="009B220F" w:rsidRPr="006272BE">
          <w:rPr>
            <w:rFonts w:ascii="Times New Roman" w:hAnsi="Times New Roman" w:cs="Times New Roman"/>
          </w:rPr>
          <w:t xml:space="preserve"> Validation and intercomparison of global Leaf Area Index products derived from remote sensing data. </w:t>
        </w:r>
      </w:hyperlink>
      <w:hyperlink r:id="rId87">
        <w:r w:rsidR="009B220F" w:rsidRPr="006272BE">
          <w:rPr>
            <w:rFonts w:ascii="Times New Roman" w:hAnsi="Times New Roman" w:cs="Times New Roman"/>
            <w:i/>
          </w:rPr>
          <w:t xml:space="preserve">J. Geophys. Res. Biogeosciences </w:t>
        </w:r>
      </w:hyperlink>
      <w:hyperlink r:id="rId88">
        <w:r w:rsidR="009B220F" w:rsidRPr="006272BE">
          <w:rPr>
            <w:rFonts w:ascii="Times New Roman" w:hAnsi="Times New Roman" w:cs="Times New Roman"/>
            <w:b/>
          </w:rPr>
          <w:t>113</w:t>
        </w:r>
      </w:hyperlink>
      <w:hyperlink r:id="rId89">
        <w:r w:rsidR="009B220F" w:rsidRPr="006272BE">
          <w:rPr>
            <w:rFonts w:ascii="Times New Roman" w:hAnsi="Times New Roman" w:cs="Times New Roman"/>
          </w:rPr>
          <w:t xml:space="preserve">, 2007JG000635 (2008).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90">
        <w:r w:rsidR="009B220F" w:rsidRPr="006272BE">
          <w:rPr>
            <w:rFonts w:ascii="Times New Roman" w:hAnsi="Times New Roman" w:cs="Times New Roman"/>
          </w:rPr>
          <w:t>3.</w:t>
        </w:r>
      </w:hyperlink>
      <w:r w:rsidR="009B220F" w:rsidRPr="006272BE">
        <w:rPr>
          <w:rFonts w:ascii="Times New Roman" w:eastAsia="Times New Roman" w:hAnsi="Times New Roman" w:cs="Times New Roman"/>
        </w:rPr>
        <w:tab/>
      </w:r>
      <w:hyperlink r:id="rId91">
        <w:r w:rsidR="009B220F" w:rsidRPr="006272BE">
          <w:rPr>
            <w:rFonts w:ascii="Times New Roman" w:hAnsi="Times New Roman" w:cs="Times New Roman"/>
          </w:rPr>
          <w:t xml:space="preserve">Xiao, Z., Liang, S. &amp; Jiang, B. Evaluation of four long time-series global leaf area index products. </w:t>
        </w:r>
      </w:hyperlink>
      <w:hyperlink r:id="rId92">
        <w:r w:rsidR="009B220F" w:rsidRPr="006272BE">
          <w:rPr>
            <w:rFonts w:ascii="Times New Roman" w:hAnsi="Times New Roman" w:cs="Times New Roman"/>
            <w:i/>
          </w:rPr>
          <w:t xml:space="preserve">Agric. For. Meteorol. </w:t>
        </w:r>
      </w:hyperlink>
      <w:hyperlink r:id="rId93">
        <w:r w:rsidR="009B220F" w:rsidRPr="006272BE">
          <w:rPr>
            <w:rFonts w:ascii="Times New Roman" w:hAnsi="Times New Roman" w:cs="Times New Roman"/>
            <w:b/>
          </w:rPr>
          <w:t>246</w:t>
        </w:r>
      </w:hyperlink>
      <w:hyperlink r:id="rId94">
        <w:r w:rsidR="009B220F" w:rsidRPr="006272BE">
          <w:rPr>
            <w:rFonts w:ascii="Times New Roman" w:hAnsi="Times New Roman" w:cs="Times New Roman"/>
          </w:rPr>
          <w:t xml:space="preserve">, 218–230 (2017).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95">
        <w:r w:rsidR="009B220F" w:rsidRPr="006272BE">
          <w:rPr>
            <w:rFonts w:ascii="Times New Roman" w:hAnsi="Times New Roman" w:cs="Times New Roman"/>
          </w:rPr>
          <w:t>4.</w:t>
        </w:r>
      </w:hyperlink>
      <w:r w:rsidR="009B220F" w:rsidRPr="006272BE">
        <w:rPr>
          <w:rFonts w:ascii="Times New Roman" w:eastAsia="Times New Roman" w:hAnsi="Times New Roman" w:cs="Times New Roman"/>
        </w:rPr>
        <w:tab/>
      </w:r>
      <w:hyperlink r:id="rId96">
        <w:r w:rsidR="009B220F" w:rsidRPr="006272BE">
          <w:rPr>
            <w:rFonts w:ascii="Times New Roman" w:hAnsi="Times New Roman" w:cs="Times New Roman"/>
          </w:rPr>
          <w:t>Doughty, C. E. &amp; Goulden, M. L. Seasonal patterns of tropical forest leaf area index and CO</w:t>
        </w:r>
      </w:hyperlink>
      <w:hyperlink r:id="rId97">
        <w:r w:rsidR="009B220F" w:rsidRPr="006272BE">
          <w:rPr>
            <w:rFonts w:ascii="Times New Roman" w:hAnsi="Times New Roman" w:cs="Times New Roman"/>
            <w:vertAlign w:val="subscript"/>
          </w:rPr>
          <w:t>2</w:t>
        </w:r>
      </w:hyperlink>
      <w:hyperlink r:id="rId98">
        <w:r w:rsidR="009B220F" w:rsidRPr="006272BE">
          <w:rPr>
            <w:rFonts w:ascii="Times New Roman" w:hAnsi="Times New Roman" w:cs="Times New Roman"/>
          </w:rPr>
          <w:t xml:space="preserve"> exchange. </w:t>
        </w:r>
      </w:hyperlink>
      <w:hyperlink r:id="rId99">
        <w:r w:rsidR="009B220F" w:rsidRPr="006272BE">
          <w:rPr>
            <w:rFonts w:ascii="Times New Roman" w:hAnsi="Times New Roman" w:cs="Times New Roman"/>
            <w:i/>
          </w:rPr>
          <w:t xml:space="preserve">J. Geophys. Res. Biogeosciences </w:t>
        </w:r>
      </w:hyperlink>
      <w:hyperlink r:id="rId100">
        <w:r w:rsidR="009B220F" w:rsidRPr="006272BE">
          <w:rPr>
            <w:rFonts w:ascii="Times New Roman" w:hAnsi="Times New Roman" w:cs="Times New Roman"/>
            <w:b/>
          </w:rPr>
          <w:t>113</w:t>
        </w:r>
      </w:hyperlink>
      <w:hyperlink r:id="rId101">
        <w:r w:rsidR="009B220F" w:rsidRPr="006272BE">
          <w:rPr>
            <w:rFonts w:ascii="Times New Roman" w:hAnsi="Times New Roman" w:cs="Times New Roman"/>
          </w:rPr>
          <w:t xml:space="preserve">, 2007JG000590 (2008).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02">
        <w:r w:rsidR="009B220F" w:rsidRPr="006272BE">
          <w:rPr>
            <w:rFonts w:ascii="Times New Roman" w:hAnsi="Times New Roman" w:cs="Times New Roman"/>
          </w:rPr>
          <w:t>5.</w:t>
        </w:r>
      </w:hyperlink>
      <w:r w:rsidR="009B220F" w:rsidRPr="006272BE">
        <w:rPr>
          <w:rFonts w:ascii="Times New Roman" w:eastAsia="Times New Roman" w:hAnsi="Times New Roman" w:cs="Times New Roman"/>
        </w:rPr>
        <w:tab/>
      </w:r>
      <w:hyperlink r:id="rId103">
        <w:r w:rsidR="009B220F" w:rsidRPr="006272BE">
          <w:rPr>
            <w:rFonts w:ascii="Times New Roman" w:hAnsi="Times New Roman" w:cs="Times New Roman"/>
          </w:rPr>
          <w:t xml:space="preserve">Galvão, L. S. </w:t>
        </w:r>
      </w:hyperlink>
      <w:hyperlink r:id="rId104">
        <w:r w:rsidR="009B220F" w:rsidRPr="006272BE">
          <w:rPr>
            <w:rFonts w:ascii="Times New Roman" w:hAnsi="Times New Roman" w:cs="Times New Roman"/>
            <w:i/>
          </w:rPr>
          <w:t>et al.</w:t>
        </w:r>
      </w:hyperlink>
      <w:hyperlink r:id="rId105">
        <w:r w:rsidR="009B220F" w:rsidRPr="006272BE">
          <w:rPr>
            <w:rFonts w:ascii="Times New Roman" w:hAnsi="Times New Roman" w:cs="Times New Roman"/>
          </w:rPr>
          <w:t xml:space="preserve"> On intra-annual EVI variability in the dry season of tropical forest: A case study with MODIS and hyperspectral data. </w:t>
        </w:r>
      </w:hyperlink>
      <w:hyperlink r:id="rId106">
        <w:r w:rsidR="009B220F" w:rsidRPr="006272BE">
          <w:rPr>
            <w:rFonts w:ascii="Times New Roman" w:hAnsi="Times New Roman" w:cs="Times New Roman"/>
            <w:i/>
          </w:rPr>
          <w:t xml:space="preserve">Remote Sens. Environ. </w:t>
        </w:r>
      </w:hyperlink>
      <w:hyperlink r:id="rId107">
        <w:r w:rsidR="009B220F" w:rsidRPr="006272BE">
          <w:rPr>
            <w:rFonts w:ascii="Times New Roman" w:hAnsi="Times New Roman" w:cs="Times New Roman"/>
            <w:b/>
          </w:rPr>
          <w:t>115</w:t>
        </w:r>
      </w:hyperlink>
      <w:hyperlink r:id="rId108">
        <w:r w:rsidR="009B220F" w:rsidRPr="006272BE">
          <w:rPr>
            <w:rFonts w:ascii="Times New Roman" w:hAnsi="Times New Roman" w:cs="Times New Roman"/>
          </w:rPr>
          <w:t xml:space="preserve">, 2350–2359 (2011).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09">
        <w:r w:rsidR="009B220F" w:rsidRPr="006272BE">
          <w:rPr>
            <w:rFonts w:ascii="Times New Roman" w:hAnsi="Times New Roman" w:cs="Times New Roman"/>
          </w:rPr>
          <w:t>6.</w:t>
        </w:r>
      </w:hyperlink>
      <w:r w:rsidR="009B220F" w:rsidRPr="006272BE">
        <w:rPr>
          <w:rFonts w:ascii="Times New Roman" w:eastAsia="Times New Roman" w:hAnsi="Times New Roman" w:cs="Times New Roman"/>
        </w:rPr>
        <w:tab/>
      </w:r>
      <w:hyperlink r:id="rId110">
        <w:r w:rsidR="009B220F" w:rsidRPr="006272BE">
          <w:rPr>
            <w:rFonts w:ascii="Times New Roman" w:hAnsi="Times New Roman" w:cs="Times New Roman"/>
          </w:rPr>
          <w:t xml:space="preserve">Wu, J. </w:t>
        </w:r>
      </w:hyperlink>
      <w:hyperlink r:id="rId111">
        <w:r w:rsidR="009B220F" w:rsidRPr="006272BE">
          <w:rPr>
            <w:rFonts w:ascii="Times New Roman" w:hAnsi="Times New Roman" w:cs="Times New Roman"/>
            <w:i/>
          </w:rPr>
          <w:t>et al.</w:t>
        </w:r>
      </w:hyperlink>
      <w:hyperlink r:id="rId112">
        <w:r w:rsidR="009B220F" w:rsidRPr="006272BE">
          <w:rPr>
            <w:rFonts w:ascii="Times New Roman" w:hAnsi="Times New Roman" w:cs="Times New Roman"/>
          </w:rPr>
          <w:t xml:space="preserve"> Biological processes dominate seasonality of remotely sensed canopy greenness in an Amazon evergreen forest. </w:t>
        </w:r>
      </w:hyperlink>
      <w:hyperlink r:id="rId113">
        <w:r w:rsidR="009B220F" w:rsidRPr="006272BE">
          <w:rPr>
            <w:rFonts w:ascii="Times New Roman" w:hAnsi="Times New Roman" w:cs="Times New Roman"/>
            <w:i/>
          </w:rPr>
          <w:t xml:space="preserve">New Phytol. </w:t>
        </w:r>
      </w:hyperlink>
      <w:hyperlink r:id="rId114">
        <w:r w:rsidR="009B220F" w:rsidRPr="006272BE">
          <w:rPr>
            <w:rFonts w:ascii="Times New Roman" w:hAnsi="Times New Roman" w:cs="Times New Roman"/>
            <w:b/>
          </w:rPr>
          <w:t>217</w:t>
        </w:r>
      </w:hyperlink>
      <w:hyperlink r:id="rId115">
        <w:r w:rsidR="009B220F" w:rsidRPr="006272BE">
          <w:rPr>
            <w:rFonts w:ascii="Times New Roman" w:hAnsi="Times New Roman" w:cs="Times New Roman"/>
          </w:rPr>
          <w:t xml:space="preserve">, 1507–1520 (2018).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16">
        <w:r w:rsidR="009B220F" w:rsidRPr="006272BE">
          <w:rPr>
            <w:rFonts w:ascii="Times New Roman" w:hAnsi="Times New Roman" w:cs="Times New Roman"/>
          </w:rPr>
          <w:t>7.</w:t>
        </w:r>
      </w:hyperlink>
      <w:r w:rsidR="009B220F" w:rsidRPr="006272BE">
        <w:rPr>
          <w:rFonts w:ascii="Times New Roman" w:eastAsia="Times New Roman" w:hAnsi="Times New Roman" w:cs="Times New Roman"/>
        </w:rPr>
        <w:tab/>
      </w:r>
      <w:hyperlink r:id="rId117">
        <w:r w:rsidR="009B220F" w:rsidRPr="006272BE">
          <w:rPr>
            <w:rFonts w:ascii="Times New Roman" w:hAnsi="Times New Roman" w:cs="Times New Roman"/>
          </w:rPr>
          <w:t xml:space="preserve">Giglio, L. &amp; Roy, D. P. On the outstanding need for a long-term, multi-decadal, validated and quality assessed record of global burned area: Caution in the use of Advanced Very </w:t>
        </w:r>
        <w:proofErr w:type="gramStart"/>
        <w:r w:rsidR="009B220F" w:rsidRPr="006272BE">
          <w:rPr>
            <w:rFonts w:ascii="Times New Roman" w:hAnsi="Times New Roman" w:cs="Times New Roman"/>
          </w:rPr>
          <w:t>High Resolution</w:t>
        </w:r>
        <w:proofErr w:type="gramEnd"/>
        <w:r w:rsidR="009B220F" w:rsidRPr="006272BE">
          <w:rPr>
            <w:rFonts w:ascii="Times New Roman" w:hAnsi="Times New Roman" w:cs="Times New Roman"/>
          </w:rPr>
          <w:t xml:space="preserve"> Radiometer data. </w:t>
        </w:r>
      </w:hyperlink>
      <w:hyperlink r:id="rId118">
        <w:r w:rsidR="009B220F" w:rsidRPr="006272BE">
          <w:rPr>
            <w:rFonts w:ascii="Times New Roman" w:hAnsi="Times New Roman" w:cs="Times New Roman"/>
            <w:i/>
          </w:rPr>
          <w:t xml:space="preserve">Sci. Remote Sens. </w:t>
        </w:r>
      </w:hyperlink>
      <w:hyperlink r:id="rId119">
        <w:r w:rsidR="009B220F" w:rsidRPr="006272BE">
          <w:rPr>
            <w:rFonts w:ascii="Times New Roman" w:hAnsi="Times New Roman" w:cs="Times New Roman"/>
            <w:b/>
          </w:rPr>
          <w:t>2</w:t>
        </w:r>
      </w:hyperlink>
      <w:hyperlink r:id="rId120">
        <w:r w:rsidR="009B220F" w:rsidRPr="006272BE">
          <w:rPr>
            <w:rFonts w:ascii="Times New Roman" w:hAnsi="Times New Roman" w:cs="Times New Roman"/>
          </w:rPr>
          <w:t xml:space="preserve">, 100007 (2020).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21">
        <w:r w:rsidR="009B220F" w:rsidRPr="006272BE">
          <w:rPr>
            <w:rFonts w:ascii="Times New Roman" w:hAnsi="Times New Roman" w:cs="Times New Roman"/>
          </w:rPr>
          <w:t>8.</w:t>
        </w:r>
      </w:hyperlink>
      <w:r w:rsidR="009B220F" w:rsidRPr="006272BE">
        <w:rPr>
          <w:rFonts w:ascii="Times New Roman" w:eastAsia="Times New Roman" w:hAnsi="Times New Roman" w:cs="Times New Roman"/>
        </w:rPr>
        <w:tab/>
      </w:r>
      <w:hyperlink r:id="rId122">
        <w:r w:rsidR="009B220F" w:rsidRPr="006272BE">
          <w:rPr>
            <w:rFonts w:ascii="Times New Roman" w:hAnsi="Times New Roman" w:cs="Times New Roman"/>
          </w:rPr>
          <w:t>Frankenberg, C., Yin, Y., Byrne, B., He, L. &amp; Gentine, P. Comment on “Recent global decline of CO</w:t>
        </w:r>
      </w:hyperlink>
      <w:hyperlink r:id="rId123">
        <w:r w:rsidR="009B220F" w:rsidRPr="006272BE">
          <w:rPr>
            <w:rFonts w:ascii="Times New Roman" w:hAnsi="Times New Roman" w:cs="Times New Roman"/>
            <w:vertAlign w:val="subscript"/>
          </w:rPr>
          <w:t>2</w:t>
        </w:r>
      </w:hyperlink>
      <w:hyperlink r:id="rId124">
        <w:r w:rsidR="009B220F" w:rsidRPr="006272BE">
          <w:rPr>
            <w:rFonts w:ascii="Times New Roman" w:hAnsi="Times New Roman" w:cs="Times New Roman"/>
          </w:rPr>
          <w:t xml:space="preserve"> fertilization effects on vegetation photosynthesis”. </w:t>
        </w:r>
      </w:hyperlink>
      <w:hyperlink r:id="rId125">
        <w:r w:rsidR="009B220F" w:rsidRPr="006272BE">
          <w:rPr>
            <w:rFonts w:ascii="Times New Roman" w:hAnsi="Times New Roman" w:cs="Times New Roman"/>
            <w:i/>
          </w:rPr>
          <w:t xml:space="preserve">Science </w:t>
        </w:r>
      </w:hyperlink>
      <w:hyperlink r:id="rId126">
        <w:r w:rsidR="009B220F" w:rsidRPr="006272BE">
          <w:rPr>
            <w:rFonts w:ascii="Times New Roman" w:hAnsi="Times New Roman" w:cs="Times New Roman"/>
            <w:b/>
          </w:rPr>
          <w:t>373</w:t>
        </w:r>
      </w:hyperlink>
      <w:hyperlink r:id="rId127">
        <w:r w:rsidR="009B220F" w:rsidRPr="006272BE">
          <w:rPr>
            <w:rFonts w:ascii="Times New Roman" w:hAnsi="Times New Roman" w:cs="Times New Roman"/>
          </w:rPr>
          <w:t xml:space="preserve">, eabg2947 (2021).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28">
        <w:r w:rsidR="009B220F" w:rsidRPr="006272BE">
          <w:rPr>
            <w:rFonts w:ascii="Times New Roman" w:hAnsi="Times New Roman" w:cs="Times New Roman"/>
          </w:rPr>
          <w:t>9.</w:t>
        </w:r>
      </w:hyperlink>
      <w:r w:rsidR="009B220F" w:rsidRPr="006272BE">
        <w:rPr>
          <w:rFonts w:ascii="Times New Roman" w:eastAsia="Times New Roman" w:hAnsi="Times New Roman" w:cs="Times New Roman"/>
        </w:rPr>
        <w:tab/>
      </w:r>
      <w:hyperlink r:id="rId129">
        <w:r w:rsidR="009B220F" w:rsidRPr="006272BE">
          <w:rPr>
            <w:rFonts w:ascii="Times New Roman" w:hAnsi="Times New Roman" w:cs="Times New Roman"/>
          </w:rPr>
          <w:t xml:space="preserve">Jeong, S. </w:t>
        </w:r>
      </w:hyperlink>
      <w:hyperlink r:id="rId130">
        <w:r w:rsidR="009B220F" w:rsidRPr="006272BE">
          <w:rPr>
            <w:rFonts w:ascii="Times New Roman" w:hAnsi="Times New Roman" w:cs="Times New Roman"/>
            <w:i/>
          </w:rPr>
          <w:t>et al.</w:t>
        </w:r>
      </w:hyperlink>
      <w:hyperlink r:id="rId131">
        <w:r w:rsidR="009B220F" w:rsidRPr="006272BE">
          <w:rPr>
            <w:rFonts w:ascii="Times New Roman" w:hAnsi="Times New Roman" w:cs="Times New Roman"/>
          </w:rPr>
          <w:t xml:space="preserve"> Persistent global greening over the last four decades using novel long-term vegetation index data with enhanced temporal consistency. </w:t>
        </w:r>
      </w:hyperlink>
      <w:hyperlink r:id="rId132">
        <w:r w:rsidR="009B220F" w:rsidRPr="006272BE">
          <w:rPr>
            <w:rFonts w:ascii="Times New Roman" w:hAnsi="Times New Roman" w:cs="Times New Roman"/>
            <w:i/>
          </w:rPr>
          <w:t xml:space="preserve">Remote Sens. Environ. </w:t>
        </w:r>
      </w:hyperlink>
      <w:hyperlink r:id="rId133">
        <w:r w:rsidR="009B220F" w:rsidRPr="006272BE">
          <w:rPr>
            <w:rFonts w:ascii="Times New Roman" w:hAnsi="Times New Roman" w:cs="Times New Roman"/>
            <w:b/>
          </w:rPr>
          <w:t>311</w:t>
        </w:r>
      </w:hyperlink>
      <w:hyperlink r:id="rId134">
        <w:r w:rsidR="009B220F" w:rsidRPr="006272BE">
          <w:rPr>
            <w:rFonts w:ascii="Times New Roman" w:hAnsi="Times New Roman" w:cs="Times New Roman"/>
          </w:rPr>
          <w:t xml:space="preserve">, 114282 (2024).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35">
        <w:r w:rsidR="009B220F" w:rsidRPr="006272BE">
          <w:rPr>
            <w:rFonts w:ascii="Times New Roman" w:hAnsi="Times New Roman" w:cs="Times New Roman"/>
          </w:rPr>
          <w:t>10.</w:t>
        </w:r>
      </w:hyperlink>
      <w:r w:rsidR="009B220F" w:rsidRPr="006272BE">
        <w:rPr>
          <w:rFonts w:ascii="Times New Roman" w:eastAsia="Times New Roman" w:hAnsi="Times New Roman" w:cs="Times New Roman"/>
        </w:rPr>
        <w:tab/>
      </w:r>
      <w:hyperlink r:id="rId136">
        <w:r w:rsidR="009B220F" w:rsidRPr="006272BE">
          <w:rPr>
            <w:rFonts w:ascii="Times New Roman" w:hAnsi="Times New Roman" w:cs="Times New Roman"/>
          </w:rPr>
          <w:t xml:space="preserve">Cao, S. </w:t>
        </w:r>
      </w:hyperlink>
      <w:hyperlink r:id="rId137">
        <w:r w:rsidR="009B220F" w:rsidRPr="006272BE">
          <w:rPr>
            <w:rFonts w:ascii="Times New Roman" w:hAnsi="Times New Roman" w:cs="Times New Roman"/>
            <w:i/>
          </w:rPr>
          <w:t>et al.</w:t>
        </w:r>
      </w:hyperlink>
      <w:hyperlink r:id="rId138">
        <w:r w:rsidR="009B220F" w:rsidRPr="006272BE">
          <w:rPr>
            <w:rFonts w:ascii="Times New Roman" w:hAnsi="Times New Roman" w:cs="Times New Roman"/>
          </w:rPr>
          <w:t xml:space="preserve"> Spatiotemporally consistent global dataset of the GIMMS leaf area index (GIMMS LAI4g) from 1982 to 2020. </w:t>
        </w:r>
      </w:hyperlink>
      <w:hyperlink r:id="rId139">
        <w:r w:rsidR="009B220F" w:rsidRPr="006272BE">
          <w:rPr>
            <w:rFonts w:ascii="Times New Roman" w:hAnsi="Times New Roman" w:cs="Times New Roman"/>
            <w:i/>
          </w:rPr>
          <w:t xml:space="preserve">Earth Syst. Sci. Data </w:t>
        </w:r>
      </w:hyperlink>
      <w:hyperlink r:id="rId140">
        <w:r w:rsidR="009B220F" w:rsidRPr="006272BE">
          <w:rPr>
            <w:rFonts w:ascii="Times New Roman" w:hAnsi="Times New Roman" w:cs="Times New Roman"/>
            <w:b/>
          </w:rPr>
          <w:t>15</w:t>
        </w:r>
      </w:hyperlink>
      <w:hyperlink r:id="rId141">
        <w:r w:rsidR="009B220F" w:rsidRPr="006272BE">
          <w:rPr>
            <w:rFonts w:ascii="Times New Roman" w:hAnsi="Times New Roman" w:cs="Times New Roman"/>
          </w:rPr>
          <w:t xml:space="preserve">, 4877–4899 (2023).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42">
        <w:r w:rsidR="009B220F" w:rsidRPr="006272BE">
          <w:rPr>
            <w:rFonts w:ascii="Times New Roman" w:hAnsi="Times New Roman" w:cs="Times New Roman"/>
          </w:rPr>
          <w:t>11.</w:t>
        </w:r>
      </w:hyperlink>
      <w:r w:rsidR="009B220F" w:rsidRPr="006272BE">
        <w:rPr>
          <w:rFonts w:ascii="Times New Roman" w:eastAsia="Times New Roman" w:hAnsi="Times New Roman" w:cs="Times New Roman"/>
        </w:rPr>
        <w:tab/>
      </w:r>
      <w:hyperlink r:id="rId143">
        <w:r w:rsidR="009B220F" w:rsidRPr="006272BE">
          <w:rPr>
            <w:rFonts w:ascii="Times New Roman" w:hAnsi="Times New Roman" w:cs="Times New Roman"/>
          </w:rPr>
          <w:t xml:space="preserve">Chen, C. </w:t>
        </w:r>
      </w:hyperlink>
      <w:hyperlink r:id="rId144">
        <w:r w:rsidR="009B220F" w:rsidRPr="006272BE">
          <w:rPr>
            <w:rFonts w:ascii="Times New Roman" w:hAnsi="Times New Roman" w:cs="Times New Roman"/>
            <w:i/>
          </w:rPr>
          <w:t>et al.</w:t>
        </w:r>
      </w:hyperlink>
      <w:hyperlink r:id="rId145">
        <w:r w:rsidR="009B220F" w:rsidRPr="006272BE">
          <w:rPr>
            <w:rFonts w:ascii="Times New Roman" w:hAnsi="Times New Roman" w:cs="Times New Roman"/>
          </w:rPr>
          <w:t xml:space="preserve"> China and India lead in greening of the world through land-use management. </w:t>
        </w:r>
      </w:hyperlink>
      <w:hyperlink r:id="rId146">
        <w:r w:rsidR="009B220F" w:rsidRPr="006272BE">
          <w:rPr>
            <w:rFonts w:ascii="Times New Roman" w:hAnsi="Times New Roman" w:cs="Times New Roman"/>
            <w:i/>
          </w:rPr>
          <w:t xml:space="preserve">Nat. Sustain. </w:t>
        </w:r>
      </w:hyperlink>
      <w:hyperlink r:id="rId147">
        <w:r w:rsidR="009B220F" w:rsidRPr="006272BE">
          <w:rPr>
            <w:rFonts w:ascii="Times New Roman" w:hAnsi="Times New Roman" w:cs="Times New Roman"/>
            <w:b/>
          </w:rPr>
          <w:t>2</w:t>
        </w:r>
      </w:hyperlink>
      <w:hyperlink r:id="rId148">
        <w:r w:rsidR="009B220F" w:rsidRPr="006272BE">
          <w:rPr>
            <w:rFonts w:ascii="Times New Roman" w:hAnsi="Times New Roman" w:cs="Times New Roman"/>
          </w:rPr>
          <w:t xml:space="preserve">, 122–129 (2019).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49">
        <w:r w:rsidR="009B220F" w:rsidRPr="006272BE">
          <w:rPr>
            <w:rFonts w:ascii="Times New Roman" w:hAnsi="Times New Roman" w:cs="Times New Roman"/>
          </w:rPr>
          <w:t>12.</w:t>
        </w:r>
      </w:hyperlink>
      <w:r w:rsidR="009B220F" w:rsidRPr="006272BE">
        <w:rPr>
          <w:rFonts w:ascii="Times New Roman" w:eastAsia="Times New Roman" w:hAnsi="Times New Roman" w:cs="Times New Roman"/>
        </w:rPr>
        <w:tab/>
      </w:r>
      <w:hyperlink r:id="rId150">
        <w:r w:rsidR="009B220F" w:rsidRPr="006272BE">
          <w:rPr>
            <w:rFonts w:ascii="Times New Roman" w:hAnsi="Times New Roman" w:cs="Times New Roman"/>
          </w:rPr>
          <w:t xml:space="preserve">Latifovic, R., Pouliot, D. &amp; Dillabaugh, C. Identification and correction of systematic error in NOAA AVHRR long-term satellite data record. </w:t>
        </w:r>
      </w:hyperlink>
      <w:hyperlink r:id="rId151">
        <w:r w:rsidR="009B220F" w:rsidRPr="006272BE">
          <w:rPr>
            <w:rFonts w:ascii="Times New Roman" w:hAnsi="Times New Roman" w:cs="Times New Roman"/>
            <w:i/>
          </w:rPr>
          <w:t xml:space="preserve">Remote Sens. Environ. </w:t>
        </w:r>
      </w:hyperlink>
      <w:hyperlink r:id="rId152">
        <w:r w:rsidR="009B220F" w:rsidRPr="006272BE">
          <w:rPr>
            <w:rFonts w:ascii="Times New Roman" w:hAnsi="Times New Roman" w:cs="Times New Roman"/>
            <w:b/>
          </w:rPr>
          <w:t>127</w:t>
        </w:r>
      </w:hyperlink>
      <w:hyperlink r:id="rId153">
        <w:r w:rsidR="009B220F" w:rsidRPr="006272BE">
          <w:rPr>
            <w:rFonts w:ascii="Times New Roman" w:hAnsi="Times New Roman" w:cs="Times New Roman"/>
          </w:rPr>
          <w:t xml:space="preserve">, 84–97 (2012).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54">
        <w:r w:rsidR="009B220F" w:rsidRPr="006272BE">
          <w:rPr>
            <w:rFonts w:ascii="Times New Roman" w:hAnsi="Times New Roman" w:cs="Times New Roman"/>
          </w:rPr>
          <w:t>13.</w:t>
        </w:r>
      </w:hyperlink>
      <w:r w:rsidR="009B220F" w:rsidRPr="006272BE">
        <w:rPr>
          <w:rFonts w:ascii="Times New Roman" w:eastAsia="Times New Roman" w:hAnsi="Times New Roman" w:cs="Times New Roman"/>
        </w:rPr>
        <w:tab/>
      </w:r>
      <w:hyperlink r:id="rId155">
        <w:r w:rsidR="009B220F" w:rsidRPr="006272BE">
          <w:rPr>
            <w:rFonts w:ascii="Times New Roman" w:hAnsi="Times New Roman" w:cs="Times New Roman"/>
          </w:rPr>
          <w:t xml:space="preserve">Li, C. </w:t>
        </w:r>
      </w:hyperlink>
      <w:hyperlink r:id="rId156">
        <w:r w:rsidR="009B220F" w:rsidRPr="006272BE">
          <w:rPr>
            <w:rFonts w:ascii="Times New Roman" w:hAnsi="Times New Roman" w:cs="Times New Roman"/>
            <w:i/>
          </w:rPr>
          <w:t>et al.</w:t>
        </w:r>
      </w:hyperlink>
      <w:hyperlink r:id="rId157">
        <w:r w:rsidR="009B220F" w:rsidRPr="006272BE">
          <w:rPr>
            <w:rFonts w:ascii="Times New Roman" w:hAnsi="Times New Roman" w:cs="Times New Roman"/>
          </w:rPr>
          <w:t xml:space="preserve"> Post calibration of channels 1 and 2 of long-term AVHRR data record based on SeaWiFS data and pseudo-invariant targets. </w:t>
        </w:r>
      </w:hyperlink>
      <w:hyperlink r:id="rId158">
        <w:r w:rsidR="009B220F" w:rsidRPr="006272BE">
          <w:rPr>
            <w:rFonts w:ascii="Times New Roman" w:hAnsi="Times New Roman" w:cs="Times New Roman"/>
            <w:i/>
          </w:rPr>
          <w:t xml:space="preserve">Remote Sens. Environ. </w:t>
        </w:r>
      </w:hyperlink>
      <w:hyperlink r:id="rId159">
        <w:r w:rsidR="009B220F" w:rsidRPr="006272BE">
          <w:rPr>
            <w:rFonts w:ascii="Times New Roman" w:hAnsi="Times New Roman" w:cs="Times New Roman"/>
            <w:b/>
          </w:rPr>
          <w:t>150</w:t>
        </w:r>
      </w:hyperlink>
      <w:hyperlink r:id="rId160">
        <w:r w:rsidR="009B220F" w:rsidRPr="006272BE">
          <w:rPr>
            <w:rFonts w:ascii="Times New Roman" w:hAnsi="Times New Roman" w:cs="Times New Roman"/>
          </w:rPr>
          <w:t xml:space="preserve">, 104–119 (2014).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61">
        <w:r w:rsidR="009B220F" w:rsidRPr="006272BE">
          <w:rPr>
            <w:rFonts w:ascii="Times New Roman" w:hAnsi="Times New Roman" w:cs="Times New Roman"/>
          </w:rPr>
          <w:t>14.</w:t>
        </w:r>
      </w:hyperlink>
      <w:r w:rsidR="009B220F" w:rsidRPr="006272BE">
        <w:rPr>
          <w:rFonts w:ascii="Times New Roman" w:eastAsia="Times New Roman" w:hAnsi="Times New Roman" w:cs="Times New Roman"/>
        </w:rPr>
        <w:tab/>
      </w:r>
      <w:hyperlink r:id="rId162">
        <w:r w:rsidR="009B220F" w:rsidRPr="006272BE">
          <w:rPr>
            <w:rFonts w:ascii="Times New Roman" w:hAnsi="Times New Roman" w:cs="Times New Roman"/>
          </w:rPr>
          <w:t xml:space="preserve">Giglio, L. &amp; Roy, D. P. Assessment of satellite orbit-drift artifacts in the long-term AVHRR FireCCILT11 global burned area data set. </w:t>
        </w:r>
      </w:hyperlink>
      <w:hyperlink r:id="rId163">
        <w:r w:rsidR="009B220F" w:rsidRPr="006272BE">
          <w:rPr>
            <w:rFonts w:ascii="Times New Roman" w:hAnsi="Times New Roman" w:cs="Times New Roman"/>
            <w:i/>
          </w:rPr>
          <w:t xml:space="preserve">Sci. Remote Sens. </w:t>
        </w:r>
      </w:hyperlink>
      <w:hyperlink r:id="rId164">
        <w:r w:rsidR="009B220F" w:rsidRPr="006272BE">
          <w:rPr>
            <w:rFonts w:ascii="Times New Roman" w:hAnsi="Times New Roman" w:cs="Times New Roman"/>
            <w:b/>
          </w:rPr>
          <w:t>5</w:t>
        </w:r>
      </w:hyperlink>
      <w:hyperlink r:id="rId165">
        <w:r w:rsidR="009B220F" w:rsidRPr="006272BE">
          <w:rPr>
            <w:rFonts w:ascii="Times New Roman" w:hAnsi="Times New Roman" w:cs="Times New Roman"/>
          </w:rPr>
          <w:t xml:space="preserve">, 100044 (2022).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66">
        <w:r w:rsidR="009B220F" w:rsidRPr="006272BE">
          <w:rPr>
            <w:rFonts w:ascii="Times New Roman" w:hAnsi="Times New Roman" w:cs="Times New Roman"/>
          </w:rPr>
          <w:t>15.</w:t>
        </w:r>
      </w:hyperlink>
      <w:r w:rsidR="009B220F" w:rsidRPr="006272BE">
        <w:rPr>
          <w:rFonts w:ascii="Times New Roman" w:eastAsia="Times New Roman" w:hAnsi="Times New Roman" w:cs="Times New Roman"/>
        </w:rPr>
        <w:tab/>
      </w:r>
      <w:hyperlink r:id="rId167">
        <w:r w:rsidR="009B220F" w:rsidRPr="006272BE">
          <w:rPr>
            <w:rFonts w:ascii="Times New Roman" w:hAnsi="Times New Roman" w:cs="Times New Roman"/>
          </w:rPr>
          <w:t xml:space="preserve">Fang, J. </w:t>
        </w:r>
      </w:hyperlink>
      <w:hyperlink r:id="rId168">
        <w:r w:rsidR="009B220F" w:rsidRPr="006272BE">
          <w:rPr>
            <w:rFonts w:ascii="Times New Roman" w:hAnsi="Times New Roman" w:cs="Times New Roman"/>
            <w:i/>
          </w:rPr>
          <w:t>et al.</w:t>
        </w:r>
      </w:hyperlink>
      <w:hyperlink r:id="rId169">
        <w:r w:rsidR="009B220F" w:rsidRPr="006272BE">
          <w:rPr>
            <w:rFonts w:ascii="Times New Roman" w:hAnsi="Times New Roman" w:cs="Times New Roman"/>
          </w:rPr>
          <w:t xml:space="preserve"> A long-term reconstruction of a global photosynthesis proxy over 1982–2023. </w:t>
        </w:r>
      </w:hyperlink>
      <w:hyperlink r:id="rId170">
        <w:r w:rsidR="009B220F" w:rsidRPr="006272BE">
          <w:rPr>
            <w:rFonts w:ascii="Times New Roman" w:hAnsi="Times New Roman" w:cs="Times New Roman"/>
            <w:i/>
          </w:rPr>
          <w:t xml:space="preserve">Sci. Data </w:t>
        </w:r>
      </w:hyperlink>
      <w:hyperlink r:id="rId171">
        <w:r w:rsidR="009B220F" w:rsidRPr="006272BE">
          <w:rPr>
            <w:rFonts w:ascii="Times New Roman" w:hAnsi="Times New Roman" w:cs="Times New Roman"/>
            <w:b/>
          </w:rPr>
          <w:t>12</w:t>
        </w:r>
      </w:hyperlink>
      <w:hyperlink r:id="rId172">
        <w:r w:rsidR="009B220F" w:rsidRPr="006272BE">
          <w:rPr>
            <w:rFonts w:ascii="Times New Roman" w:hAnsi="Times New Roman" w:cs="Times New Roman"/>
          </w:rPr>
          <w:t xml:space="preserve">, 372 (2025).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73">
        <w:r w:rsidR="009B220F" w:rsidRPr="006272BE">
          <w:rPr>
            <w:rFonts w:ascii="Times New Roman" w:hAnsi="Times New Roman" w:cs="Times New Roman"/>
          </w:rPr>
          <w:t>16.</w:t>
        </w:r>
      </w:hyperlink>
      <w:r w:rsidR="009B220F" w:rsidRPr="006272BE">
        <w:rPr>
          <w:rFonts w:ascii="Times New Roman" w:eastAsia="Times New Roman" w:hAnsi="Times New Roman" w:cs="Times New Roman"/>
        </w:rPr>
        <w:tab/>
      </w:r>
      <w:hyperlink r:id="rId174">
        <w:r w:rsidR="009B220F" w:rsidRPr="006272BE">
          <w:rPr>
            <w:rFonts w:ascii="Times New Roman" w:hAnsi="Times New Roman" w:cs="Times New Roman"/>
          </w:rPr>
          <w:t xml:space="preserve">Zhu, Z. </w:t>
        </w:r>
      </w:hyperlink>
      <w:hyperlink r:id="rId175">
        <w:r w:rsidR="009B220F" w:rsidRPr="006272BE">
          <w:rPr>
            <w:rFonts w:ascii="Times New Roman" w:hAnsi="Times New Roman" w:cs="Times New Roman"/>
            <w:i/>
          </w:rPr>
          <w:t>et al.</w:t>
        </w:r>
      </w:hyperlink>
      <w:hyperlink r:id="rId176">
        <w:r w:rsidR="009B220F" w:rsidRPr="006272BE">
          <w:rPr>
            <w:rFonts w:ascii="Times New Roman" w:hAnsi="Times New Roman" w:cs="Times New Roman"/>
          </w:rPr>
          <w:t xml:space="preserve"> Comment on “Recent global decline of CO</w:t>
        </w:r>
      </w:hyperlink>
      <w:hyperlink r:id="rId177">
        <w:r w:rsidR="009B220F" w:rsidRPr="006272BE">
          <w:rPr>
            <w:rFonts w:ascii="Times New Roman" w:hAnsi="Times New Roman" w:cs="Times New Roman"/>
            <w:vertAlign w:val="subscript"/>
          </w:rPr>
          <w:t>2</w:t>
        </w:r>
      </w:hyperlink>
      <w:hyperlink r:id="rId178">
        <w:r w:rsidR="009B220F" w:rsidRPr="006272BE">
          <w:rPr>
            <w:rFonts w:ascii="Times New Roman" w:hAnsi="Times New Roman" w:cs="Times New Roman"/>
          </w:rPr>
          <w:t xml:space="preserve"> fertilization effects on vegetation </w:t>
        </w:r>
        <w:r w:rsidR="009B220F" w:rsidRPr="006272BE">
          <w:rPr>
            <w:rFonts w:ascii="Times New Roman" w:hAnsi="Times New Roman" w:cs="Times New Roman"/>
          </w:rPr>
          <w:lastRenderedPageBreak/>
          <w:t xml:space="preserve">photosynthesis”. </w:t>
        </w:r>
      </w:hyperlink>
      <w:hyperlink r:id="rId179">
        <w:r w:rsidR="009B220F" w:rsidRPr="006272BE">
          <w:rPr>
            <w:rFonts w:ascii="Times New Roman" w:hAnsi="Times New Roman" w:cs="Times New Roman"/>
            <w:i/>
          </w:rPr>
          <w:t xml:space="preserve">Science </w:t>
        </w:r>
      </w:hyperlink>
      <w:hyperlink r:id="rId180">
        <w:r w:rsidR="009B220F" w:rsidRPr="006272BE">
          <w:rPr>
            <w:rFonts w:ascii="Times New Roman" w:hAnsi="Times New Roman" w:cs="Times New Roman"/>
            <w:b/>
          </w:rPr>
          <w:t>373</w:t>
        </w:r>
      </w:hyperlink>
      <w:hyperlink r:id="rId181">
        <w:r w:rsidR="009B220F" w:rsidRPr="006272BE">
          <w:rPr>
            <w:rFonts w:ascii="Times New Roman" w:hAnsi="Times New Roman" w:cs="Times New Roman"/>
          </w:rPr>
          <w:t xml:space="preserve">, eabg5673 (2021).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82">
        <w:r w:rsidR="009B220F" w:rsidRPr="006272BE">
          <w:rPr>
            <w:rFonts w:ascii="Times New Roman" w:hAnsi="Times New Roman" w:cs="Times New Roman"/>
          </w:rPr>
          <w:t>17.</w:t>
        </w:r>
      </w:hyperlink>
      <w:r w:rsidR="009B220F" w:rsidRPr="006272BE">
        <w:rPr>
          <w:rFonts w:ascii="Times New Roman" w:eastAsia="Times New Roman" w:hAnsi="Times New Roman" w:cs="Times New Roman"/>
        </w:rPr>
        <w:tab/>
      </w:r>
      <w:hyperlink r:id="rId183">
        <w:r w:rsidR="009B220F" w:rsidRPr="006272BE">
          <w:rPr>
            <w:rFonts w:ascii="Times New Roman" w:hAnsi="Times New Roman" w:cs="Times New Roman"/>
          </w:rPr>
          <w:t xml:space="preserve">Hasegawa, K., Matsuyama, H., Tsuzuki, H. &amp; Sweda, T. Improving the estimation of leaf area index by using remotely sensed NDVI with BRDF signatures. </w:t>
        </w:r>
      </w:hyperlink>
      <w:hyperlink r:id="rId184">
        <w:r w:rsidR="009B220F" w:rsidRPr="006272BE">
          <w:rPr>
            <w:rFonts w:ascii="Times New Roman" w:hAnsi="Times New Roman" w:cs="Times New Roman"/>
            <w:i/>
          </w:rPr>
          <w:t xml:space="preserve">Remote Sens. Environ. </w:t>
        </w:r>
      </w:hyperlink>
      <w:hyperlink r:id="rId185">
        <w:r w:rsidR="009B220F" w:rsidRPr="006272BE">
          <w:rPr>
            <w:rFonts w:ascii="Times New Roman" w:hAnsi="Times New Roman" w:cs="Times New Roman"/>
            <w:b/>
          </w:rPr>
          <w:t>114</w:t>
        </w:r>
      </w:hyperlink>
      <w:hyperlink r:id="rId186">
        <w:r w:rsidR="009B220F" w:rsidRPr="006272BE">
          <w:rPr>
            <w:rFonts w:ascii="Times New Roman" w:hAnsi="Times New Roman" w:cs="Times New Roman"/>
          </w:rPr>
          <w:t xml:space="preserve">, 514–519 (2010).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87">
        <w:r w:rsidR="009B220F" w:rsidRPr="006272BE">
          <w:rPr>
            <w:rFonts w:ascii="Times New Roman" w:hAnsi="Times New Roman" w:cs="Times New Roman"/>
          </w:rPr>
          <w:t>18.</w:t>
        </w:r>
      </w:hyperlink>
      <w:r w:rsidR="009B220F" w:rsidRPr="006272BE">
        <w:rPr>
          <w:rFonts w:ascii="Times New Roman" w:eastAsia="Times New Roman" w:hAnsi="Times New Roman" w:cs="Times New Roman"/>
        </w:rPr>
        <w:tab/>
      </w:r>
      <w:hyperlink r:id="rId188">
        <w:r w:rsidR="009B220F" w:rsidRPr="006272BE">
          <w:rPr>
            <w:rFonts w:ascii="Times New Roman" w:hAnsi="Times New Roman" w:cs="Times New Roman"/>
          </w:rPr>
          <w:t xml:space="preserve">Zeng, Y. </w:t>
        </w:r>
      </w:hyperlink>
      <w:hyperlink r:id="rId189">
        <w:r w:rsidR="009B220F" w:rsidRPr="006272BE">
          <w:rPr>
            <w:rFonts w:ascii="Times New Roman" w:hAnsi="Times New Roman" w:cs="Times New Roman"/>
            <w:i/>
          </w:rPr>
          <w:t>et al.</w:t>
        </w:r>
      </w:hyperlink>
      <w:hyperlink r:id="rId190">
        <w:r w:rsidR="009B220F" w:rsidRPr="006272BE">
          <w:rPr>
            <w:rFonts w:ascii="Times New Roman" w:hAnsi="Times New Roman" w:cs="Times New Roman"/>
          </w:rPr>
          <w:t xml:space="preserve"> Optical vegetation indices for monitoring terrestrial ecosystems globally. </w:t>
        </w:r>
      </w:hyperlink>
      <w:hyperlink r:id="rId191">
        <w:r w:rsidR="009B220F" w:rsidRPr="006272BE">
          <w:rPr>
            <w:rFonts w:ascii="Times New Roman" w:hAnsi="Times New Roman" w:cs="Times New Roman"/>
            <w:i/>
          </w:rPr>
          <w:t xml:space="preserve">Nat. Rev. Earth Environ. </w:t>
        </w:r>
      </w:hyperlink>
      <w:hyperlink r:id="rId192">
        <w:r w:rsidR="009B220F" w:rsidRPr="006272BE">
          <w:rPr>
            <w:rFonts w:ascii="Times New Roman" w:hAnsi="Times New Roman" w:cs="Times New Roman"/>
            <w:b/>
          </w:rPr>
          <w:t>3</w:t>
        </w:r>
      </w:hyperlink>
      <w:hyperlink r:id="rId193">
        <w:r w:rsidR="009B220F" w:rsidRPr="006272BE">
          <w:rPr>
            <w:rFonts w:ascii="Times New Roman" w:hAnsi="Times New Roman" w:cs="Times New Roman"/>
          </w:rPr>
          <w:t xml:space="preserve">, 477–493 (2022).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194">
        <w:r w:rsidR="009B220F" w:rsidRPr="006272BE">
          <w:rPr>
            <w:rFonts w:ascii="Times New Roman" w:hAnsi="Times New Roman" w:cs="Times New Roman"/>
          </w:rPr>
          <w:t>19.</w:t>
        </w:r>
      </w:hyperlink>
      <w:r w:rsidR="009B220F" w:rsidRPr="006272BE">
        <w:rPr>
          <w:rFonts w:ascii="Times New Roman" w:eastAsia="Times New Roman" w:hAnsi="Times New Roman" w:cs="Times New Roman"/>
        </w:rPr>
        <w:tab/>
      </w:r>
      <w:hyperlink r:id="rId195">
        <w:r w:rsidR="009B220F" w:rsidRPr="006272BE">
          <w:rPr>
            <w:rFonts w:ascii="Times New Roman" w:hAnsi="Times New Roman" w:cs="Times New Roman"/>
          </w:rPr>
          <w:t xml:space="preserve">Gao, S. </w:t>
        </w:r>
      </w:hyperlink>
      <w:hyperlink r:id="rId196">
        <w:r w:rsidR="009B220F" w:rsidRPr="006272BE">
          <w:rPr>
            <w:rFonts w:ascii="Times New Roman" w:hAnsi="Times New Roman" w:cs="Times New Roman"/>
            <w:i/>
          </w:rPr>
          <w:t>et al.</w:t>
        </w:r>
      </w:hyperlink>
      <w:hyperlink r:id="rId197">
        <w:r w:rsidR="009B220F" w:rsidRPr="006272BE">
          <w:rPr>
            <w:rFonts w:ascii="Times New Roman" w:hAnsi="Times New Roman" w:cs="Times New Roman"/>
          </w:rPr>
          <w:t xml:space="preserve"> Evaluating the saturation effect of vegetation indices in forests using 3D radiative transfer simulations and satellite observations. </w:t>
        </w:r>
      </w:hyperlink>
      <w:hyperlink r:id="rId198">
        <w:r w:rsidR="009B220F" w:rsidRPr="006272BE">
          <w:rPr>
            <w:rFonts w:ascii="Times New Roman" w:hAnsi="Times New Roman" w:cs="Times New Roman"/>
            <w:i/>
          </w:rPr>
          <w:t xml:space="preserve">Remote Sens. Environ. </w:t>
        </w:r>
      </w:hyperlink>
      <w:hyperlink r:id="rId199">
        <w:r w:rsidR="009B220F" w:rsidRPr="006272BE">
          <w:rPr>
            <w:rFonts w:ascii="Times New Roman" w:hAnsi="Times New Roman" w:cs="Times New Roman"/>
            <w:b/>
          </w:rPr>
          <w:t>295</w:t>
        </w:r>
      </w:hyperlink>
      <w:hyperlink r:id="rId200">
        <w:r w:rsidR="009B220F" w:rsidRPr="006272BE">
          <w:rPr>
            <w:rFonts w:ascii="Times New Roman" w:hAnsi="Times New Roman" w:cs="Times New Roman"/>
          </w:rPr>
          <w:t xml:space="preserve">, 113665 (2023).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01">
        <w:r w:rsidR="009B220F" w:rsidRPr="006272BE">
          <w:rPr>
            <w:rFonts w:ascii="Times New Roman" w:hAnsi="Times New Roman" w:cs="Times New Roman"/>
          </w:rPr>
          <w:t>20.</w:t>
        </w:r>
      </w:hyperlink>
      <w:r w:rsidR="009B220F" w:rsidRPr="006272BE">
        <w:rPr>
          <w:rFonts w:ascii="Times New Roman" w:eastAsia="Times New Roman" w:hAnsi="Times New Roman" w:cs="Times New Roman"/>
        </w:rPr>
        <w:tab/>
      </w:r>
      <w:hyperlink r:id="rId202">
        <w:r w:rsidR="009B220F" w:rsidRPr="006272BE">
          <w:rPr>
            <w:rFonts w:ascii="Times New Roman" w:hAnsi="Times New Roman" w:cs="Times New Roman"/>
          </w:rPr>
          <w:t xml:space="preserve">Li, M. </w:t>
        </w:r>
      </w:hyperlink>
      <w:hyperlink r:id="rId203">
        <w:r w:rsidR="009B220F" w:rsidRPr="006272BE">
          <w:rPr>
            <w:rFonts w:ascii="Times New Roman" w:hAnsi="Times New Roman" w:cs="Times New Roman"/>
            <w:i/>
          </w:rPr>
          <w:t>et al.</w:t>
        </w:r>
      </w:hyperlink>
      <w:hyperlink r:id="rId204">
        <w:r w:rsidR="009B220F" w:rsidRPr="006272BE">
          <w:rPr>
            <w:rFonts w:ascii="Times New Roman" w:hAnsi="Times New Roman" w:cs="Times New Roman"/>
          </w:rPr>
          <w:t xml:space="preserve"> Spatiotemporally consistent global dataset of the GIMMS Normalized Difference Vegetation Index (PKU GIMMS NDVI) from 1982 to 2022. </w:t>
        </w:r>
      </w:hyperlink>
      <w:hyperlink r:id="rId205">
        <w:r w:rsidR="009B220F" w:rsidRPr="006272BE">
          <w:rPr>
            <w:rFonts w:ascii="Times New Roman" w:hAnsi="Times New Roman" w:cs="Times New Roman"/>
            <w:i/>
          </w:rPr>
          <w:t xml:space="preserve">Earth Syst. Sci. Data </w:t>
        </w:r>
      </w:hyperlink>
      <w:hyperlink r:id="rId206">
        <w:r w:rsidR="009B220F" w:rsidRPr="006272BE">
          <w:rPr>
            <w:rFonts w:ascii="Times New Roman" w:hAnsi="Times New Roman" w:cs="Times New Roman"/>
            <w:b/>
          </w:rPr>
          <w:t>15</w:t>
        </w:r>
      </w:hyperlink>
      <w:hyperlink r:id="rId207">
        <w:r w:rsidR="009B220F" w:rsidRPr="006272BE">
          <w:rPr>
            <w:rFonts w:ascii="Times New Roman" w:hAnsi="Times New Roman" w:cs="Times New Roman"/>
          </w:rPr>
          <w:t xml:space="preserve">, 4181–4203 (2023).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08">
        <w:r w:rsidR="009B220F" w:rsidRPr="006272BE">
          <w:rPr>
            <w:rFonts w:ascii="Times New Roman" w:hAnsi="Times New Roman" w:cs="Times New Roman"/>
          </w:rPr>
          <w:t>21.</w:t>
        </w:r>
      </w:hyperlink>
      <w:r w:rsidR="009B220F" w:rsidRPr="006272BE">
        <w:rPr>
          <w:rFonts w:ascii="Times New Roman" w:eastAsia="Times New Roman" w:hAnsi="Times New Roman" w:cs="Times New Roman"/>
        </w:rPr>
        <w:tab/>
      </w:r>
      <w:hyperlink r:id="rId209">
        <w:r w:rsidR="009B220F" w:rsidRPr="006272BE">
          <w:rPr>
            <w:rFonts w:ascii="Times New Roman" w:hAnsi="Times New Roman" w:cs="Times New Roman"/>
          </w:rPr>
          <w:t xml:space="preserve">Verger, A., Weiss, M. &amp; Baret, F. Geov2-Avhrr: Continuous and Consistent Time Series of Global Leaf Area Index and Fraction Absorbed Par from 1981 to 2022. Preprint at https://doi.org/10.2139/ssrn.5012713 (2024).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10">
        <w:r w:rsidR="009B220F" w:rsidRPr="006272BE">
          <w:rPr>
            <w:rFonts w:ascii="Times New Roman" w:hAnsi="Times New Roman" w:cs="Times New Roman"/>
          </w:rPr>
          <w:t>22.</w:t>
        </w:r>
      </w:hyperlink>
      <w:r w:rsidR="009B220F" w:rsidRPr="006272BE">
        <w:rPr>
          <w:rFonts w:ascii="Times New Roman" w:eastAsia="Times New Roman" w:hAnsi="Times New Roman" w:cs="Times New Roman"/>
        </w:rPr>
        <w:tab/>
      </w:r>
      <w:hyperlink r:id="rId211">
        <w:r w:rsidR="009B220F" w:rsidRPr="006272BE">
          <w:rPr>
            <w:rFonts w:ascii="Times New Roman" w:hAnsi="Times New Roman" w:cs="Times New Roman"/>
          </w:rPr>
          <w:t xml:space="preserve">Zhang, Y., Song, C., Band, L. E., Sun, G. &amp; Li, J. Reanalysis of global terrestrial vegetation trends from MODIS products: Browning or greening? </w:t>
        </w:r>
      </w:hyperlink>
      <w:hyperlink r:id="rId212">
        <w:r w:rsidR="009B220F" w:rsidRPr="006272BE">
          <w:rPr>
            <w:rFonts w:ascii="Times New Roman" w:hAnsi="Times New Roman" w:cs="Times New Roman"/>
            <w:i/>
          </w:rPr>
          <w:t xml:space="preserve">Remote Sens. Environ. </w:t>
        </w:r>
      </w:hyperlink>
      <w:hyperlink r:id="rId213">
        <w:r w:rsidR="009B220F" w:rsidRPr="006272BE">
          <w:rPr>
            <w:rFonts w:ascii="Times New Roman" w:hAnsi="Times New Roman" w:cs="Times New Roman"/>
            <w:b/>
          </w:rPr>
          <w:t>191</w:t>
        </w:r>
      </w:hyperlink>
      <w:hyperlink r:id="rId214">
        <w:r w:rsidR="009B220F" w:rsidRPr="006272BE">
          <w:rPr>
            <w:rFonts w:ascii="Times New Roman" w:hAnsi="Times New Roman" w:cs="Times New Roman"/>
          </w:rPr>
          <w:t xml:space="preserve">, 145–155 (2017).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15">
        <w:r w:rsidR="009B220F" w:rsidRPr="006272BE">
          <w:rPr>
            <w:rFonts w:ascii="Times New Roman" w:hAnsi="Times New Roman" w:cs="Times New Roman"/>
          </w:rPr>
          <w:t>23.</w:t>
        </w:r>
      </w:hyperlink>
      <w:r w:rsidR="009B220F" w:rsidRPr="006272BE">
        <w:rPr>
          <w:rFonts w:ascii="Times New Roman" w:eastAsia="Times New Roman" w:hAnsi="Times New Roman" w:cs="Times New Roman"/>
        </w:rPr>
        <w:tab/>
      </w:r>
      <w:hyperlink r:id="rId216">
        <w:r w:rsidR="009B220F" w:rsidRPr="006272BE">
          <w:rPr>
            <w:rFonts w:ascii="Times New Roman" w:hAnsi="Times New Roman" w:cs="Times New Roman"/>
          </w:rPr>
          <w:t xml:space="preserve">Nagol, J., Vermote, E. &amp; Prince, S. Quantification of Impact of Orbital Drift on Inter-Annual Trends in AVHRR NDVI Data. </w:t>
        </w:r>
      </w:hyperlink>
      <w:hyperlink r:id="rId217">
        <w:r w:rsidR="009B220F" w:rsidRPr="006272BE">
          <w:rPr>
            <w:rFonts w:ascii="Times New Roman" w:hAnsi="Times New Roman" w:cs="Times New Roman"/>
            <w:i/>
          </w:rPr>
          <w:t xml:space="preserve">Remote Sens. </w:t>
        </w:r>
      </w:hyperlink>
      <w:hyperlink r:id="rId218">
        <w:r w:rsidR="009B220F" w:rsidRPr="006272BE">
          <w:rPr>
            <w:rFonts w:ascii="Times New Roman" w:hAnsi="Times New Roman" w:cs="Times New Roman"/>
            <w:b/>
          </w:rPr>
          <w:t>6</w:t>
        </w:r>
      </w:hyperlink>
      <w:hyperlink r:id="rId219">
        <w:r w:rsidR="009B220F" w:rsidRPr="006272BE">
          <w:rPr>
            <w:rFonts w:ascii="Times New Roman" w:hAnsi="Times New Roman" w:cs="Times New Roman"/>
          </w:rPr>
          <w:t xml:space="preserve">, 6680–6687 (2014).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20">
        <w:r w:rsidR="009B220F" w:rsidRPr="006272BE">
          <w:rPr>
            <w:rFonts w:ascii="Times New Roman" w:hAnsi="Times New Roman" w:cs="Times New Roman"/>
          </w:rPr>
          <w:t>24.</w:t>
        </w:r>
      </w:hyperlink>
      <w:r w:rsidR="009B220F" w:rsidRPr="006272BE">
        <w:rPr>
          <w:rFonts w:ascii="Times New Roman" w:eastAsia="Times New Roman" w:hAnsi="Times New Roman" w:cs="Times New Roman"/>
        </w:rPr>
        <w:tab/>
      </w:r>
      <w:hyperlink r:id="rId221">
        <w:r w:rsidR="009B220F" w:rsidRPr="006272BE">
          <w:rPr>
            <w:rFonts w:ascii="Times New Roman" w:hAnsi="Times New Roman" w:cs="Times New Roman"/>
          </w:rPr>
          <w:t xml:space="preserve">Franch, B. </w:t>
        </w:r>
      </w:hyperlink>
      <w:hyperlink r:id="rId222">
        <w:r w:rsidR="009B220F" w:rsidRPr="006272BE">
          <w:rPr>
            <w:rFonts w:ascii="Times New Roman" w:hAnsi="Times New Roman" w:cs="Times New Roman"/>
            <w:i/>
          </w:rPr>
          <w:t>et al.</w:t>
        </w:r>
      </w:hyperlink>
      <w:hyperlink r:id="rId223">
        <w:r w:rsidR="009B220F" w:rsidRPr="006272BE">
          <w:rPr>
            <w:rFonts w:ascii="Times New Roman" w:hAnsi="Times New Roman" w:cs="Times New Roman"/>
          </w:rPr>
          <w:t xml:space="preserve"> A 30+ Year AVHRR Land Surface Reflectance Climate Data Record and Its Application to Wheat Yield Monitoring. </w:t>
        </w:r>
      </w:hyperlink>
      <w:hyperlink r:id="rId224">
        <w:r w:rsidR="009B220F" w:rsidRPr="006272BE">
          <w:rPr>
            <w:rFonts w:ascii="Times New Roman" w:hAnsi="Times New Roman" w:cs="Times New Roman"/>
            <w:i/>
          </w:rPr>
          <w:t xml:space="preserve">Remote Sens. </w:t>
        </w:r>
      </w:hyperlink>
      <w:hyperlink r:id="rId225">
        <w:r w:rsidR="009B220F" w:rsidRPr="006272BE">
          <w:rPr>
            <w:rFonts w:ascii="Times New Roman" w:hAnsi="Times New Roman" w:cs="Times New Roman"/>
            <w:b/>
          </w:rPr>
          <w:t>9</w:t>
        </w:r>
      </w:hyperlink>
      <w:hyperlink r:id="rId226">
        <w:r w:rsidR="009B220F" w:rsidRPr="006272BE">
          <w:rPr>
            <w:rFonts w:ascii="Times New Roman" w:hAnsi="Times New Roman" w:cs="Times New Roman"/>
          </w:rPr>
          <w:t xml:space="preserve">, 296 (2017).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27">
        <w:r w:rsidR="009B220F" w:rsidRPr="006272BE">
          <w:rPr>
            <w:rFonts w:ascii="Times New Roman" w:hAnsi="Times New Roman" w:cs="Times New Roman"/>
          </w:rPr>
          <w:t>25.</w:t>
        </w:r>
      </w:hyperlink>
      <w:r w:rsidR="009B220F" w:rsidRPr="006272BE">
        <w:rPr>
          <w:rFonts w:ascii="Times New Roman" w:eastAsia="Times New Roman" w:hAnsi="Times New Roman" w:cs="Times New Roman"/>
        </w:rPr>
        <w:tab/>
      </w:r>
      <w:hyperlink r:id="rId228">
        <w:r w:rsidR="009B220F" w:rsidRPr="006272BE">
          <w:rPr>
            <w:rFonts w:ascii="Times New Roman" w:hAnsi="Times New Roman" w:cs="Times New Roman"/>
          </w:rPr>
          <w:t xml:space="preserve">Santamaria-Artigas, A., Vermote, E. F., Franch, B., Roger, J.-C. &amp; Skakun, S. Evaluation of the AVHRR surface reflectance long term data record between 1984 and 2011. </w:t>
        </w:r>
      </w:hyperlink>
      <w:hyperlink r:id="rId229">
        <w:r w:rsidR="009B220F" w:rsidRPr="006272BE">
          <w:rPr>
            <w:rFonts w:ascii="Times New Roman" w:hAnsi="Times New Roman" w:cs="Times New Roman"/>
            <w:i/>
          </w:rPr>
          <w:t xml:space="preserve">Int. J. Appl. Earth Obs. Geoinformation </w:t>
        </w:r>
      </w:hyperlink>
      <w:hyperlink r:id="rId230">
        <w:r w:rsidR="009B220F" w:rsidRPr="006272BE">
          <w:rPr>
            <w:rFonts w:ascii="Times New Roman" w:hAnsi="Times New Roman" w:cs="Times New Roman"/>
            <w:b/>
          </w:rPr>
          <w:t>98</w:t>
        </w:r>
      </w:hyperlink>
      <w:hyperlink r:id="rId231">
        <w:r w:rsidR="009B220F" w:rsidRPr="006272BE">
          <w:rPr>
            <w:rFonts w:ascii="Times New Roman" w:hAnsi="Times New Roman" w:cs="Times New Roman"/>
          </w:rPr>
          <w:t xml:space="preserve">, 102317 (2021).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32">
        <w:r w:rsidR="009B220F" w:rsidRPr="006272BE">
          <w:rPr>
            <w:rFonts w:ascii="Times New Roman" w:hAnsi="Times New Roman" w:cs="Times New Roman"/>
          </w:rPr>
          <w:t>26.</w:t>
        </w:r>
      </w:hyperlink>
      <w:r w:rsidR="009B220F" w:rsidRPr="006272BE">
        <w:rPr>
          <w:rFonts w:ascii="Times New Roman" w:eastAsia="Times New Roman" w:hAnsi="Times New Roman" w:cs="Times New Roman"/>
        </w:rPr>
        <w:tab/>
      </w:r>
      <w:hyperlink r:id="rId233">
        <w:r w:rsidR="009B220F" w:rsidRPr="006272BE">
          <w:rPr>
            <w:rFonts w:ascii="Times New Roman" w:hAnsi="Times New Roman" w:cs="Times New Roman"/>
          </w:rPr>
          <w:t xml:space="preserve">Claverie, M., Matthews, J. L., Vermote, E. F. &amp; Justice, C. O. A 30+ Year AVHRR LAI and FAPAR Climate Data Record: Algorithm Description and Validation. </w:t>
        </w:r>
      </w:hyperlink>
      <w:hyperlink r:id="rId234">
        <w:r w:rsidR="009B220F" w:rsidRPr="006272BE">
          <w:rPr>
            <w:rFonts w:ascii="Times New Roman" w:hAnsi="Times New Roman" w:cs="Times New Roman"/>
            <w:i/>
          </w:rPr>
          <w:t xml:space="preserve">Remote Sens. </w:t>
        </w:r>
      </w:hyperlink>
      <w:hyperlink r:id="rId235">
        <w:r w:rsidR="009B220F" w:rsidRPr="006272BE">
          <w:rPr>
            <w:rFonts w:ascii="Times New Roman" w:hAnsi="Times New Roman" w:cs="Times New Roman"/>
            <w:b/>
          </w:rPr>
          <w:t>8</w:t>
        </w:r>
      </w:hyperlink>
      <w:hyperlink r:id="rId236">
        <w:r w:rsidR="009B220F" w:rsidRPr="006272BE">
          <w:rPr>
            <w:rFonts w:ascii="Times New Roman" w:hAnsi="Times New Roman" w:cs="Times New Roman"/>
          </w:rPr>
          <w:t xml:space="preserve">, 263 (2016).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37">
        <w:r w:rsidR="009B220F" w:rsidRPr="006272BE">
          <w:rPr>
            <w:rFonts w:ascii="Times New Roman" w:hAnsi="Times New Roman" w:cs="Times New Roman"/>
          </w:rPr>
          <w:t>27.</w:t>
        </w:r>
      </w:hyperlink>
      <w:r w:rsidR="009B220F" w:rsidRPr="006272BE">
        <w:rPr>
          <w:rFonts w:ascii="Times New Roman" w:eastAsia="Times New Roman" w:hAnsi="Times New Roman" w:cs="Times New Roman"/>
        </w:rPr>
        <w:tab/>
      </w:r>
      <w:hyperlink r:id="rId238">
        <w:r w:rsidR="009B220F" w:rsidRPr="006272BE">
          <w:rPr>
            <w:rFonts w:ascii="Times New Roman" w:hAnsi="Times New Roman" w:cs="Times New Roman"/>
          </w:rPr>
          <w:t xml:space="preserve">Intergovernmental Panel </w:t>
        </w:r>
        <w:proofErr w:type="gramStart"/>
        <w:r w:rsidR="009B220F" w:rsidRPr="006272BE">
          <w:rPr>
            <w:rFonts w:ascii="Times New Roman" w:hAnsi="Times New Roman" w:cs="Times New Roman"/>
          </w:rPr>
          <w:t>On</w:t>
        </w:r>
        <w:proofErr w:type="gramEnd"/>
        <w:r w:rsidR="009B220F" w:rsidRPr="006272BE">
          <w:rPr>
            <w:rFonts w:ascii="Times New Roman" w:hAnsi="Times New Roman" w:cs="Times New Roman"/>
          </w:rPr>
          <w:t xml:space="preserve"> Climate Change (Ipcc). </w:t>
        </w:r>
      </w:hyperlink>
      <w:hyperlink r:id="rId239">
        <w:r w:rsidR="009B220F" w:rsidRPr="006272BE">
          <w:rPr>
            <w:rFonts w:ascii="Times New Roman" w:hAnsi="Times New Roman" w:cs="Times New Roman"/>
            <w:i/>
          </w:rPr>
          <w:t xml:space="preserve">Climate Change 2021 – The Physical Science Basis: Working Group I Contribution to the Sixth Assessment Report of the Intergovernmental Panel </w:t>
        </w:r>
        <w:r w:rsidR="009B220F" w:rsidRPr="006272BE">
          <w:rPr>
            <w:rFonts w:ascii="Times New Roman" w:hAnsi="Times New Roman" w:cs="Times New Roman"/>
            <w:i/>
          </w:rPr>
          <w:lastRenderedPageBreak/>
          <w:t>on Climate Change</w:t>
        </w:r>
      </w:hyperlink>
      <w:hyperlink r:id="rId240">
        <w:r w:rsidR="009B220F" w:rsidRPr="006272BE">
          <w:rPr>
            <w:rFonts w:ascii="Times New Roman" w:hAnsi="Times New Roman" w:cs="Times New Roman"/>
          </w:rPr>
          <w:t xml:space="preserve">. (Cambridge University Press, 2023). doi:10.1017/9781009157896.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41">
        <w:r w:rsidR="009B220F" w:rsidRPr="006272BE">
          <w:rPr>
            <w:rFonts w:ascii="Times New Roman" w:hAnsi="Times New Roman" w:cs="Times New Roman"/>
          </w:rPr>
          <w:t>28.</w:t>
        </w:r>
      </w:hyperlink>
      <w:r w:rsidR="009B220F" w:rsidRPr="006272BE">
        <w:rPr>
          <w:rFonts w:ascii="Times New Roman" w:eastAsia="Times New Roman" w:hAnsi="Times New Roman" w:cs="Times New Roman"/>
        </w:rPr>
        <w:tab/>
      </w:r>
      <w:hyperlink r:id="rId242">
        <w:r w:rsidR="009B220F" w:rsidRPr="006272BE">
          <w:rPr>
            <w:rFonts w:ascii="Times New Roman" w:hAnsi="Times New Roman" w:cs="Times New Roman"/>
          </w:rPr>
          <w:t xml:space="preserve">Zhu, Z. </w:t>
        </w:r>
      </w:hyperlink>
      <w:hyperlink r:id="rId243">
        <w:r w:rsidR="009B220F" w:rsidRPr="006272BE">
          <w:rPr>
            <w:rFonts w:ascii="Times New Roman" w:hAnsi="Times New Roman" w:cs="Times New Roman"/>
            <w:i/>
          </w:rPr>
          <w:t>et al.</w:t>
        </w:r>
      </w:hyperlink>
      <w:hyperlink r:id="rId244">
        <w:r w:rsidR="009B220F" w:rsidRPr="006272BE">
          <w:rPr>
            <w:rFonts w:ascii="Times New Roman" w:hAnsi="Times New Roman" w:cs="Times New Roman"/>
          </w:rPr>
          <w:t xml:space="preserve"> Global Data Sets of Vegetation Leaf Area Index (LAI)3g and Fraction of Photosynthetically Active Radiation (FPAR)3g Derived from Global Inventory Modeling and Mapping Studies (GIMMS) Normalized Difference Vegetation Index (NDVI3g) for the Period 1981 to 2011. </w:t>
        </w:r>
      </w:hyperlink>
      <w:hyperlink r:id="rId245">
        <w:r w:rsidR="009B220F" w:rsidRPr="006272BE">
          <w:rPr>
            <w:rFonts w:ascii="Times New Roman" w:hAnsi="Times New Roman" w:cs="Times New Roman"/>
            <w:i/>
          </w:rPr>
          <w:t xml:space="preserve">Remote Sens. </w:t>
        </w:r>
      </w:hyperlink>
      <w:hyperlink r:id="rId246">
        <w:r w:rsidR="009B220F" w:rsidRPr="006272BE">
          <w:rPr>
            <w:rFonts w:ascii="Times New Roman" w:hAnsi="Times New Roman" w:cs="Times New Roman"/>
            <w:b/>
          </w:rPr>
          <w:t>5</w:t>
        </w:r>
      </w:hyperlink>
      <w:hyperlink r:id="rId247">
        <w:r w:rsidR="009B220F" w:rsidRPr="006272BE">
          <w:rPr>
            <w:rFonts w:ascii="Times New Roman" w:hAnsi="Times New Roman" w:cs="Times New Roman"/>
          </w:rPr>
          <w:t xml:space="preserve">, 927–948 (2013).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48">
        <w:r w:rsidR="009B220F" w:rsidRPr="006272BE">
          <w:rPr>
            <w:rFonts w:ascii="Times New Roman" w:hAnsi="Times New Roman" w:cs="Times New Roman"/>
          </w:rPr>
          <w:t>29.</w:t>
        </w:r>
      </w:hyperlink>
      <w:r w:rsidR="009B220F" w:rsidRPr="006272BE">
        <w:rPr>
          <w:rFonts w:ascii="Times New Roman" w:eastAsia="Times New Roman" w:hAnsi="Times New Roman" w:cs="Times New Roman"/>
        </w:rPr>
        <w:tab/>
      </w:r>
      <w:hyperlink r:id="rId249">
        <w:r w:rsidR="009B220F" w:rsidRPr="006272BE">
          <w:rPr>
            <w:rFonts w:ascii="Times New Roman" w:hAnsi="Times New Roman" w:cs="Times New Roman"/>
          </w:rPr>
          <w:t xml:space="preserve">Yuan, H., Dai, Y., Xiao, Z., Ji, D. &amp; Shangguan, W. Reprocessing the MODIS Leaf Area Index products for land surface and climate modelling. </w:t>
        </w:r>
      </w:hyperlink>
      <w:hyperlink r:id="rId250">
        <w:r w:rsidR="009B220F" w:rsidRPr="006272BE">
          <w:rPr>
            <w:rFonts w:ascii="Times New Roman" w:hAnsi="Times New Roman" w:cs="Times New Roman"/>
            <w:i/>
          </w:rPr>
          <w:t xml:space="preserve">Remote Sens. Environ. </w:t>
        </w:r>
      </w:hyperlink>
      <w:hyperlink r:id="rId251">
        <w:r w:rsidR="009B220F" w:rsidRPr="006272BE">
          <w:rPr>
            <w:rFonts w:ascii="Times New Roman" w:hAnsi="Times New Roman" w:cs="Times New Roman"/>
            <w:b/>
          </w:rPr>
          <w:t>115</w:t>
        </w:r>
      </w:hyperlink>
      <w:hyperlink r:id="rId252">
        <w:r w:rsidR="009B220F" w:rsidRPr="006272BE">
          <w:rPr>
            <w:rFonts w:ascii="Times New Roman" w:hAnsi="Times New Roman" w:cs="Times New Roman"/>
          </w:rPr>
          <w:t xml:space="preserve">, 1171–1187 (2011).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53">
        <w:r w:rsidR="009B220F" w:rsidRPr="006272BE">
          <w:rPr>
            <w:rFonts w:ascii="Times New Roman" w:hAnsi="Times New Roman" w:cs="Times New Roman"/>
          </w:rPr>
          <w:t>30.</w:t>
        </w:r>
      </w:hyperlink>
      <w:r w:rsidR="009B220F" w:rsidRPr="006272BE">
        <w:rPr>
          <w:rFonts w:ascii="Times New Roman" w:eastAsia="Times New Roman" w:hAnsi="Times New Roman" w:cs="Times New Roman"/>
        </w:rPr>
        <w:tab/>
      </w:r>
      <w:hyperlink r:id="rId254">
        <w:r w:rsidR="009B220F" w:rsidRPr="006272BE">
          <w:rPr>
            <w:rFonts w:ascii="Times New Roman" w:hAnsi="Times New Roman" w:cs="Times New Roman"/>
          </w:rPr>
          <w:t xml:space="preserve">Brown, L. A. </w:t>
        </w:r>
      </w:hyperlink>
      <w:hyperlink r:id="rId255">
        <w:r w:rsidR="009B220F" w:rsidRPr="006272BE">
          <w:rPr>
            <w:rFonts w:ascii="Times New Roman" w:hAnsi="Times New Roman" w:cs="Times New Roman"/>
            <w:i/>
          </w:rPr>
          <w:t>et al.</w:t>
        </w:r>
      </w:hyperlink>
      <w:hyperlink r:id="rId256">
        <w:r w:rsidR="009B220F" w:rsidRPr="006272BE">
          <w:rPr>
            <w:rFonts w:ascii="Times New Roman" w:hAnsi="Times New Roman" w:cs="Times New Roman"/>
          </w:rPr>
          <w:t xml:space="preserve"> Fiducial Reference Measurements for Vegetation Bio-Geophysical Variables: An End-to-End Uncertainty Evaluation Framework. </w:t>
        </w:r>
      </w:hyperlink>
      <w:hyperlink r:id="rId257">
        <w:r w:rsidR="009B220F" w:rsidRPr="006272BE">
          <w:rPr>
            <w:rFonts w:ascii="Times New Roman" w:hAnsi="Times New Roman" w:cs="Times New Roman"/>
            <w:i/>
          </w:rPr>
          <w:t xml:space="preserve">Remote Sens. </w:t>
        </w:r>
      </w:hyperlink>
      <w:hyperlink r:id="rId258">
        <w:r w:rsidR="009B220F" w:rsidRPr="006272BE">
          <w:rPr>
            <w:rFonts w:ascii="Times New Roman" w:hAnsi="Times New Roman" w:cs="Times New Roman"/>
            <w:b/>
          </w:rPr>
          <w:t>13</w:t>
        </w:r>
      </w:hyperlink>
      <w:hyperlink r:id="rId259">
        <w:r w:rsidR="009B220F" w:rsidRPr="006272BE">
          <w:rPr>
            <w:rFonts w:ascii="Times New Roman" w:hAnsi="Times New Roman" w:cs="Times New Roman"/>
          </w:rPr>
          <w:t xml:space="preserve">, 3194 (2021).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60">
        <w:r w:rsidR="009B220F" w:rsidRPr="006272BE">
          <w:rPr>
            <w:rFonts w:ascii="Times New Roman" w:hAnsi="Times New Roman" w:cs="Times New Roman"/>
          </w:rPr>
          <w:t>31.</w:t>
        </w:r>
      </w:hyperlink>
      <w:r w:rsidR="009B220F" w:rsidRPr="006272BE">
        <w:rPr>
          <w:rFonts w:ascii="Times New Roman" w:eastAsia="Times New Roman" w:hAnsi="Times New Roman" w:cs="Times New Roman"/>
        </w:rPr>
        <w:tab/>
      </w:r>
      <w:hyperlink r:id="rId261">
        <w:r w:rsidR="009B220F" w:rsidRPr="006272BE">
          <w:rPr>
            <w:rFonts w:ascii="Times New Roman" w:hAnsi="Times New Roman" w:cs="Times New Roman"/>
          </w:rPr>
          <w:t xml:space="preserve">Wang, R. </w:t>
        </w:r>
      </w:hyperlink>
      <w:hyperlink r:id="rId262">
        <w:r w:rsidR="009B220F" w:rsidRPr="006272BE">
          <w:rPr>
            <w:rFonts w:ascii="Times New Roman" w:hAnsi="Times New Roman" w:cs="Times New Roman"/>
            <w:i/>
          </w:rPr>
          <w:t>et al.</w:t>
        </w:r>
      </w:hyperlink>
      <w:hyperlink r:id="rId263">
        <w:r w:rsidR="009B220F" w:rsidRPr="006272BE">
          <w:rPr>
            <w:rFonts w:ascii="Times New Roman" w:hAnsi="Times New Roman" w:cs="Times New Roman"/>
          </w:rPr>
          <w:t xml:space="preserve"> Global forest carbon uptake due to nitrogen and phosphorus deposition from 1850 to 2100. </w:t>
        </w:r>
      </w:hyperlink>
      <w:hyperlink r:id="rId264">
        <w:r w:rsidR="009B220F" w:rsidRPr="006272BE">
          <w:rPr>
            <w:rFonts w:ascii="Times New Roman" w:hAnsi="Times New Roman" w:cs="Times New Roman"/>
            <w:i/>
          </w:rPr>
          <w:t xml:space="preserve">Glob. Change Biol. </w:t>
        </w:r>
      </w:hyperlink>
      <w:hyperlink r:id="rId265">
        <w:r w:rsidR="009B220F" w:rsidRPr="006272BE">
          <w:rPr>
            <w:rFonts w:ascii="Times New Roman" w:hAnsi="Times New Roman" w:cs="Times New Roman"/>
            <w:b/>
          </w:rPr>
          <w:t>23</w:t>
        </w:r>
      </w:hyperlink>
      <w:hyperlink r:id="rId266">
        <w:r w:rsidR="009B220F" w:rsidRPr="006272BE">
          <w:rPr>
            <w:rFonts w:ascii="Times New Roman" w:hAnsi="Times New Roman" w:cs="Times New Roman"/>
          </w:rPr>
          <w:t xml:space="preserve">, 4854–4872 (2017).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67">
        <w:r w:rsidR="009B220F" w:rsidRPr="006272BE">
          <w:rPr>
            <w:rFonts w:ascii="Times New Roman" w:hAnsi="Times New Roman" w:cs="Times New Roman"/>
          </w:rPr>
          <w:t>32.</w:t>
        </w:r>
      </w:hyperlink>
      <w:r w:rsidR="009B220F" w:rsidRPr="006272BE">
        <w:rPr>
          <w:rFonts w:ascii="Times New Roman" w:eastAsia="Times New Roman" w:hAnsi="Times New Roman" w:cs="Times New Roman"/>
        </w:rPr>
        <w:tab/>
      </w:r>
      <w:hyperlink r:id="rId268">
        <w:r w:rsidR="009B220F" w:rsidRPr="006272BE">
          <w:rPr>
            <w:rFonts w:ascii="Times New Roman" w:hAnsi="Times New Roman" w:cs="Times New Roman"/>
          </w:rPr>
          <w:t xml:space="preserve">Wang, S. </w:t>
        </w:r>
      </w:hyperlink>
      <w:hyperlink r:id="rId269">
        <w:r w:rsidR="009B220F" w:rsidRPr="006272BE">
          <w:rPr>
            <w:rFonts w:ascii="Times New Roman" w:hAnsi="Times New Roman" w:cs="Times New Roman"/>
            <w:i/>
          </w:rPr>
          <w:t>et al.</w:t>
        </w:r>
      </w:hyperlink>
      <w:hyperlink r:id="rId270">
        <w:r w:rsidR="009B220F" w:rsidRPr="006272BE">
          <w:rPr>
            <w:rFonts w:ascii="Times New Roman" w:hAnsi="Times New Roman" w:cs="Times New Roman"/>
          </w:rPr>
          <w:t xml:space="preserve"> Recent global decline of CO2 fertilization effects on vegetation photosynthesis. </w:t>
        </w:r>
      </w:hyperlink>
      <w:hyperlink r:id="rId271">
        <w:r w:rsidR="009B220F" w:rsidRPr="006272BE">
          <w:rPr>
            <w:rFonts w:ascii="Times New Roman" w:hAnsi="Times New Roman" w:cs="Times New Roman"/>
            <w:i/>
          </w:rPr>
          <w:t xml:space="preserve">Science </w:t>
        </w:r>
      </w:hyperlink>
      <w:hyperlink r:id="rId272">
        <w:r w:rsidR="009B220F" w:rsidRPr="006272BE">
          <w:rPr>
            <w:rFonts w:ascii="Times New Roman" w:hAnsi="Times New Roman" w:cs="Times New Roman"/>
            <w:b/>
          </w:rPr>
          <w:t>370</w:t>
        </w:r>
      </w:hyperlink>
      <w:hyperlink r:id="rId273">
        <w:r w:rsidR="009B220F" w:rsidRPr="006272BE">
          <w:rPr>
            <w:rFonts w:ascii="Times New Roman" w:hAnsi="Times New Roman" w:cs="Times New Roman"/>
          </w:rPr>
          <w:t xml:space="preserve">, 1295–1300 (2020). </w:t>
        </w:r>
      </w:hyperlink>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74">
        <w:r w:rsidR="009B220F" w:rsidRPr="006272BE">
          <w:rPr>
            <w:rFonts w:ascii="Times New Roman" w:hAnsi="Times New Roman" w:cs="Times New Roman"/>
          </w:rPr>
          <w:t>33.</w:t>
        </w:r>
      </w:hyperlink>
      <w:r w:rsidR="009B220F" w:rsidRPr="006272BE">
        <w:rPr>
          <w:rFonts w:ascii="Times New Roman" w:eastAsia="Times New Roman" w:hAnsi="Times New Roman" w:cs="Times New Roman"/>
        </w:rPr>
        <w:tab/>
      </w:r>
      <w:hyperlink r:id="rId275">
        <w:r w:rsidR="009B220F" w:rsidRPr="006272BE">
          <w:rPr>
            <w:rFonts w:ascii="Times New Roman" w:hAnsi="Times New Roman" w:cs="Times New Roman"/>
          </w:rPr>
          <w:t xml:space="preserve">Chen, T. &amp; Guestrin, C. XGBoost: A Scalable Tree Boosting System. in </w:t>
        </w:r>
      </w:hyperlink>
      <w:hyperlink r:id="rId276">
        <w:r w:rsidR="009B220F" w:rsidRPr="006272BE">
          <w:rPr>
            <w:rFonts w:ascii="Times New Roman" w:hAnsi="Times New Roman" w:cs="Times New Roman"/>
            <w:i/>
          </w:rPr>
          <w:t>Proceedings of the 22nd ACM SIGKDD International Conference on Knowledge Discovery and Data Mining</w:t>
        </w:r>
      </w:hyperlink>
      <w:hyperlink r:id="rId277">
        <w:r w:rsidR="009B220F" w:rsidRPr="006272BE">
          <w:rPr>
            <w:rFonts w:ascii="Times New Roman" w:hAnsi="Times New Roman" w:cs="Times New Roman"/>
          </w:rPr>
          <w:t xml:space="preserve"> 785–794 (ACM, San Francisco California USA, 2016). doi:10.1145/2939672.2939785. </w:t>
        </w:r>
      </w:hyperlink>
    </w:p>
    <w:p w:rsidR="008B1D00"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78">
        <w:r w:rsidR="009B220F" w:rsidRPr="006272BE">
          <w:rPr>
            <w:rFonts w:ascii="Times New Roman" w:hAnsi="Times New Roman" w:cs="Times New Roman"/>
          </w:rPr>
          <w:t>34.</w:t>
        </w:r>
      </w:hyperlink>
      <w:r w:rsidR="009B220F" w:rsidRPr="006272BE">
        <w:rPr>
          <w:rFonts w:ascii="Times New Roman" w:eastAsia="Times New Roman" w:hAnsi="Times New Roman" w:cs="Times New Roman"/>
        </w:rPr>
        <w:tab/>
      </w:r>
      <w:hyperlink r:id="rId279">
        <w:r w:rsidR="009B220F" w:rsidRPr="006272BE">
          <w:rPr>
            <w:rFonts w:ascii="Times New Roman" w:hAnsi="Times New Roman" w:cs="Times New Roman"/>
          </w:rPr>
          <w:t xml:space="preserve">Lundberg, S. M. &amp; Lee, S.-I. A Unified Approach to Interpreting Model Predictions. in </w:t>
        </w:r>
      </w:hyperlink>
      <w:hyperlink r:id="rId280">
        <w:r w:rsidR="009B220F" w:rsidRPr="006272BE">
          <w:rPr>
            <w:rFonts w:ascii="Times New Roman" w:hAnsi="Times New Roman" w:cs="Times New Roman"/>
            <w:i/>
          </w:rPr>
          <w:t>Advances in Neural Information Processing Systems</w:t>
        </w:r>
      </w:hyperlink>
      <w:hyperlink r:id="rId281">
        <w:r w:rsidR="009B220F" w:rsidRPr="006272BE">
          <w:rPr>
            <w:rFonts w:ascii="Times New Roman" w:hAnsi="Times New Roman" w:cs="Times New Roman"/>
          </w:rPr>
          <w:t xml:space="preserve"> vol. 30 (Curran Associates, Inc., 2017).</w:t>
        </w:r>
        <w:r w:rsidR="009B220F" w:rsidRPr="006272BE">
          <w:rPr>
            <w:rFonts w:ascii="Times New Roman" w:hAnsi="Times New Roman" w:cs="Times New Roman"/>
          </w:rPr>
          <w:t xml:space="preserve"> </w:t>
        </w:r>
      </w:hyperlink>
    </w:p>
    <w:p w:rsidR="009D5367" w:rsidRPr="009D5367" w:rsidRDefault="009D5367" w:rsidP="009D5367">
      <w:pPr>
        <w:widowControl w:val="0"/>
        <w:pBdr>
          <w:top w:val="nil"/>
          <w:left w:val="nil"/>
          <w:bottom w:val="nil"/>
          <w:right w:val="nil"/>
          <w:between w:val="nil"/>
        </w:pBdr>
        <w:spacing w:after="0" w:line="480" w:lineRule="auto"/>
        <w:ind w:left="384" w:hanging="384"/>
        <w:rPr>
          <w:rFonts w:ascii="Times New Roman" w:hAnsi="Times New Roman" w:cs="Times New Roman"/>
        </w:rPr>
      </w:pPr>
      <w:r>
        <w:rPr>
          <w:rFonts w:ascii="Times New Roman" w:hAnsi="Times New Roman" w:cs="Times New Roman"/>
        </w:rPr>
        <w:t>35</w:t>
      </w:r>
      <w:r w:rsidRPr="009D5367">
        <w:rPr>
          <w:rFonts w:ascii="Times New Roman" w:hAnsi="Times New Roman" w:cs="Times New Roman"/>
        </w:rPr>
        <w:t>.</w:t>
      </w:r>
      <w:r w:rsidRPr="009D5367">
        <w:rPr>
          <w:rFonts w:ascii="Times New Roman" w:hAnsi="Times New Roman" w:cs="Times New Roman"/>
        </w:rPr>
        <w:tab/>
        <w:t xml:space="preserve">Wang, R. et al. Global forest carbon uptake due to nitrogen and phosphorus deposition from 1850 to 2100. Glob. Change Biol. 23, 4854–4872 (2017). </w:t>
      </w:r>
    </w:p>
    <w:p w:rsidR="009D5367" w:rsidRPr="009D5367" w:rsidRDefault="009D5367" w:rsidP="009D5367">
      <w:pPr>
        <w:widowControl w:val="0"/>
        <w:pBdr>
          <w:top w:val="nil"/>
          <w:left w:val="nil"/>
          <w:bottom w:val="nil"/>
          <w:right w:val="nil"/>
          <w:between w:val="nil"/>
        </w:pBdr>
        <w:spacing w:after="0" w:line="480" w:lineRule="auto"/>
        <w:ind w:left="384" w:hanging="384"/>
        <w:rPr>
          <w:rFonts w:ascii="Times New Roman" w:hAnsi="Times New Roman" w:cs="Times New Roman"/>
        </w:rPr>
      </w:pPr>
      <w:r>
        <w:rPr>
          <w:rFonts w:ascii="Times New Roman" w:hAnsi="Times New Roman" w:cs="Times New Roman"/>
        </w:rPr>
        <w:t>36</w:t>
      </w:r>
      <w:r w:rsidRPr="009D5367">
        <w:rPr>
          <w:rFonts w:ascii="Times New Roman" w:hAnsi="Times New Roman" w:cs="Times New Roman"/>
        </w:rPr>
        <w:t>.</w:t>
      </w:r>
      <w:r w:rsidRPr="009D5367">
        <w:rPr>
          <w:rFonts w:ascii="Times New Roman" w:hAnsi="Times New Roman" w:cs="Times New Roman"/>
        </w:rPr>
        <w:tab/>
        <w:t xml:space="preserve">Piao, S. et al. Detection and attribution of vegetation greening trend in China over the last 30 years. Glob. Change Biol. 21, 1601–1609 (2015). </w:t>
      </w:r>
    </w:p>
    <w:p w:rsidR="009D5367" w:rsidRPr="009D5367" w:rsidRDefault="009D5367" w:rsidP="009D5367">
      <w:pPr>
        <w:widowControl w:val="0"/>
        <w:pBdr>
          <w:top w:val="nil"/>
          <w:left w:val="nil"/>
          <w:bottom w:val="nil"/>
          <w:right w:val="nil"/>
          <w:between w:val="nil"/>
        </w:pBdr>
        <w:spacing w:after="0" w:line="480" w:lineRule="auto"/>
        <w:ind w:left="384" w:hanging="384"/>
        <w:rPr>
          <w:rFonts w:ascii="Times New Roman" w:hAnsi="Times New Roman" w:cs="Times New Roman"/>
        </w:rPr>
      </w:pPr>
      <w:r>
        <w:rPr>
          <w:rFonts w:ascii="Times New Roman" w:hAnsi="Times New Roman" w:cs="Times New Roman"/>
        </w:rPr>
        <w:t>37</w:t>
      </w:r>
      <w:r w:rsidRPr="009D5367">
        <w:rPr>
          <w:rFonts w:ascii="Times New Roman" w:hAnsi="Times New Roman" w:cs="Times New Roman"/>
        </w:rPr>
        <w:t>.</w:t>
      </w:r>
      <w:r w:rsidRPr="009D5367">
        <w:rPr>
          <w:rFonts w:ascii="Times New Roman" w:hAnsi="Times New Roman" w:cs="Times New Roman"/>
        </w:rPr>
        <w:tab/>
        <w:t xml:space="preserve">McCarthy, H. R., Oren, R., </w:t>
      </w:r>
      <w:proofErr w:type="spellStart"/>
      <w:r w:rsidRPr="009D5367">
        <w:rPr>
          <w:rFonts w:ascii="Times New Roman" w:hAnsi="Times New Roman" w:cs="Times New Roman"/>
        </w:rPr>
        <w:t>Finzi</w:t>
      </w:r>
      <w:proofErr w:type="spellEnd"/>
      <w:r w:rsidRPr="009D5367">
        <w:rPr>
          <w:rFonts w:ascii="Times New Roman" w:hAnsi="Times New Roman" w:cs="Times New Roman"/>
        </w:rPr>
        <w:t xml:space="preserve">, A. C. &amp; Johnsen, K. H. Canopy leaf area constrains [CO2]-induced enhancement of productivity and partitioning among aboveground carbon pools. Proc. Natl. Acad. Sci. 103, 19356–19361 (2006). </w:t>
      </w:r>
    </w:p>
    <w:p w:rsidR="009D5367" w:rsidRPr="009D5367" w:rsidRDefault="009D5367" w:rsidP="009D5367">
      <w:pPr>
        <w:widowControl w:val="0"/>
        <w:pBdr>
          <w:top w:val="nil"/>
          <w:left w:val="nil"/>
          <w:bottom w:val="nil"/>
          <w:right w:val="nil"/>
          <w:between w:val="nil"/>
        </w:pBdr>
        <w:spacing w:after="0" w:line="480" w:lineRule="auto"/>
        <w:ind w:left="384" w:hanging="384"/>
        <w:rPr>
          <w:rFonts w:ascii="Times New Roman" w:hAnsi="Times New Roman" w:cs="Times New Roman"/>
        </w:rPr>
      </w:pPr>
      <w:r>
        <w:rPr>
          <w:rFonts w:ascii="Times New Roman" w:hAnsi="Times New Roman" w:cs="Times New Roman"/>
        </w:rPr>
        <w:t>38</w:t>
      </w:r>
      <w:r w:rsidRPr="009D5367">
        <w:rPr>
          <w:rFonts w:ascii="Times New Roman" w:hAnsi="Times New Roman" w:cs="Times New Roman"/>
        </w:rPr>
        <w:t>.</w:t>
      </w:r>
      <w:r w:rsidRPr="009D5367">
        <w:rPr>
          <w:rFonts w:ascii="Times New Roman" w:hAnsi="Times New Roman" w:cs="Times New Roman"/>
        </w:rPr>
        <w:tab/>
      </w:r>
      <w:proofErr w:type="spellStart"/>
      <w:r w:rsidRPr="009D5367">
        <w:rPr>
          <w:rFonts w:ascii="Times New Roman" w:hAnsi="Times New Roman" w:cs="Times New Roman"/>
        </w:rPr>
        <w:t>Palmroth</w:t>
      </w:r>
      <w:proofErr w:type="spellEnd"/>
      <w:r w:rsidRPr="009D5367">
        <w:rPr>
          <w:rFonts w:ascii="Times New Roman" w:hAnsi="Times New Roman" w:cs="Times New Roman"/>
        </w:rPr>
        <w:t xml:space="preserve">, S. et al. Increased leaf area index and efficiency drive enhanced production under elevated </w:t>
      </w:r>
      <w:r w:rsidRPr="009D5367">
        <w:rPr>
          <w:rFonts w:ascii="Times New Roman" w:hAnsi="Times New Roman" w:cs="Times New Roman"/>
        </w:rPr>
        <w:lastRenderedPageBreak/>
        <w:t xml:space="preserve">atmospheric [CO2] in a pine-dominated stand showing no progressive nitrogen limitation. Glob. Change Biol. 30, e17190 (2024). </w:t>
      </w:r>
    </w:p>
    <w:p w:rsidR="009D5367" w:rsidRPr="009D5367" w:rsidRDefault="009D5367" w:rsidP="009D5367">
      <w:pPr>
        <w:widowControl w:val="0"/>
        <w:pBdr>
          <w:top w:val="nil"/>
          <w:left w:val="nil"/>
          <w:bottom w:val="nil"/>
          <w:right w:val="nil"/>
          <w:between w:val="nil"/>
        </w:pBdr>
        <w:spacing w:after="0" w:line="480" w:lineRule="auto"/>
        <w:ind w:left="384" w:hanging="384"/>
        <w:rPr>
          <w:rFonts w:ascii="Times New Roman" w:hAnsi="Times New Roman" w:cs="Times New Roman"/>
        </w:rPr>
      </w:pPr>
      <w:r>
        <w:rPr>
          <w:rFonts w:ascii="Times New Roman" w:hAnsi="Times New Roman" w:cs="Times New Roman"/>
        </w:rPr>
        <w:t>39</w:t>
      </w:r>
      <w:r w:rsidRPr="009D5367">
        <w:rPr>
          <w:rFonts w:ascii="Times New Roman" w:hAnsi="Times New Roman" w:cs="Times New Roman"/>
        </w:rPr>
        <w:t>.</w:t>
      </w:r>
      <w:r w:rsidRPr="009D5367">
        <w:rPr>
          <w:rFonts w:ascii="Times New Roman" w:hAnsi="Times New Roman" w:cs="Times New Roman"/>
        </w:rPr>
        <w:tab/>
        <w:t xml:space="preserve">Norby, R. J. &amp; Zak, D. R. Ecological Lessons from Free-Air CO2 Enrichment (FACE) Experiments. </w:t>
      </w:r>
      <w:proofErr w:type="spellStart"/>
      <w:r w:rsidRPr="009D5367">
        <w:rPr>
          <w:rFonts w:ascii="Times New Roman" w:hAnsi="Times New Roman" w:cs="Times New Roman"/>
        </w:rPr>
        <w:t>Annu</w:t>
      </w:r>
      <w:proofErr w:type="spellEnd"/>
      <w:r w:rsidRPr="009D5367">
        <w:rPr>
          <w:rFonts w:ascii="Times New Roman" w:hAnsi="Times New Roman" w:cs="Times New Roman"/>
        </w:rPr>
        <w:t xml:space="preserve">. Rev. Ecol. </w:t>
      </w:r>
      <w:proofErr w:type="spellStart"/>
      <w:r w:rsidRPr="009D5367">
        <w:rPr>
          <w:rFonts w:ascii="Times New Roman" w:hAnsi="Times New Roman" w:cs="Times New Roman"/>
        </w:rPr>
        <w:t>Evol</w:t>
      </w:r>
      <w:proofErr w:type="spellEnd"/>
      <w:r w:rsidRPr="009D5367">
        <w:rPr>
          <w:rFonts w:ascii="Times New Roman" w:hAnsi="Times New Roman" w:cs="Times New Roman"/>
        </w:rPr>
        <w:t xml:space="preserve">. Syst. 42, 181–203 (2011). </w:t>
      </w:r>
    </w:p>
    <w:p w:rsidR="009D5367" w:rsidRPr="009D5367" w:rsidRDefault="009D5367" w:rsidP="009D5367">
      <w:pPr>
        <w:widowControl w:val="0"/>
        <w:pBdr>
          <w:top w:val="nil"/>
          <w:left w:val="nil"/>
          <w:bottom w:val="nil"/>
          <w:right w:val="nil"/>
          <w:between w:val="nil"/>
        </w:pBdr>
        <w:spacing w:after="0" w:line="480" w:lineRule="auto"/>
        <w:ind w:left="384" w:hanging="384"/>
        <w:rPr>
          <w:rFonts w:ascii="Times New Roman" w:hAnsi="Times New Roman" w:cs="Times New Roman"/>
        </w:rPr>
      </w:pPr>
      <w:r>
        <w:rPr>
          <w:rFonts w:ascii="Times New Roman" w:hAnsi="Times New Roman" w:cs="Times New Roman"/>
        </w:rPr>
        <w:t>40</w:t>
      </w:r>
      <w:r w:rsidRPr="009D5367">
        <w:rPr>
          <w:rFonts w:ascii="Times New Roman" w:hAnsi="Times New Roman" w:cs="Times New Roman"/>
        </w:rPr>
        <w:t>.</w:t>
      </w:r>
      <w:r w:rsidRPr="009D5367">
        <w:rPr>
          <w:rFonts w:ascii="Times New Roman" w:hAnsi="Times New Roman" w:cs="Times New Roman"/>
        </w:rPr>
        <w:tab/>
        <w:t xml:space="preserve">Jiang, M., Kelly, J. W. G., Atwell, B. J., Tissue, D. T. &amp; </w:t>
      </w:r>
      <w:proofErr w:type="spellStart"/>
      <w:r w:rsidRPr="009D5367">
        <w:rPr>
          <w:rFonts w:ascii="Times New Roman" w:hAnsi="Times New Roman" w:cs="Times New Roman"/>
        </w:rPr>
        <w:t>Medlyn</w:t>
      </w:r>
      <w:proofErr w:type="spellEnd"/>
      <w:r w:rsidRPr="009D5367">
        <w:rPr>
          <w:rFonts w:ascii="Times New Roman" w:hAnsi="Times New Roman" w:cs="Times New Roman"/>
        </w:rPr>
        <w:t xml:space="preserve">, B. E. Drought by CO2 interactions in trees: a test of the water savings mechanism. New Phytol. 230, 1421–1434 (2021). </w:t>
      </w:r>
    </w:p>
    <w:p w:rsidR="009D5367" w:rsidRPr="009D5367" w:rsidRDefault="009D5367" w:rsidP="009D5367">
      <w:pPr>
        <w:widowControl w:val="0"/>
        <w:pBdr>
          <w:top w:val="nil"/>
          <w:left w:val="nil"/>
          <w:bottom w:val="nil"/>
          <w:right w:val="nil"/>
          <w:between w:val="nil"/>
        </w:pBdr>
        <w:spacing w:after="0" w:line="480" w:lineRule="auto"/>
        <w:ind w:left="384" w:hanging="384"/>
        <w:rPr>
          <w:rFonts w:ascii="Times New Roman" w:hAnsi="Times New Roman" w:cs="Times New Roman"/>
        </w:rPr>
      </w:pPr>
      <w:r>
        <w:rPr>
          <w:rFonts w:ascii="Times New Roman" w:hAnsi="Times New Roman" w:cs="Times New Roman"/>
        </w:rPr>
        <w:t>41</w:t>
      </w:r>
      <w:r w:rsidRPr="009D5367">
        <w:rPr>
          <w:rFonts w:ascii="Times New Roman" w:hAnsi="Times New Roman" w:cs="Times New Roman"/>
        </w:rPr>
        <w:t>.</w:t>
      </w:r>
      <w:r w:rsidRPr="009D5367">
        <w:rPr>
          <w:rFonts w:ascii="Times New Roman" w:hAnsi="Times New Roman" w:cs="Times New Roman"/>
        </w:rPr>
        <w:tab/>
        <w:t xml:space="preserve">Morgan, J. A. et al. C4 grasses prosper as carbon dioxide eliminates desiccation in warmed semi-arid grassland. Nature 476, 202–205 (2011). </w:t>
      </w:r>
    </w:p>
    <w:p w:rsidR="009D5367" w:rsidRPr="009D5367" w:rsidRDefault="009D5367" w:rsidP="009D5367">
      <w:pPr>
        <w:widowControl w:val="0"/>
        <w:pBdr>
          <w:top w:val="nil"/>
          <w:left w:val="nil"/>
          <w:bottom w:val="nil"/>
          <w:right w:val="nil"/>
          <w:between w:val="nil"/>
        </w:pBdr>
        <w:spacing w:after="0" w:line="480" w:lineRule="auto"/>
        <w:ind w:left="384" w:hanging="384"/>
        <w:rPr>
          <w:rFonts w:ascii="Times New Roman" w:hAnsi="Times New Roman" w:cs="Times New Roman"/>
        </w:rPr>
      </w:pPr>
      <w:r>
        <w:rPr>
          <w:rFonts w:ascii="Times New Roman" w:hAnsi="Times New Roman" w:cs="Times New Roman"/>
        </w:rPr>
        <w:t>42</w:t>
      </w:r>
      <w:r w:rsidRPr="009D5367">
        <w:rPr>
          <w:rFonts w:ascii="Times New Roman" w:hAnsi="Times New Roman" w:cs="Times New Roman"/>
        </w:rPr>
        <w:t>.</w:t>
      </w:r>
      <w:r w:rsidRPr="009D5367">
        <w:rPr>
          <w:rFonts w:ascii="Times New Roman" w:hAnsi="Times New Roman" w:cs="Times New Roman"/>
        </w:rPr>
        <w:tab/>
        <w:t xml:space="preserve">Jiang, M. et al. Low phosphorus supply constrains plant responses to elevated CO2: A meta-analysis. Glob. Change Biol. 26, 5856–5873 (2020). </w:t>
      </w:r>
    </w:p>
    <w:p w:rsidR="009D5367" w:rsidRPr="009D5367" w:rsidRDefault="009D5367" w:rsidP="009D5367">
      <w:pPr>
        <w:widowControl w:val="0"/>
        <w:pBdr>
          <w:top w:val="nil"/>
          <w:left w:val="nil"/>
          <w:bottom w:val="nil"/>
          <w:right w:val="nil"/>
          <w:between w:val="nil"/>
        </w:pBdr>
        <w:spacing w:after="0" w:line="480" w:lineRule="auto"/>
        <w:ind w:left="384" w:hanging="384"/>
        <w:rPr>
          <w:rFonts w:ascii="Times New Roman" w:hAnsi="Times New Roman" w:cs="Times New Roman"/>
        </w:rPr>
      </w:pPr>
      <w:r>
        <w:rPr>
          <w:rFonts w:ascii="Times New Roman" w:hAnsi="Times New Roman" w:cs="Times New Roman"/>
        </w:rPr>
        <w:t>43</w:t>
      </w:r>
      <w:r w:rsidRPr="009D5367">
        <w:rPr>
          <w:rFonts w:ascii="Times New Roman" w:hAnsi="Times New Roman" w:cs="Times New Roman"/>
        </w:rPr>
        <w:t>.</w:t>
      </w:r>
      <w:r w:rsidRPr="009D5367">
        <w:rPr>
          <w:rFonts w:ascii="Times New Roman" w:hAnsi="Times New Roman" w:cs="Times New Roman"/>
        </w:rPr>
        <w:tab/>
      </w:r>
      <w:proofErr w:type="spellStart"/>
      <w:r w:rsidRPr="009D5367">
        <w:rPr>
          <w:rFonts w:ascii="Times New Roman" w:hAnsi="Times New Roman" w:cs="Times New Roman"/>
        </w:rPr>
        <w:t>Lapola</w:t>
      </w:r>
      <w:proofErr w:type="spellEnd"/>
      <w:r w:rsidRPr="009D5367">
        <w:rPr>
          <w:rFonts w:ascii="Times New Roman" w:hAnsi="Times New Roman" w:cs="Times New Roman"/>
        </w:rPr>
        <w:t xml:space="preserve">, D. et al. </w:t>
      </w:r>
      <w:proofErr w:type="spellStart"/>
      <w:r w:rsidRPr="009D5367">
        <w:rPr>
          <w:rFonts w:ascii="Times New Roman" w:hAnsi="Times New Roman" w:cs="Times New Roman"/>
        </w:rPr>
        <w:t>AmazonFACE</w:t>
      </w:r>
      <w:proofErr w:type="spellEnd"/>
      <w:r w:rsidRPr="009D5367">
        <w:rPr>
          <w:rFonts w:ascii="Times New Roman" w:hAnsi="Times New Roman" w:cs="Times New Roman"/>
        </w:rPr>
        <w:t xml:space="preserve">: Assessing the effects of increased atmospheric CO2 on the ecology and resilience of the Amazon forest - 2025-2030 Science Plan. Preprint at https://doi.org/10.5281/ZENODO.13693335 (2024). </w:t>
      </w:r>
    </w:p>
    <w:p w:rsidR="009D5367" w:rsidRPr="009D5367" w:rsidRDefault="009D5367" w:rsidP="009D5367">
      <w:pPr>
        <w:widowControl w:val="0"/>
        <w:pBdr>
          <w:top w:val="nil"/>
          <w:left w:val="nil"/>
          <w:bottom w:val="nil"/>
          <w:right w:val="nil"/>
          <w:between w:val="nil"/>
        </w:pBdr>
        <w:spacing w:after="0" w:line="480" w:lineRule="auto"/>
        <w:ind w:left="384" w:hanging="384"/>
        <w:rPr>
          <w:rFonts w:ascii="Times New Roman" w:hAnsi="Times New Roman" w:cs="Times New Roman"/>
        </w:rPr>
      </w:pPr>
      <w:r>
        <w:rPr>
          <w:rFonts w:ascii="Times New Roman" w:hAnsi="Times New Roman" w:cs="Times New Roman"/>
        </w:rPr>
        <w:t>44</w:t>
      </w:r>
      <w:r w:rsidRPr="009D5367">
        <w:rPr>
          <w:rFonts w:ascii="Times New Roman" w:hAnsi="Times New Roman" w:cs="Times New Roman"/>
        </w:rPr>
        <w:t>.</w:t>
      </w:r>
      <w:r w:rsidRPr="009D5367">
        <w:rPr>
          <w:rFonts w:ascii="Times New Roman" w:hAnsi="Times New Roman" w:cs="Times New Roman"/>
        </w:rPr>
        <w:tab/>
        <w:t xml:space="preserve">Fleischer, K. et al. Amazon forest response to CO2 fertilization dependent on plant phosphorus acquisition. Nat. </w:t>
      </w:r>
      <w:proofErr w:type="spellStart"/>
      <w:r w:rsidRPr="009D5367">
        <w:rPr>
          <w:rFonts w:ascii="Times New Roman" w:hAnsi="Times New Roman" w:cs="Times New Roman"/>
        </w:rPr>
        <w:t>Geosci</w:t>
      </w:r>
      <w:proofErr w:type="spellEnd"/>
      <w:r w:rsidRPr="009D5367">
        <w:rPr>
          <w:rFonts w:ascii="Times New Roman" w:hAnsi="Times New Roman" w:cs="Times New Roman"/>
        </w:rPr>
        <w:t>. 12, 736–741 (2019).</w:t>
      </w:r>
    </w:p>
    <w:p w:rsidR="008B1D00" w:rsidRPr="006272BE" w:rsidRDefault="002F0BFA">
      <w:pPr>
        <w:widowControl w:val="0"/>
        <w:pBdr>
          <w:top w:val="nil"/>
          <w:left w:val="nil"/>
          <w:bottom w:val="nil"/>
          <w:right w:val="nil"/>
          <w:between w:val="nil"/>
        </w:pBdr>
        <w:spacing w:after="0" w:line="480" w:lineRule="auto"/>
        <w:ind w:left="384" w:hanging="384"/>
        <w:rPr>
          <w:rFonts w:ascii="Times New Roman" w:hAnsi="Times New Roman" w:cs="Times New Roman"/>
        </w:rPr>
      </w:pPr>
      <w:hyperlink r:id="rId282">
        <w:r w:rsidR="009D5367">
          <w:rPr>
            <w:rFonts w:ascii="Times New Roman" w:hAnsi="Times New Roman" w:cs="Times New Roman"/>
          </w:rPr>
          <w:t>4</w:t>
        </w:r>
        <w:r w:rsidR="009B220F" w:rsidRPr="006272BE">
          <w:rPr>
            <w:rFonts w:ascii="Times New Roman" w:hAnsi="Times New Roman" w:cs="Times New Roman"/>
          </w:rPr>
          <w:t>5.</w:t>
        </w:r>
      </w:hyperlink>
      <w:r w:rsidR="009B220F" w:rsidRPr="006272BE">
        <w:rPr>
          <w:rFonts w:ascii="Times New Roman" w:eastAsia="Times New Roman" w:hAnsi="Times New Roman" w:cs="Times New Roman"/>
        </w:rPr>
        <w:tab/>
      </w:r>
      <w:hyperlink r:id="rId283">
        <w:r w:rsidR="009B220F" w:rsidRPr="006272BE">
          <w:rPr>
            <w:rFonts w:ascii="Times New Roman" w:hAnsi="Times New Roman" w:cs="Times New Roman"/>
          </w:rPr>
          <w:t xml:space="preserve">Potapov, P. </w:t>
        </w:r>
      </w:hyperlink>
      <w:hyperlink r:id="rId284">
        <w:r w:rsidR="009B220F" w:rsidRPr="006272BE">
          <w:rPr>
            <w:rFonts w:ascii="Times New Roman" w:hAnsi="Times New Roman" w:cs="Times New Roman"/>
            <w:i/>
          </w:rPr>
          <w:t>et al.</w:t>
        </w:r>
      </w:hyperlink>
      <w:hyperlink r:id="rId285">
        <w:r w:rsidR="009B220F" w:rsidRPr="006272BE">
          <w:rPr>
            <w:rFonts w:ascii="Times New Roman" w:hAnsi="Times New Roman" w:cs="Times New Roman"/>
          </w:rPr>
          <w:t xml:space="preserve"> The last frontiers of wilderness: Tracking loss of intact forest landscapes from 2000 to 2013. </w:t>
        </w:r>
      </w:hyperlink>
      <w:hyperlink r:id="rId286">
        <w:r w:rsidR="009B220F" w:rsidRPr="006272BE">
          <w:rPr>
            <w:rFonts w:ascii="Times New Roman" w:hAnsi="Times New Roman" w:cs="Times New Roman"/>
            <w:i/>
          </w:rPr>
          <w:t xml:space="preserve">Sci. Adv. </w:t>
        </w:r>
      </w:hyperlink>
      <w:hyperlink r:id="rId287">
        <w:r w:rsidR="009B220F" w:rsidRPr="006272BE">
          <w:rPr>
            <w:rFonts w:ascii="Times New Roman" w:hAnsi="Times New Roman" w:cs="Times New Roman"/>
            <w:b/>
          </w:rPr>
          <w:t>3</w:t>
        </w:r>
      </w:hyperlink>
      <w:hyperlink r:id="rId288">
        <w:r w:rsidR="009B220F" w:rsidRPr="006272BE">
          <w:rPr>
            <w:rFonts w:ascii="Times New Roman" w:hAnsi="Times New Roman" w:cs="Times New Roman"/>
          </w:rPr>
          <w:t xml:space="preserve">, e1600821 (2017). </w:t>
        </w:r>
      </w:hyperlink>
    </w:p>
    <w:p w:rsidR="008B1D00" w:rsidRDefault="002F0BFA">
      <w:pPr>
        <w:widowControl w:val="0"/>
        <w:pBdr>
          <w:top w:val="nil"/>
          <w:left w:val="nil"/>
          <w:bottom w:val="nil"/>
          <w:right w:val="nil"/>
          <w:between w:val="nil"/>
        </w:pBdr>
        <w:spacing w:after="0" w:line="480" w:lineRule="auto"/>
        <w:ind w:left="384" w:hanging="384"/>
      </w:pPr>
      <w:hyperlink r:id="rId289">
        <w:r w:rsidR="009D5367">
          <w:rPr>
            <w:rFonts w:ascii="Times New Roman" w:hAnsi="Times New Roman" w:cs="Times New Roman"/>
          </w:rPr>
          <w:t>4</w:t>
        </w:r>
        <w:r w:rsidR="009B220F" w:rsidRPr="006272BE">
          <w:rPr>
            <w:rFonts w:ascii="Times New Roman" w:hAnsi="Times New Roman" w:cs="Times New Roman"/>
          </w:rPr>
          <w:t>6.</w:t>
        </w:r>
      </w:hyperlink>
      <w:r w:rsidR="009B220F" w:rsidRPr="006272BE">
        <w:rPr>
          <w:rFonts w:ascii="Times New Roman" w:eastAsia="Times New Roman" w:hAnsi="Times New Roman" w:cs="Times New Roman"/>
        </w:rPr>
        <w:tab/>
      </w:r>
      <w:hyperlink r:id="rId290">
        <w:r w:rsidR="009B220F" w:rsidRPr="006272BE">
          <w:rPr>
            <w:rFonts w:ascii="Times New Roman" w:hAnsi="Times New Roman" w:cs="Times New Roman"/>
          </w:rPr>
          <w:t xml:space="preserve">Friedl, M. &amp; Sulla-Menashe, D. MODIS/Terra+Aqua Land Cover Type Yearly L3 Global 0.05Deg CMG V061. </w:t>
        </w:r>
      </w:hyperlink>
      <w:hyperlink r:id="rId291">
        <w:r w:rsidR="009B220F" w:rsidRPr="006272BE">
          <w:rPr>
            <w:rFonts w:ascii="Times New Roman" w:hAnsi="Times New Roman" w:cs="Times New Roman"/>
            <w:i/>
          </w:rPr>
          <w:t>NASA EOSDIS Land Process. Distrib. Act. Arch. Cent. DAAC Data Set</w:t>
        </w:r>
      </w:hyperlink>
      <w:hyperlink r:id="rId292">
        <w:r w:rsidR="009B220F" w:rsidRPr="006272BE">
          <w:rPr>
            <w:rFonts w:ascii="Times New Roman" w:hAnsi="Times New Roman" w:cs="Times New Roman"/>
          </w:rPr>
          <w:t xml:space="preserve"> MCD12C1.061 (2022) doi:10.5067/MODIS/MCD12C1.061. </w:t>
        </w:r>
      </w:hyperlink>
    </w:p>
    <w:sectPr w:rsidR="008B1D00">
      <w:footerReference w:type="default" r:id="rId293"/>
      <w:pgSz w:w="12240" w:h="15840"/>
      <w:pgMar w:top="1440" w:right="1440" w:bottom="1440" w:left="1440" w:header="720" w:footer="720"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70CE" w:rsidRDefault="001770CE">
      <w:pPr>
        <w:spacing w:after="0" w:line="240" w:lineRule="auto"/>
      </w:pPr>
      <w:r>
        <w:separator/>
      </w:r>
    </w:p>
  </w:endnote>
  <w:endnote w:type="continuationSeparator" w:id="0">
    <w:p w:rsidR="001770CE" w:rsidRDefault="001770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0BFA" w:rsidRDefault="002F0BFA">
    <w:pPr>
      <w:pBdr>
        <w:top w:val="nil"/>
        <w:left w:val="nil"/>
        <w:bottom w:val="nil"/>
        <w:right w:val="nil"/>
        <w:between w:val="nil"/>
      </w:pBdr>
      <w:tabs>
        <w:tab w:val="center" w:pos="4320"/>
        <w:tab w:val="right" w:pos="8640"/>
      </w:tabs>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Pr>
        <w:rFonts w:ascii="Times New Roman" w:eastAsia="Times New Roman" w:hAnsi="Times New Roman" w:cs="Times New Roman"/>
        <w:noProof/>
        <w:color w:val="000000"/>
        <w:sz w:val="20"/>
        <w:szCs w:val="20"/>
      </w:rPr>
      <w:t>1</w:t>
    </w:r>
    <w:r>
      <w:rPr>
        <w:rFonts w:ascii="Times New Roman" w:eastAsia="Times New Roman" w:hAnsi="Times New Roman" w:cs="Times New Roman"/>
        <w:color w:val="000000"/>
        <w:sz w:val="20"/>
        <w:szCs w:val="20"/>
      </w:rPr>
      <w:fldChar w:fldCharType="end"/>
    </w:r>
  </w:p>
  <w:p w:rsidR="002F0BFA" w:rsidRDefault="002F0BFA">
    <w:pPr>
      <w:pBdr>
        <w:top w:val="nil"/>
        <w:left w:val="nil"/>
        <w:bottom w:val="nil"/>
        <w:right w:val="nil"/>
        <w:between w:val="nil"/>
      </w:pBdr>
      <w:tabs>
        <w:tab w:val="center" w:pos="4320"/>
        <w:tab w:val="right" w:pos="864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70CE" w:rsidRDefault="001770CE">
      <w:pPr>
        <w:spacing w:after="0" w:line="240" w:lineRule="auto"/>
      </w:pPr>
      <w:r>
        <w:separator/>
      </w:r>
    </w:p>
  </w:footnote>
  <w:footnote w:type="continuationSeparator" w:id="0">
    <w:p w:rsidR="001770CE" w:rsidRDefault="001770C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1D00"/>
    <w:rsid w:val="0010392C"/>
    <w:rsid w:val="00106B63"/>
    <w:rsid w:val="0014681C"/>
    <w:rsid w:val="001770CE"/>
    <w:rsid w:val="002D644B"/>
    <w:rsid w:val="002E0626"/>
    <w:rsid w:val="002F0BFA"/>
    <w:rsid w:val="00303007"/>
    <w:rsid w:val="0034702E"/>
    <w:rsid w:val="003504C0"/>
    <w:rsid w:val="004C1C39"/>
    <w:rsid w:val="004C54D6"/>
    <w:rsid w:val="005244D7"/>
    <w:rsid w:val="00545323"/>
    <w:rsid w:val="00562249"/>
    <w:rsid w:val="005E6152"/>
    <w:rsid w:val="005F22BD"/>
    <w:rsid w:val="006272BE"/>
    <w:rsid w:val="0063245C"/>
    <w:rsid w:val="006F3EFA"/>
    <w:rsid w:val="006F5ED6"/>
    <w:rsid w:val="007B5D9A"/>
    <w:rsid w:val="008B1D00"/>
    <w:rsid w:val="009B220F"/>
    <w:rsid w:val="009D5367"/>
    <w:rsid w:val="00A113C8"/>
    <w:rsid w:val="00BA4E2B"/>
    <w:rsid w:val="00BA5BD9"/>
    <w:rsid w:val="00BB10DC"/>
    <w:rsid w:val="00BC2386"/>
    <w:rsid w:val="00C2241E"/>
    <w:rsid w:val="00C5503B"/>
    <w:rsid w:val="00CC0494"/>
    <w:rsid w:val="00CF338A"/>
    <w:rsid w:val="00D3096D"/>
    <w:rsid w:val="00DA7983"/>
    <w:rsid w:val="00DE77D6"/>
    <w:rsid w:val="00E46121"/>
    <w:rsid w:val="00EC0A35"/>
    <w:rsid w:val="00EC2130"/>
    <w:rsid w:val="00F24D4E"/>
    <w:rsid w:val="00F32082"/>
    <w:rsid w:val="00FD674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22412"/>
  <w15:docId w15:val="{6929F090-25CB-4519-9B65-7183EE836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EastAsia" w:hAnsi="Calibri" w:cs="Calibri"/>
        <w:sz w:val="22"/>
        <w:szCs w:val="22"/>
        <w:lang w:val="en" w:eastAsia="ko-K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uiPriority w:val="9"/>
    <w:qFormat/>
    <w:pPr>
      <w:keepNext/>
      <w:keepLines/>
      <w:spacing w:before="240" w:after="0"/>
      <w:outlineLvl w:val="0"/>
    </w:pPr>
    <w:rPr>
      <w:rFonts w:eastAsia="Calibri"/>
      <w:color w:val="2F5496"/>
      <w:sz w:val="32"/>
      <w:szCs w:val="32"/>
    </w:rPr>
  </w:style>
  <w:style w:type="paragraph" w:styleId="2">
    <w:name w:val="heading 2"/>
    <w:basedOn w:val="a"/>
    <w:next w:val="a"/>
    <w:uiPriority w:val="9"/>
    <w:unhideWhenUsed/>
    <w:qFormat/>
    <w:pPr>
      <w:keepNext/>
      <w:keepLines/>
      <w:spacing w:before="40" w:after="0"/>
      <w:outlineLvl w:val="1"/>
    </w:pPr>
    <w:rPr>
      <w:rFonts w:eastAsia="Calibri"/>
      <w:color w:val="2F5496"/>
      <w:sz w:val="26"/>
      <w:szCs w:val="26"/>
    </w:rPr>
  </w:style>
  <w:style w:type="paragraph" w:styleId="3">
    <w:name w:val="heading 3"/>
    <w:basedOn w:val="a"/>
    <w:next w:val="a"/>
    <w:uiPriority w:val="9"/>
    <w:unhideWhenUsed/>
    <w:qFormat/>
    <w:pPr>
      <w:keepNext/>
      <w:keepLines/>
      <w:spacing w:before="40" w:after="0"/>
      <w:outlineLvl w:val="2"/>
    </w:pPr>
    <w:rPr>
      <w:rFonts w:eastAsia="Calibri"/>
      <w:color w:val="1F3863"/>
      <w:sz w:val="24"/>
      <w:szCs w:val="24"/>
    </w:rPr>
  </w:style>
  <w:style w:type="paragraph" w:styleId="4">
    <w:name w:val="heading 4"/>
    <w:basedOn w:val="a"/>
    <w:next w:val="a"/>
    <w:uiPriority w:val="9"/>
    <w:semiHidden/>
    <w:unhideWhenUsed/>
    <w:qFormat/>
    <w:pPr>
      <w:keepNext/>
      <w:keepLines/>
      <w:pBdr>
        <w:top w:val="nil"/>
        <w:left w:val="nil"/>
        <w:bottom w:val="nil"/>
        <w:right w:val="nil"/>
        <w:between w:val="nil"/>
      </w:pBdr>
      <w:spacing w:before="240" w:after="40"/>
      <w:outlineLvl w:val="3"/>
    </w:pPr>
    <w:rPr>
      <w:rFonts w:eastAsia="Calibri"/>
      <w:b/>
      <w:color w:val="000000"/>
      <w:sz w:val="24"/>
      <w:szCs w:val="24"/>
    </w:rPr>
  </w:style>
  <w:style w:type="paragraph" w:styleId="5">
    <w:name w:val="heading 5"/>
    <w:basedOn w:val="a"/>
    <w:next w:val="a"/>
    <w:uiPriority w:val="9"/>
    <w:semiHidden/>
    <w:unhideWhenUsed/>
    <w:qFormat/>
    <w:pPr>
      <w:keepNext/>
      <w:keepLines/>
      <w:pBdr>
        <w:top w:val="nil"/>
        <w:left w:val="nil"/>
        <w:bottom w:val="nil"/>
        <w:right w:val="nil"/>
        <w:between w:val="nil"/>
      </w:pBdr>
      <w:spacing w:before="220" w:after="40"/>
      <w:outlineLvl w:val="4"/>
    </w:pPr>
    <w:rPr>
      <w:rFonts w:eastAsia="Calibri"/>
      <w:b/>
      <w:color w:val="000000"/>
    </w:rPr>
  </w:style>
  <w:style w:type="paragraph" w:styleId="6">
    <w:name w:val="heading 6"/>
    <w:basedOn w:val="a"/>
    <w:next w:val="a"/>
    <w:uiPriority w:val="9"/>
    <w:semiHidden/>
    <w:unhideWhenUsed/>
    <w:qFormat/>
    <w:pPr>
      <w:keepNext/>
      <w:keepLines/>
      <w:pBdr>
        <w:top w:val="nil"/>
        <w:left w:val="nil"/>
        <w:bottom w:val="nil"/>
        <w:right w:val="nil"/>
        <w:between w:val="nil"/>
      </w:pBdr>
      <w:spacing w:before="200" w:after="40"/>
      <w:outlineLvl w:val="5"/>
    </w:pPr>
    <w:rPr>
      <w:rFonts w:eastAsia="Calibri"/>
      <w:b/>
      <w:color w:val="000000"/>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pBdr>
        <w:top w:val="nil"/>
        <w:left w:val="nil"/>
        <w:bottom w:val="nil"/>
        <w:right w:val="nil"/>
        <w:between w:val="nil"/>
      </w:pBdr>
      <w:spacing w:before="480" w:after="120"/>
    </w:pPr>
    <w:rPr>
      <w:rFonts w:eastAsia="Calibri"/>
      <w:b/>
      <w:color w:val="000000"/>
      <w:sz w:val="72"/>
      <w:szCs w:val="72"/>
    </w:rPr>
  </w:style>
  <w:style w:type="paragraph" w:styleId="a4">
    <w:name w:val="Subtitle"/>
    <w:basedOn w:val="a"/>
    <w:next w:val="a"/>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5">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top w:w="0" w:type="dxa"/>
        <w:left w:w="108" w:type="dxa"/>
        <w:bottom w:w="0" w:type="dxa"/>
        <w:right w:w="108" w:type="dxa"/>
      </w:tblCellMar>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a6">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top w:w="0" w:type="dxa"/>
        <w:left w:w="108" w:type="dxa"/>
        <w:bottom w:w="0" w:type="dxa"/>
        <w:right w:w="108" w:type="dxa"/>
      </w:tblCellMar>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a7">
    <w:basedOn w:val="TableNormal"/>
    <w:tblPr>
      <w:tblStyleRowBandSize w:val="1"/>
      <w:tblStyleColBandSize w:val="1"/>
    </w:tblPr>
  </w:style>
  <w:style w:type="character" w:styleId="a8">
    <w:name w:val="line number"/>
    <w:basedOn w:val="a0"/>
    <w:uiPriority w:val="99"/>
    <w:semiHidden/>
    <w:unhideWhenUsed/>
    <w:rsid w:val="003504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17" Type="http://schemas.openxmlformats.org/officeDocument/2006/relationships/hyperlink" Target="https://www.zotero.org/google-docs/?KO5uzR" TargetMode="External"/><Relationship Id="rId21" Type="http://schemas.openxmlformats.org/officeDocument/2006/relationships/hyperlink" Target="https://www.zotero.org/google-docs/?tH6met" TargetMode="External"/><Relationship Id="rId63" Type="http://schemas.openxmlformats.org/officeDocument/2006/relationships/image" Target="media/image19.png"/><Relationship Id="rId159" Type="http://schemas.openxmlformats.org/officeDocument/2006/relationships/hyperlink" Target="https://www.zotero.org/google-docs/?KO5uzR" TargetMode="External"/><Relationship Id="rId170" Type="http://schemas.openxmlformats.org/officeDocument/2006/relationships/hyperlink" Target="https://www.zotero.org/google-docs/?KO5uzR" TargetMode="External"/><Relationship Id="rId226" Type="http://schemas.openxmlformats.org/officeDocument/2006/relationships/hyperlink" Target="https://www.zotero.org/google-docs/?KO5uzR" TargetMode="External"/><Relationship Id="rId268" Type="http://schemas.openxmlformats.org/officeDocument/2006/relationships/hyperlink" Target="https://www.zotero.org/google-docs/?KO5uzR" TargetMode="External"/><Relationship Id="rId32" Type="http://schemas.openxmlformats.org/officeDocument/2006/relationships/hyperlink" Target="https://figshare.com/s/898e5d6c4f0982674ae3" TargetMode="External"/><Relationship Id="rId74" Type="http://schemas.openxmlformats.org/officeDocument/2006/relationships/image" Target="media/image28.png"/><Relationship Id="rId128" Type="http://schemas.openxmlformats.org/officeDocument/2006/relationships/hyperlink" Target="https://www.zotero.org/google-docs/?KO5uzR" TargetMode="External"/><Relationship Id="rId5" Type="http://schemas.openxmlformats.org/officeDocument/2006/relationships/endnotes" Target="endnotes.xml"/><Relationship Id="rId181" Type="http://schemas.openxmlformats.org/officeDocument/2006/relationships/hyperlink" Target="https://www.zotero.org/google-docs/?KO5uzR" TargetMode="External"/><Relationship Id="rId237" Type="http://schemas.openxmlformats.org/officeDocument/2006/relationships/hyperlink" Target="https://www.zotero.org/google-docs/?KO5uzR" TargetMode="External"/><Relationship Id="rId279" Type="http://schemas.openxmlformats.org/officeDocument/2006/relationships/hyperlink" Target="https://www.zotero.org/google-docs/?KO5uzR" TargetMode="External"/><Relationship Id="rId43" Type="http://schemas.openxmlformats.org/officeDocument/2006/relationships/image" Target="media/image1.png"/><Relationship Id="rId139" Type="http://schemas.openxmlformats.org/officeDocument/2006/relationships/hyperlink" Target="https://www.zotero.org/google-docs/?KO5uzR" TargetMode="External"/><Relationship Id="rId290" Type="http://schemas.openxmlformats.org/officeDocument/2006/relationships/hyperlink" Target="https://www.zotero.org/google-docs/?KO5uzR" TargetMode="External"/><Relationship Id="rId85" Type="http://schemas.openxmlformats.org/officeDocument/2006/relationships/hyperlink" Target="https://www.zotero.org/google-docs/?KO5uzR" TargetMode="External"/><Relationship Id="rId150" Type="http://schemas.openxmlformats.org/officeDocument/2006/relationships/hyperlink" Target="https://www.zotero.org/google-docs/?KO5uzR" TargetMode="External"/><Relationship Id="rId192" Type="http://schemas.openxmlformats.org/officeDocument/2006/relationships/hyperlink" Target="https://www.zotero.org/google-docs/?KO5uzR" TargetMode="External"/><Relationship Id="rId206" Type="http://schemas.openxmlformats.org/officeDocument/2006/relationships/hyperlink" Target="https://www.zotero.org/google-docs/?KO5uzR" TargetMode="External"/><Relationship Id="rId248" Type="http://schemas.openxmlformats.org/officeDocument/2006/relationships/hyperlink" Target="https://www.zotero.org/google-docs/?KO5uzR" TargetMode="External"/><Relationship Id="rId12" Type="http://schemas.openxmlformats.org/officeDocument/2006/relationships/hyperlink" Target="https://www.zotero.org/google-docs/?nucfgW" TargetMode="External"/><Relationship Id="rId33" Type="http://schemas.openxmlformats.org/officeDocument/2006/relationships/hyperlink" Target="https://www.zotero.org/google-docs/?KkjWcT" TargetMode="External"/><Relationship Id="rId108" Type="http://schemas.openxmlformats.org/officeDocument/2006/relationships/hyperlink" Target="https://www.zotero.org/google-docs/?KO5uzR" TargetMode="External"/><Relationship Id="rId129" Type="http://schemas.openxmlformats.org/officeDocument/2006/relationships/hyperlink" Target="https://www.zotero.org/google-docs/?KO5uzR" TargetMode="External"/><Relationship Id="rId280" Type="http://schemas.openxmlformats.org/officeDocument/2006/relationships/hyperlink" Target="https://www.zotero.org/google-docs/?KO5uzR" TargetMode="External"/><Relationship Id="rId54" Type="http://schemas.openxmlformats.org/officeDocument/2006/relationships/image" Target="media/image12.png"/><Relationship Id="rId75" Type="http://schemas.openxmlformats.org/officeDocument/2006/relationships/image" Target="media/image29.png"/><Relationship Id="rId96" Type="http://schemas.openxmlformats.org/officeDocument/2006/relationships/hyperlink" Target="https://www.zotero.org/google-docs/?KO5uzR" TargetMode="External"/><Relationship Id="rId140" Type="http://schemas.openxmlformats.org/officeDocument/2006/relationships/hyperlink" Target="https://www.zotero.org/google-docs/?KO5uzR" TargetMode="External"/><Relationship Id="rId161" Type="http://schemas.openxmlformats.org/officeDocument/2006/relationships/hyperlink" Target="https://www.zotero.org/google-docs/?KO5uzR" TargetMode="External"/><Relationship Id="rId182" Type="http://schemas.openxmlformats.org/officeDocument/2006/relationships/hyperlink" Target="https://www.zotero.org/google-docs/?KO5uzR" TargetMode="External"/><Relationship Id="rId217" Type="http://schemas.openxmlformats.org/officeDocument/2006/relationships/hyperlink" Target="https://www.zotero.org/google-docs/?KO5uzR" TargetMode="External"/><Relationship Id="rId6" Type="http://schemas.openxmlformats.org/officeDocument/2006/relationships/hyperlink" Target="https://www.zotero.org/google-docs/?58GtLZ" TargetMode="External"/><Relationship Id="rId238" Type="http://schemas.openxmlformats.org/officeDocument/2006/relationships/hyperlink" Target="https://www.zotero.org/google-docs/?KO5uzR" TargetMode="External"/><Relationship Id="rId259" Type="http://schemas.openxmlformats.org/officeDocument/2006/relationships/hyperlink" Target="https://www.zotero.org/google-docs/?KO5uzR" TargetMode="External"/><Relationship Id="rId23" Type="http://schemas.openxmlformats.org/officeDocument/2006/relationships/hyperlink" Target="https://www.zotero.org/google-docs/?k5zpKG" TargetMode="External"/><Relationship Id="rId119" Type="http://schemas.openxmlformats.org/officeDocument/2006/relationships/hyperlink" Target="https://www.zotero.org/google-docs/?KO5uzR" TargetMode="External"/><Relationship Id="rId270" Type="http://schemas.openxmlformats.org/officeDocument/2006/relationships/hyperlink" Target="https://www.zotero.org/google-docs/?KO5uzR" TargetMode="External"/><Relationship Id="rId291" Type="http://schemas.openxmlformats.org/officeDocument/2006/relationships/hyperlink" Target="https://www.zotero.org/google-docs/?KO5uzR" TargetMode="External"/><Relationship Id="rId44" Type="http://schemas.openxmlformats.org/officeDocument/2006/relationships/image" Target="media/image2.png"/><Relationship Id="rId65" Type="http://schemas.openxmlformats.org/officeDocument/2006/relationships/hyperlink" Target="https://www.zotero.org/google-docs/?AFgHKe" TargetMode="External"/><Relationship Id="rId86" Type="http://schemas.openxmlformats.org/officeDocument/2006/relationships/hyperlink" Target="https://www.zotero.org/google-docs/?KO5uzR" TargetMode="External"/><Relationship Id="rId130" Type="http://schemas.openxmlformats.org/officeDocument/2006/relationships/hyperlink" Target="https://www.zotero.org/google-docs/?KO5uzR" TargetMode="External"/><Relationship Id="rId151" Type="http://schemas.openxmlformats.org/officeDocument/2006/relationships/hyperlink" Target="https://www.zotero.org/google-docs/?KO5uzR" TargetMode="External"/><Relationship Id="rId172" Type="http://schemas.openxmlformats.org/officeDocument/2006/relationships/hyperlink" Target="https://www.zotero.org/google-docs/?KO5uzR" TargetMode="External"/><Relationship Id="rId193" Type="http://schemas.openxmlformats.org/officeDocument/2006/relationships/hyperlink" Target="https://www.zotero.org/google-docs/?KO5uzR" TargetMode="External"/><Relationship Id="rId207" Type="http://schemas.openxmlformats.org/officeDocument/2006/relationships/hyperlink" Target="https://www.zotero.org/google-docs/?KO5uzR" TargetMode="External"/><Relationship Id="rId228" Type="http://schemas.openxmlformats.org/officeDocument/2006/relationships/hyperlink" Target="https://www.zotero.org/google-docs/?KO5uzR" TargetMode="External"/><Relationship Id="rId249" Type="http://schemas.openxmlformats.org/officeDocument/2006/relationships/hyperlink" Target="https://www.zotero.org/google-docs/?KO5uzR" TargetMode="External"/><Relationship Id="rId13" Type="http://schemas.openxmlformats.org/officeDocument/2006/relationships/hyperlink" Target="https://www.zotero.org/google-docs/?96dD8o" TargetMode="External"/><Relationship Id="rId109" Type="http://schemas.openxmlformats.org/officeDocument/2006/relationships/hyperlink" Target="https://www.zotero.org/google-docs/?KO5uzR" TargetMode="External"/><Relationship Id="rId260" Type="http://schemas.openxmlformats.org/officeDocument/2006/relationships/hyperlink" Target="https://www.zotero.org/google-docs/?KO5uzR" TargetMode="External"/><Relationship Id="rId281" Type="http://schemas.openxmlformats.org/officeDocument/2006/relationships/hyperlink" Target="https://www.zotero.org/google-docs/?KO5uzR" TargetMode="External"/><Relationship Id="rId34" Type="http://schemas.openxmlformats.org/officeDocument/2006/relationships/hyperlink" Target="https://www.zotero.org/google-docs/?4Bi2xb" TargetMode="External"/><Relationship Id="rId55" Type="http://schemas.openxmlformats.org/officeDocument/2006/relationships/image" Target="media/image13.png"/><Relationship Id="rId76" Type="http://schemas.openxmlformats.org/officeDocument/2006/relationships/hyperlink" Target="https://www.zotero.org/google-docs/?KO5uzR" TargetMode="External"/><Relationship Id="rId97" Type="http://schemas.openxmlformats.org/officeDocument/2006/relationships/hyperlink" Target="https://www.zotero.org/google-docs/?KO5uzR" TargetMode="External"/><Relationship Id="rId120" Type="http://schemas.openxmlformats.org/officeDocument/2006/relationships/hyperlink" Target="https://www.zotero.org/google-docs/?KO5uzR" TargetMode="External"/><Relationship Id="rId141" Type="http://schemas.openxmlformats.org/officeDocument/2006/relationships/hyperlink" Target="https://www.zotero.org/google-docs/?KO5uzR" TargetMode="External"/><Relationship Id="rId7" Type="http://schemas.openxmlformats.org/officeDocument/2006/relationships/hyperlink" Target="https://www.zotero.org/google-docs/?uhGgu0" TargetMode="External"/><Relationship Id="rId162" Type="http://schemas.openxmlformats.org/officeDocument/2006/relationships/hyperlink" Target="https://www.zotero.org/google-docs/?KO5uzR" TargetMode="External"/><Relationship Id="rId183" Type="http://schemas.openxmlformats.org/officeDocument/2006/relationships/hyperlink" Target="https://www.zotero.org/google-docs/?KO5uzR" TargetMode="External"/><Relationship Id="rId218" Type="http://schemas.openxmlformats.org/officeDocument/2006/relationships/hyperlink" Target="https://www.zotero.org/google-docs/?KO5uzR" TargetMode="External"/><Relationship Id="rId239" Type="http://schemas.openxmlformats.org/officeDocument/2006/relationships/hyperlink" Target="https://www.zotero.org/google-docs/?KO5uzR" TargetMode="External"/><Relationship Id="rId250" Type="http://schemas.openxmlformats.org/officeDocument/2006/relationships/hyperlink" Target="https://www.zotero.org/google-docs/?KO5uzR" TargetMode="External"/><Relationship Id="rId271" Type="http://schemas.openxmlformats.org/officeDocument/2006/relationships/hyperlink" Target="https://www.zotero.org/google-docs/?KO5uzR" TargetMode="External"/><Relationship Id="rId292" Type="http://schemas.openxmlformats.org/officeDocument/2006/relationships/hyperlink" Target="https://www.zotero.org/google-docs/?KO5uzR" TargetMode="External"/><Relationship Id="rId24" Type="http://schemas.openxmlformats.org/officeDocument/2006/relationships/hyperlink" Target="https://www.zotero.org/google-docs/?daoAO9" TargetMode="External"/><Relationship Id="rId45" Type="http://schemas.openxmlformats.org/officeDocument/2006/relationships/image" Target="media/image3.png"/><Relationship Id="rId66" Type="http://schemas.openxmlformats.org/officeDocument/2006/relationships/image" Target="media/image20.png"/><Relationship Id="rId87" Type="http://schemas.openxmlformats.org/officeDocument/2006/relationships/hyperlink" Target="https://www.zotero.org/google-docs/?KO5uzR" TargetMode="External"/><Relationship Id="rId110" Type="http://schemas.openxmlformats.org/officeDocument/2006/relationships/hyperlink" Target="https://www.zotero.org/google-docs/?KO5uzR" TargetMode="External"/><Relationship Id="rId131" Type="http://schemas.openxmlformats.org/officeDocument/2006/relationships/hyperlink" Target="https://www.zotero.org/google-docs/?KO5uzR" TargetMode="External"/><Relationship Id="rId152" Type="http://schemas.openxmlformats.org/officeDocument/2006/relationships/hyperlink" Target="https://www.zotero.org/google-docs/?KO5uzR" TargetMode="External"/><Relationship Id="rId173" Type="http://schemas.openxmlformats.org/officeDocument/2006/relationships/hyperlink" Target="https://www.zotero.org/google-docs/?KO5uzR" TargetMode="External"/><Relationship Id="rId194" Type="http://schemas.openxmlformats.org/officeDocument/2006/relationships/hyperlink" Target="https://www.zotero.org/google-docs/?KO5uzR" TargetMode="External"/><Relationship Id="rId208" Type="http://schemas.openxmlformats.org/officeDocument/2006/relationships/hyperlink" Target="https://www.zotero.org/google-docs/?KO5uzR" TargetMode="External"/><Relationship Id="rId229" Type="http://schemas.openxmlformats.org/officeDocument/2006/relationships/hyperlink" Target="https://www.zotero.org/google-docs/?KO5uzR" TargetMode="External"/><Relationship Id="rId240" Type="http://schemas.openxmlformats.org/officeDocument/2006/relationships/hyperlink" Target="https://www.zotero.org/google-docs/?KO5uzR" TargetMode="External"/><Relationship Id="rId261" Type="http://schemas.openxmlformats.org/officeDocument/2006/relationships/hyperlink" Target="https://www.zotero.org/google-docs/?KO5uzR" TargetMode="External"/><Relationship Id="rId14" Type="http://schemas.openxmlformats.org/officeDocument/2006/relationships/hyperlink" Target="https://www.zotero.org/google-docs/?Pusggz" TargetMode="External"/><Relationship Id="rId35" Type="http://schemas.openxmlformats.org/officeDocument/2006/relationships/hyperlink" Target="https://www.zotero.org/google-docs/?ne3nhH" TargetMode="External"/><Relationship Id="rId56" Type="http://schemas.openxmlformats.org/officeDocument/2006/relationships/hyperlink" Target="https://www.zotero.org/google-docs/?Jj5Wz3" TargetMode="External"/><Relationship Id="rId77" Type="http://schemas.openxmlformats.org/officeDocument/2006/relationships/hyperlink" Target="https://www.zotero.org/google-docs/?KO5uzR" TargetMode="External"/><Relationship Id="rId100" Type="http://schemas.openxmlformats.org/officeDocument/2006/relationships/hyperlink" Target="https://www.zotero.org/google-docs/?KO5uzR" TargetMode="External"/><Relationship Id="rId282" Type="http://schemas.openxmlformats.org/officeDocument/2006/relationships/hyperlink" Target="https://www.zotero.org/google-docs/?KO5uzR" TargetMode="External"/><Relationship Id="rId8" Type="http://schemas.openxmlformats.org/officeDocument/2006/relationships/hyperlink" Target="https://www.zotero.org/google-docs/?Fe3F0b" TargetMode="External"/><Relationship Id="rId98" Type="http://schemas.openxmlformats.org/officeDocument/2006/relationships/hyperlink" Target="https://www.zotero.org/google-docs/?KO5uzR" TargetMode="External"/><Relationship Id="rId121" Type="http://schemas.openxmlformats.org/officeDocument/2006/relationships/hyperlink" Target="https://www.zotero.org/google-docs/?KO5uzR" TargetMode="External"/><Relationship Id="rId142" Type="http://schemas.openxmlformats.org/officeDocument/2006/relationships/hyperlink" Target="https://www.zotero.org/google-docs/?KO5uzR" TargetMode="External"/><Relationship Id="rId163" Type="http://schemas.openxmlformats.org/officeDocument/2006/relationships/hyperlink" Target="https://www.zotero.org/google-docs/?KO5uzR" TargetMode="External"/><Relationship Id="rId184" Type="http://schemas.openxmlformats.org/officeDocument/2006/relationships/hyperlink" Target="https://www.zotero.org/google-docs/?KO5uzR" TargetMode="External"/><Relationship Id="rId219" Type="http://schemas.openxmlformats.org/officeDocument/2006/relationships/hyperlink" Target="https://www.zotero.org/google-docs/?KO5uzR" TargetMode="External"/><Relationship Id="rId230" Type="http://schemas.openxmlformats.org/officeDocument/2006/relationships/hyperlink" Target="https://www.zotero.org/google-docs/?KO5uzR" TargetMode="External"/><Relationship Id="rId251" Type="http://schemas.openxmlformats.org/officeDocument/2006/relationships/hyperlink" Target="https://www.zotero.org/google-docs/?KO5uzR" TargetMode="External"/><Relationship Id="rId25" Type="http://schemas.openxmlformats.org/officeDocument/2006/relationships/hyperlink" Target="https://www.zotero.org/google-docs/?6KzUDx" TargetMode="External"/><Relationship Id="rId46" Type="http://schemas.openxmlformats.org/officeDocument/2006/relationships/image" Target="media/image4.tif"/><Relationship Id="rId67" Type="http://schemas.openxmlformats.org/officeDocument/2006/relationships/image" Target="media/image21.png"/><Relationship Id="rId272" Type="http://schemas.openxmlformats.org/officeDocument/2006/relationships/hyperlink" Target="https://www.zotero.org/google-docs/?KO5uzR" TargetMode="External"/><Relationship Id="rId293" Type="http://schemas.openxmlformats.org/officeDocument/2006/relationships/footer" Target="footer1.xml"/><Relationship Id="rId88" Type="http://schemas.openxmlformats.org/officeDocument/2006/relationships/hyperlink" Target="https://www.zotero.org/google-docs/?KO5uzR" TargetMode="External"/><Relationship Id="rId111" Type="http://schemas.openxmlformats.org/officeDocument/2006/relationships/hyperlink" Target="https://www.zotero.org/google-docs/?KO5uzR" TargetMode="External"/><Relationship Id="rId132" Type="http://schemas.openxmlformats.org/officeDocument/2006/relationships/hyperlink" Target="https://www.zotero.org/google-docs/?KO5uzR" TargetMode="External"/><Relationship Id="rId153" Type="http://schemas.openxmlformats.org/officeDocument/2006/relationships/hyperlink" Target="https://www.zotero.org/google-docs/?KO5uzR" TargetMode="External"/><Relationship Id="rId174" Type="http://schemas.openxmlformats.org/officeDocument/2006/relationships/hyperlink" Target="https://www.zotero.org/google-docs/?KO5uzR" TargetMode="External"/><Relationship Id="rId195" Type="http://schemas.openxmlformats.org/officeDocument/2006/relationships/hyperlink" Target="https://www.zotero.org/google-docs/?KO5uzR" TargetMode="External"/><Relationship Id="rId209" Type="http://schemas.openxmlformats.org/officeDocument/2006/relationships/hyperlink" Target="https://www.zotero.org/google-docs/?KO5uzR" TargetMode="External"/><Relationship Id="rId220" Type="http://schemas.openxmlformats.org/officeDocument/2006/relationships/hyperlink" Target="https://www.zotero.org/google-docs/?KO5uzR" TargetMode="External"/><Relationship Id="rId241" Type="http://schemas.openxmlformats.org/officeDocument/2006/relationships/hyperlink" Target="https://www.zotero.org/google-docs/?KO5uzR" TargetMode="External"/><Relationship Id="rId15" Type="http://schemas.openxmlformats.org/officeDocument/2006/relationships/hyperlink" Target="https://www.zotero.org/google-docs/?Q0SDyD" TargetMode="External"/><Relationship Id="rId36" Type="http://schemas.openxmlformats.org/officeDocument/2006/relationships/hyperlink" Target="https://www.zotero.org/google-docs/?mJAcCL" TargetMode="External"/><Relationship Id="rId57" Type="http://schemas.openxmlformats.org/officeDocument/2006/relationships/image" Target="media/image14.png"/><Relationship Id="rId262" Type="http://schemas.openxmlformats.org/officeDocument/2006/relationships/hyperlink" Target="https://www.zotero.org/google-docs/?KO5uzR" TargetMode="External"/><Relationship Id="rId283" Type="http://schemas.openxmlformats.org/officeDocument/2006/relationships/hyperlink" Target="https://www.zotero.org/google-docs/?KO5uzR" TargetMode="External"/><Relationship Id="rId78" Type="http://schemas.openxmlformats.org/officeDocument/2006/relationships/hyperlink" Target="https://www.zotero.org/google-docs/?KO5uzR" TargetMode="External"/><Relationship Id="rId99" Type="http://schemas.openxmlformats.org/officeDocument/2006/relationships/hyperlink" Target="https://www.zotero.org/google-docs/?KO5uzR" TargetMode="External"/><Relationship Id="rId101" Type="http://schemas.openxmlformats.org/officeDocument/2006/relationships/hyperlink" Target="https://www.zotero.org/google-docs/?KO5uzR" TargetMode="External"/><Relationship Id="rId122" Type="http://schemas.openxmlformats.org/officeDocument/2006/relationships/hyperlink" Target="https://www.zotero.org/google-docs/?KO5uzR" TargetMode="External"/><Relationship Id="rId143" Type="http://schemas.openxmlformats.org/officeDocument/2006/relationships/hyperlink" Target="https://www.zotero.org/google-docs/?KO5uzR" TargetMode="External"/><Relationship Id="rId164" Type="http://schemas.openxmlformats.org/officeDocument/2006/relationships/hyperlink" Target="https://www.zotero.org/google-docs/?KO5uzR" TargetMode="External"/><Relationship Id="rId185" Type="http://schemas.openxmlformats.org/officeDocument/2006/relationships/hyperlink" Target="https://www.zotero.org/google-docs/?KO5uzR" TargetMode="External"/><Relationship Id="rId9" Type="http://schemas.openxmlformats.org/officeDocument/2006/relationships/hyperlink" Target="https://www.zotero.org/google-docs/?hJagPC" TargetMode="External"/><Relationship Id="rId210" Type="http://schemas.openxmlformats.org/officeDocument/2006/relationships/hyperlink" Target="https://www.zotero.org/google-docs/?KO5uzR" TargetMode="External"/><Relationship Id="rId26" Type="http://schemas.openxmlformats.org/officeDocument/2006/relationships/hyperlink" Target="https://www.zotero.org/google-docs/?sEN4po" TargetMode="External"/><Relationship Id="rId231" Type="http://schemas.openxmlformats.org/officeDocument/2006/relationships/hyperlink" Target="https://www.zotero.org/google-docs/?KO5uzR" TargetMode="External"/><Relationship Id="rId252" Type="http://schemas.openxmlformats.org/officeDocument/2006/relationships/hyperlink" Target="https://www.zotero.org/google-docs/?KO5uzR" TargetMode="External"/><Relationship Id="rId273" Type="http://schemas.openxmlformats.org/officeDocument/2006/relationships/hyperlink" Target="https://www.zotero.org/google-docs/?KO5uzR" TargetMode="External"/><Relationship Id="rId294" Type="http://schemas.openxmlformats.org/officeDocument/2006/relationships/fontTable" Target="fontTable.xml"/><Relationship Id="rId47" Type="http://schemas.openxmlformats.org/officeDocument/2006/relationships/image" Target="media/image5.png"/><Relationship Id="rId68" Type="http://schemas.openxmlformats.org/officeDocument/2006/relationships/image" Target="media/image22.png"/><Relationship Id="rId89" Type="http://schemas.openxmlformats.org/officeDocument/2006/relationships/hyperlink" Target="https://www.zotero.org/google-docs/?KO5uzR" TargetMode="External"/><Relationship Id="rId112" Type="http://schemas.openxmlformats.org/officeDocument/2006/relationships/hyperlink" Target="https://www.zotero.org/google-docs/?KO5uzR" TargetMode="External"/><Relationship Id="rId133" Type="http://schemas.openxmlformats.org/officeDocument/2006/relationships/hyperlink" Target="https://www.zotero.org/google-docs/?KO5uzR" TargetMode="External"/><Relationship Id="rId154" Type="http://schemas.openxmlformats.org/officeDocument/2006/relationships/hyperlink" Target="https://www.zotero.org/google-docs/?KO5uzR" TargetMode="External"/><Relationship Id="rId175" Type="http://schemas.openxmlformats.org/officeDocument/2006/relationships/hyperlink" Target="https://www.zotero.org/google-docs/?KO5uzR" TargetMode="External"/><Relationship Id="rId196" Type="http://schemas.openxmlformats.org/officeDocument/2006/relationships/hyperlink" Target="https://www.zotero.org/google-docs/?KO5uzR" TargetMode="External"/><Relationship Id="rId200" Type="http://schemas.openxmlformats.org/officeDocument/2006/relationships/hyperlink" Target="https://www.zotero.org/google-docs/?KO5uzR" TargetMode="External"/><Relationship Id="rId16" Type="http://schemas.openxmlformats.org/officeDocument/2006/relationships/hyperlink" Target="https://www.zotero.org/google-docs/?BUR0xy" TargetMode="External"/><Relationship Id="rId221" Type="http://schemas.openxmlformats.org/officeDocument/2006/relationships/hyperlink" Target="https://www.zotero.org/google-docs/?KO5uzR" TargetMode="External"/><Relationship Id="rId242" Type="http://schemas.openxmlformats.org/officeDocument/2006/relationships/hyperlink" Target="https://www.zotero.org/google-docs/?KO5uzR" TargetMode="External"/><Relationship Id="rId263" Type="http://schemas.openxmlformats.org/officeDocument/2006/relationships/hyperlink" Target="https://www.zotero.org/google-docs/?KO5uzR" TargetMode="External"/><Relationship Id="rId284" Type="http://schemas.openxmlformats.org/officeDocument/2006/relationships/hyperlink" Target="https://www.zotero.org/google-docs/?KO5uzR" TargetMode="External"/><Relationship Id="rId37" Type="http://schemas.openxmlformats.org/officeDocument/2006/relationships/hyperlink" Target="https://www.zotero.org/google-docs/?nmbCdH" TargetMode="External"/><Relationship Id="rId58" Type="http://schemas.openxmlformats.org/officeDocument/2006/relationships/image" Target="media/image15.png"/><Relationship Id="rId79" Type="http://schemas.openxmlformats.org/officeDocument/2006/relationships/hyperlink" Target="https://www.zotero.org/google-docs/?KO5uzR" TargetMode="External"/><Relationship Id="rId102" Type="http://schemas.openxmlformats.org/officeDocument/2006/relationships/hyperlink" Target="https://www.zotero.org/google-docs/?KO5uzR" TargetMode="External"/><Relationship Id="rId123" Type="http://schemas.openxmlformats.org/officeDocument/2006/relationships/hyperlink" Target="https://www.zotero.org/google-docs/?KO5uzR" TargetMode="External"/><Relationship Id="rId144" Type="http://schemas.openxmlformats.org/officeDocument/2006/relationships/hyperlink" Target="https://www.zotero.org/google-docs/?KO5uzR" TargetMode="External"/><Relationship Id="rId90" Type="http://schemas.openxmlformats.org/officeDocument/2006/relationships/hyperlink" Target="https://www.zotero.org/google-docs/?KO5uzR" TargetMode="External"/><Relationship Id="rId165" Type="http://schemas.openxmlformats.org/officeDocument/2006/relationships/hyperlink" Target="https://www.zotero.org/google-docs/?KO5uzR" TargetMode="External"/><Relationship Id="rId186" Type="http://schemas.openxmlformats.org/officeDocument/2006/relationships/hyperlink" Target="https://www.zotero.org/google-docs/?KO5uzR" TargetMode="External"/><Relationship Id="rId211" Type="http://schemas.openxmlformats.org/officeDocument/2006/relationships/hyperlink" Target="https://www.zotero.org/google-docs/?KO5uzR" TargetMode="External"/><Relationship Id="rId232" Type="http://schemas.openxmlformats.org/officeDocument/2006/relationships/hyperlink" Target="https://www.zotero.org/google-docs/?KO5uzR" TargetMode="External"/><Relationship Id="rId253" Type="http://schemas.openxmlformats.org/officeDocument/2006/relationships/hyperlink" Target="https://www.zotero.org/google-docs/?KO5uzR" TargetMode="External"/><Relationship Id="rId274" Type="http://schemas.openxmlformats.org/officeDocument/2006/relationships/hyperlink" Target="https://www.zotero.org/google-docs/?KO5uzR" TargetMode="External"/><Relationship Id="rId295" Type="http://schemas.openxmlformats.org/officeDocument/2006/relationships/theme" Target="theme/theme1.xml"/><Relationship Id="rId27" Type="http://schemas.openxmlformats.org/officeDocument/2006/relationships/hyperlink" Target="https://www.zotero.org/google-docs/?4UOT0p" TargetMode="External"/><Relationship Id="rId48" Type="http://schemas.openxmlformats.org/officeDocument/2006/relationships/image" Target="media/image6.png"/><Relationship Id="rId69" Type="http://schemas.openxmlformats.org/officeDocument/2006/relationships/image" Target="media/image23.png"/><Relationship Id="rId113" Type="http://schemas.openxmlformats.org/officeDocument/2006/relationships/hyperlink" Target="https://www.zotero.org/google-docs/?KO5uzR" TargetMode="External"/><Relationship Id="rId134" Type="http://schemas.openxmlformats.org/officeDocument/2006/relationships/hyperlink" Target="https://www.zotero.org/google-docs/?KO5uzR" TargetMode="External"/><Relationship Id="rId80" Type="http://schemas.openxmlformats.org/officeDocument/2006/relationships/hyperlink" Target="https://www.zotero.org/google-docs/?KO5uzR" TargetMode="External"/><Relationship Id="rId155" Type="http://schemas.openxmlformats.org/officeDocument/2006/relationships/hyperlink" Target="https://www.zotero.org/google-docs/?KO5uzR" TargetMode="External"/><Relationship Id="rId176" Type="http://schemas.openxmlformats.org/officeDocument/2006/relationships/hyperlink" Target="https://www.zotero.org/google-docs/?KO5uzR" TargetMode="External"/><Relationship Id="rId197" Type="http://schemas.openxmlformats.org/officeDocument/2006/relationships/hyperlink" Target="https://www.zotero.org/google-docs/?KO5uzR" TargetMode="External"/><Relationship Id="rId201" Type="http://schemas.openxmlformats.org/officeDocument/2006/relationships/hyperlink" Target="https://www.zotero.org/google-docs/?KO5uzR" TargetMode="External"/><Relationship Id="rId222" Type="http://schemas.openxmlformats.org/officeDocument/2006/relationships/hyperlink" Target="https://www.zotero.org/google-docs/?KO5uzR" TargetMode="External"/><Relationship Id="rId243" Type="http://schemas.openxmlformats.org/officeDocument/2006/relationships/hyperlink" Target="https://www.zotero.org/google-docs/?KO5uzR" TargetMode="External"/><Relationship Id="rId264" Type="http://schemas.openxmlformats.org/officeDocument/2006/relationships/hyperlink" Target="https://www.zotero.org/google-docs/?KO5uzR" TargetMode="External"/><Relationship Id="rId285" Type="http://schemas.openxmlformats.org/officeDocument/2006/relationships/hyperlink" Target="https://www.zotero.org/google-docs/?KO5uzR" TargetMode="External"/><Relationship Id="rId17" Type="http://schemas.openxmlformats.org/officeDocument/2006/relationships/hyperlink" Target="https://www.zotero.org/google-docs/?7WVKKY" TargetMode="External"/><Relationship Id="rId38" Type="http://schemas.openxmlformats.org/officeDocument/2006/relationships/hyperlink" Target="https://www.zotero.org/google-docs/?icxtVg" TargetMode="External"/><Relationship Id="rId59" Type="http://schemas.openxmlformats.org/officeDocument/2006/relationships/hyperlink" Target="https://gml.noaa.gov/ccgg/trends/" TargetMode="External"/><Relationship Id="rId103" Type="http://schemas.openxmlformats.org/officeDocument/2006/relationships/hyperlink" Target="https://www.zotero.org/google-docs/?KO5uzR" TargetMode="External"/><Relationship Id="rId124" Type="http://schemas.openxmlformats.org/officeDocument/2006/relationships/hyperlink" Target="https://www.zotero.org/google-docs/?KO5uzR" TargetMode="External"/><Relationship Id="rId70" Type="http://schemas.openxmlformats.org/officeDocument/2006/relationships/image" Target="media/image24.png"/><Relationship Id="rId91" Type="http://schemas.openxmlformats.org/officeDocument/2006/relationships/hyperlink" Target="https://www.zotero.org/google-docs/?KO5uzR" TargetMode="External"/><Relationship Id="rId145" Type="http://schemas.openxmlformats.org/officeDocument/2006/relationships/hyperlink" Target="https://www.zotero.org/google-docs/?KO5uzR" TargetMode="External"/><Relationship Id="rId166" Type="http://schemas.openxmlformats.org/officeDocument/2006/relationships/hyperlink" Target="https://www.zotero.org/google-docs/?KO5uzR" TargetMode="External"/><Relationship Id="rId187" Type="http://schemas.openxmlformats.org/officeDocument/2006/relationships/hyperlink" Target="https://www.zotero.org/google-docs/?KO5uzR" TargetMode="External"/><Relationship Id="rId1" Type="http://schemas.openxmlformats.org/officeDocument/2006/relationships/styles" Target="styles.xml"/><Relationship Id="rId212" Type="http://schemas.openxmlformats.org/officeDocument/2006/relationships/hyperlink" Target="https://www.zotero.org/google-docs/?KO5uzR" TargetMode="External"/><Relationship Id="rId233" Type="http://schemas.openxmlformats.org/officeDocument/2006/relationships/hyperlink" Target="https://www.zotero.org/google-docs/?KO5uzR" TargetMode="External"/><Relationship Id="rId254" Type="http://schemas.openxmlformats.org/officeDocument/2006/relationships/hyperlink" Target="https://www.zotero.org/google-docs/?KO5uzR" TargetMode="External"/><Relationship Id="rId28" Type="http://schemas.openxmlformats.org/officeDocument/2006/relationships/hyperlink" Target="https://www.zotero.org/google-docs/?5afnht" TargetMode="External"/><Relationship Id="rId49" Type="http://schemas.openxmlformats.org/officeDocument/2006/relationships/image" Target="media/image7.png"/><Relationship Id="rId114" Type="http://schemas.openxmlformats.org/officeDocument/2006/relationships/hyperlink" Target="https://www.zotero.org/google-docs/?KO5uzR" TargetMode="External"/><Relationship Id="rId275" Type="http://schemas.openxmlformats.org/officeDocument/2006/relationships/hyperlink" Target="https://www.zotero.org/google-docs/?KO5uzR" TargetMode="External"/><Relationship Id="rId60" Type="http://schemas.openxmlformats.org/officeDocument/2006/relationships/image" Target="media/image16.png"/><Relationship Id="rId81" Type="http://schemas.openxmlformats.org/officeDocument/2006/relationships/hyperlink" Target="https://www.zotero.org/google-docs/?KO5uzR" TargetMode="External"/><Relationship Id="rId135" Type="http://schemas.openxmlformats.org/officeDocument/2006/relationships/hyperlink" Target="https://www.zotero.org/google-docs/?KO5uzR" TargetMode="External"/><Relationship Id="rId156" Type="http://schemas.openxmlformats.org/officeDocument/2006/relationships/hyperlink" Target="https://www.zotero.org/google-docs/?KO5uzR" TargetMode="External"/><Relationship Id="rId177" Type="http://schemas.openxmlformats.org/officeDocument/2006/relationships/hyperlink" Target="https://www.zotero.org/google-docs/?KO5uzR" TargetMode="External"/><Relationship Id="rId198" Type="http://schemas.openxmlformats.org/officeDocument/2006/relationships/hyperlink" Target="https://www.zotero.org/google-docs/?KO5uzR" TargetMode="External"/><Relationship Id="rId202" Type="http://schemas.openxmlformats.org/officeDocument/2006/relationships/hyperlink" Target="https://www.zotero.org/google-docs/?KO5uzR" TargetMode="External"/><Relationship Id="rId223" Type="http://schemas.openxmlformats.org/officeDocument/2006/relationships/hyperlink" Target="https://www.zotero.org/google-docs/?KO5uzR" TargetMode="External"/><Relationship Id="rId244" Type="http://schemas.openxmlformats.org/officeDocument/2006/relationships/hyperlink" Target="https://www.zotero.org/google-docs/?KO5uzR" TargetMode="External"/><Relationship Id="rId18" Type="http://schemas.openxmlformats.org/officeDocument/2006/relationships/hyperlink" Target="https://www.zotero.org/google-docs/?FL8o5f" TargetMode="External"/><Relationship Id="rId39" Type="http://schemas.openxmlformats.org/officeDocument/2006/relationships/hyperlink" Target="https://www.zotero.org/google-docs/?ylEPEj" TargetMode="External"/><Relationship Id="rId265" Type="http://schemas.openxmlformats.org/officeDocument/2006/relationships/hyperlink" Target="https://www.zotero.org/google-docs/?KO5uzR" TargetMode="External"/><Relationship Id="rId286" Type="http://schemas.openxmlformats.org/officeDocument/2006/relationships/hyperlink" Target="https://www.zotero.org/google-docs/?KO5uzR" TargetMode="External"/><Relationship Id="rId50" Type="http://schemas.openxmlformats.org/officeDocument/2006/relationships/image" Target="media/image8.png"/><Relationship Id="rId104" Type="http://schemas.openxmlformats.org/officeDocument/2006/relationships/hyperlink" Target="https://www.zotero.org/google-docs/?KO5uzR" TargetMode="External"/><Relationship Id="rId125" Type="http://schemas.openxmlformats.org/officeDocument/2006/relationships/hyperlink" Target="https://www.zotero.org/google-docs/?KO5uzR" TargetMode="External"/><Relationship Id="rId146" Type="http://schemas.openxmlformats.org/officeDocument/2006/relationships/hyperlink" Target="https://www.zotero.org/google-docs/?KO5uzR" TargetMode="External"/><Relationship Id="rId167" Type="http://schemas.openxmlformats.org/officeDocument/2006/relationships/hyperlink" Target="https://www.zotero.org/google-docs/?KO5uzR" TargetMode="External"/><Relationship Id="rId188" Type="http://schemas.openxmlformats.org/officeDocument/2006/relationships/hyperlink" Target="https://www.zotero.org/google-docs/?KO5uzR" TargetMode="External"/><Relationship Id="rId71" Type="http://schemas.openxmlformats.org/officeDocument/2006/relationships/image" Target="media/image25.png"/><Relationship Id="rId92" Type="http://schemas.openxmlformats.org/officeDocument/2006/relationships/hyperlink" Target="https://www.zotero.org/google-docs/?KO5uzR" TargetMode="External"/><Relationship Id="rId213" Type="http://schemas.openxmlformats.org/officeDocument/2006/relationships/hyperlink" Target="https://www.zotero.org/google-docs/?KO5uzR" TargetMode="External"/><Relationship Id="rId234" Type="http://schemas.openxmlformats.org/officeDocument/2006/relationships/hyperlink" Target="https://www.zotero.org/google-docs/?KO5uzR" TargetMode="External"/><Relationship Id="rId2" Type="http://schemas.openxmlformats.org/officeDocument/2006/relationships/settings" Target="settings.xml"/><Relationship Id="rId29" Type="http://schemas.openxmlformats.org/officeDocument/2006/relationships/hyperlink" Target="https://www.zotero.org/google-docs/?4co3tS" TargetMode="External"/><Relationship Id="rId255" Type="http://schemas.openxmlformats.org/officeDocument/2006/relationships/hyperlink" Target="https://www.zotero.org/google-docs/?KO5uzR" TargetMode="External"/><Relationship Id="rId276" Type="http://schemas.openxmlformats.org/officeDocument/2006/relationships/hyperlink" Target="https://www.zotero.org/google-docs/?KO5uzR" TargetMode="External"/><Relationship Id="rId40" Type="http://schemas.openxmlformats.org/officeDocument/2006/relationships/hyperlink" Target="https://www.zotero.org/google-docs/?MbkG5k" TargetMode="External"/><Relationship Id="rId115" Type="http://schemas.openxmlformats.org/officeDocument/2006/relationships/hyperlink" Target="https://www.zotero.org/google-docs/?KO5uzR" TargetMode="External"/><Relationship Id="rId136" Type="http://schemas.openxmlformats.org/officeDocument/2006/relationships/hyperlink" Target="https://www.zotero.org/google-docs/?KO5uzR" TargetMode="External"/><Relationship Id="rId157" Type="http://schemas.openxmlformats.org/officeDocument/2006/relationships/hyperlink" Target="https://www.zotero.org/google-docs/?KO5uzR" TargetMode="External"/><Relationship Id="rId178" Type="http://schemas.openxmlformats.org/officeDocument/2006/relationships/hyperlink" Target="https://www.zotero.org/google-docs/?KO5uzR" TargetMode="External"/><Relationship Id="rId61" Type="http://schemas.openxmlformats.org/officeDocument/2006/relationships/image" Target="media/image17.png"/><Relationship Id="rId82" Type="http://schemas.openxmlformats.org/officeDocument/2006/relationships/hyperlink" Target="https://www.zotero.org/google-docs/?KO5uzR" TargetMode="External"/><Relationship Id="rId199" Type="http://schemas.openxmlformats.org/officeDocument/2006/relationships/hyperlink" Target="https://www.zotero.org/google-docs/?KO5uzR" TargetMode="External"/><Relationship Id="rId203" Type="http://schemas.openxmlformats.org/officeDocument/2006/relationships/hyperlink" Target="https://www.zotero.org/google-docs/?KO5uzR" TargetMode="External"/><Relationship Id="rId19" Type="http://schemas.openxmlformats.org/officeDocument/2006/relationships/hyperlink" Target="https://www.zotero.org/google-docs/?GivGFB" TargetMode="External"/><Relationship Id="rId224" Type="http://schemas.openxmlformats.org/officeDocument/2006/relationships/hyperlink" Target="https://www.zotero.org/google-docs/?KO5uzR" TargetMode="External"/><Relationship Id="rId245" Type="http://schemas.openxmlformats.org/officeDocument/2006/relationships/hyperlink" Target="https://www.zotero.org/google-docs/?KO5uzR" TargetMode="External"/><Relationship Id="rId266" Type="http://schemas.openxmlformats.org/officeDocument/2006/relationships/hyperlink" Target="https://www.zotero.org/google-docs/?KO5uzR" TargetMode="External"/><Relationship Id="rId287" Type="http://schemas.openxmlformats.org/officeDocument/2006/relationships/hyperlink" Target="https://www.zotero.org/google-docs/?KO5uzR" TargetMode="External"/><Relationship Id="rId30" Type="http://schemas.openxmlformats.org/officeDocument/2006/relationships/hyperlink" Target="http://lpvs.gsfc.nasa.gov/" TargetMode="External"/><Relationship Id="rId105" Type="http://schemas.openxmlformats.org/officeDocument/2006/relationships/hyperlink" Target="https://www.zotero.org/google-docs/?KO5uzR" TargetMode="External"/><Relationship Id="rId126" Type="http://schemas.openxmlformats.org/officeDocument/2006/relationships/hyperlink" Target="https://www.zotero.org/google-docs/?KO5uzR" TargetMode="External"/><Relationship Id="rId147" Type="http://schemas.openxmlformats.org/officeDocument/2006/relationships/hyperlink" Target="https://www.zotero.org/google-docs/?KO5uzR" TargetMode="External"/><Relationship Id="rId168" Type="http://schemas.openxmlformats.org/officeDocument/2006/relationships/hyperlink" Target="https://www.zotero.org/google-docs/?KO5uzR" TargetMode="External"/><Relationship Id="rId51" Type="http://schemas.openxmlformats.org/officeDocument/2006/relationships/image" Target="media/image9.png"/><Relationship Id="rId72" Type="http://schemas.openxmlformats.org/officeDocument/2006/relationships/image" Target="media/image26.png"/><Relationship Id="rId93" Type="http://schemas.openxmlformats.org/officeDocument/2006/relationships/hyperlink" Target="https://www.zotero.org/google-docs/?KO5uzR" TargetMode="External"/><Relationship Id="rId189" Type="http://schemas.openxmlformats.org/officeDocument/2006/relationships/hyperlink" Target="https://www.zotero.org/google-docs/?KO5uzR" TargetMode="External"/><Relationship Id="rId3" Type="http://schemas.openxmlformats.org/officeDocument/2006/relationships/webSettings" Target="webSettings.xml"/><Relationship Id="rId214" Type="http://schemas.openxmlformats.org/officeDocument/2006/relationships/hyperlink" Target="https://www.zotero.org/google-docs/?KO5uzR" TargetMode="External"/><Relationship Id="rId235" Type="http://schemas.openxmlformats.org/officeDocument/2006/relationships/hyperlink" Target="https://www.zotero.org/google-docs/?KO5uzR" TargetMode="External"/><Relationship Id="rId256" Type="http://schemas.openxmlformats.org/officeDocument/2006/relationships/hyperlink" Target="https://www.zotero.org/google-docs/?KO5uzR" TargetMode="External"/><Relationship Id="rId277" Type="http://schemas.openxmlformats.org/officeDocument/2006/relationships/hyperlink" Target="https://www.zotero.org/google-docs/?KO5uzR" TargetMode="External"/><Relationship Id="rId116" Type="http://schemas.openxmlformats.org/officeDocument/2006/relationships/hyperlink" Target="https://www.zotero.org/google-docs/?KO5uzR" TargetMode="External"/><Relationship Id="rId137" Type="http://schemas.openxmlformats.org/officeDocument/2006/relationships/hyperlink" Target="https://www.zotero.org/google-docs/?KO5uzR" TargetMode="External"/><Relationship Id="rId158" Type="http://schemas.openxmlformats.org/officeDocument/2006/relationships/hyperlink" Target="https://www.zotero.org/google-docs/?KO5uzR" TargetMode="External"/><Relationship Id="rId20" Type="http://schemas.openxmlformats.org/officeDocument/2006/relationships/hyperlink" Target="https://www.zotero.org/google-docs/?1rO5Ob" TargetMode="External"/><Relationship Id="rId41" Type="http://schemas.openxmlformats.org/officeDocument/2006/relationships/hyperlink" Target="https://www.zotero.org/google-docs/?2DdRNa" TargetMode="External"/><Relationship Id="rId62" Type="http://schemas.openxmlformats.org/officeDocument/2006/relationships/image" Target="media/image18.png"/><Relationship Id="rId83" Type="http://schemas.openxmlformats.org/officeDocument/2006/relationships/hyperlink" Target="https://www.zotero.org/google-docs/?KO5uzR" TargetMode="External"/><Relationship Id="rId179" Type="http://schemas.openxmlformats.org/officeDocument/2006/relationships/hyperlink" Target="https://www.zotero.org/google-docs/?KO5uzR" TargetMode="External"/><Relationship Id="rId190" Type="http://schemas.openxmlformats.org/officeDocument/2006/relationships/hyperlink" Target="https://www.zotero.org/google-docs/?KO5uzR" TargetMode="External"/><Relationship Id="rId204" Type="http://schemas.openxmlformats.org/officeDocument/2006/relationships/hyperlink" Target="https://www.zotero.org/google-docs/?KO5uzR" TargetMode="External"/><Relationship Id="rId225" Type="http://schemas.openxmlformats.org/officeDocument/2006/relationships/hyperlink" Target="https://www.zotero.org/google-docs/?KO5uzR" TargetMode="External"/><Relationship Id="rId246" Type="http://schemas.openxmlformats.org/officeDocument/2006/relationships/hyperlink" Target="https://www.zotero.org/google-docs/?KO5uzR" TargetMode="External"/><Relationship Id="rId267" Type="http://schemas.openxmlformats.org/officeDocument/2006/relationships/hyperlink" Target="https://www.zotero.org/google-docs/?KO5uzR" TargetMode="External"/><Relationship Id="rId288" Type="http://schemas.openxmlformats.org/officeDocument/2006/relationships/hyperlink" Target="https://www.zotero.org/google-docs/?KO5uzR" TargetMode="External"/><Relationship Id="rId106" Type="http://schemas.openxmlformats.org/officeDocument/2006/relationships/hyperlink" Target="https://www.zotero.org/google-docs/?KO5uzR" TargetMode="External"/><Relationship Id="rId127" Type="http://schemas.openxmlformats.org/officeDocument/2006/relationships/hyperlink" Target="https://www.zotero.org/google-docs/?KO5uzR" TargetMode="External"/><Relationship Id="rId10" Type="http://schemas.openxmlformats.org/officeDocument/2006/relationships/hyperlink" Target="https://www.zotero.org/google-docs/?hykvcU" TargetMode="External"/><Relationship Id="rId31" Type="http://schemas.openxmlformats.org/officeDocument/2006/relationships/hyperlink" Target="https://www.zotero.org/google-docs/?qAL9QQ" TargetMode="External"/><Relationship Id="rId52" Type="http://schemas.openxmlformats.org/officeDocument/2006/relationships/image" Target="media/image10.png"/><Relationship Id="rId73" Type="http://schemas.openxmlformats.org/officeDocument/2006/relationships/image" Target="media/image27.png"/><Relationship Id="rId94" Type="http://schemas.openxmlformats.org/officeDocument/2006/relationships/hyperlink" Target="https://www.zotero.org/google-docs/?KO5uzR" TargetMode="External"/><Relationship Id="rId148" Type="http://schemas.openxmlformats.org/officeDocument/2006/relationships/hyperlink" Target="https://www.zotero.org/google-docs/?KO5uzR" TargetMode="External"/><Relationship Id="rId169" Type="http://schemas.openxmlformats.org/officeDocument/2006/relationships/hyperlink" Target="https://www.zotero.org/google-docs/?KO5uzR" TargetMode="External"/><Relationship Id="rId4" Type="http://schemas.openxmlformats.org/officeDocument/2006/relationships/footnotes" Target="footnotes.xml"/><Relationship Id="rId180" Type="http://schemas.openxmlformats.org/officeDocument/2006/relationships/hyperlink" Target="https://www.zotero.org/google-docs/?KO5uzR" TargetMode="External"/><Relationship Id="rId215" Type="http://schemas.openxmlformats.org/officeDocument/2006/relationships/hyperlink" Target="https://www.zotero.org/google-docs/?KO5uzR" TargetMode="External"/><Relationship Id="rId236" Type="http://schemas.openxmlformats.org/officeDocument/2006/relationships/hyperlink" Target="https://www.zotero.org/google-docs/?KO5uzR" TargetMode="External"/><Relationship Id="rId257" Type="http://schemas.openxmlformats.org/officeDocument/2006/relationships/hyperlink" Target="https://www.zotero.org/google-docs/?KO5uzR" TargetMode="External"/><Relationship Id="rId278" Type="http://schemas.openxmlformats.org/officeDocument/2006/relationships/hyperlink" Target="https://www.zotero.org/google-docs/?KO5uzR" TargetMode="External"/><Relationship Id="rId42" Type="http://schemas.openxmlformats.org/officeDocument/2006/relationships/hyperlink" Target="https://www.zotero.org/google-docs/?04QsBv" TargetMode="External"/><Relationship Id="rId84" Type="http://schemas.openxmlformats.org/officeDocument/2006/relationships/hyperlink" Target="https://www.zotero.org/google-docs/?KO5uzR" TargetMode="External"/><Relationship Id="rId138" Type="http://schemas.openxmlformats.org/officeDocument/2006/relationships/hyperlink" Target="https://www.zotero.org/google-docs/?KO5uzR" TargetMode="External"/><Relationship Id="rId191" Type="http://schemas.openxmlformats.org/officeDocument/2006/relationships/hyperlink" Target="https://www.zotero.org/google-docs/?KO5uzR" TargetMode="External"/><Relationship Id="rId205" Type="http://schemas.openxmlformats.org/officeDocument/2006/relationships/hyperlink" Target="https://www.zotero.org/google-docs/?KO5uzR" TargetMode="External"/><Relationship Id="rId247" Type="http://schemas.openxmlformats.org/officeDocument/2006/relationships/hyperlink" Target="https://www.zotero.org/google-docs/?KO5uzR" TargetMode="External"/><Relationship Id="rId107" Type="http://schemas.openxmlformats.org/officeDocument/2006/relationships/hyperlink" Target="https://www.zotero.org/google-docs/?KO5uzR" TargetMode="External"/><Relationship Id="rId289" Type="http://schemas.openxmlformats.org/officeDocument/2006/relationships/hyperlink" Target="https://www.zotero.org/google-docs/?KO5uzR" TargetMode="External"/><Relationship Id="rId11" Type="http://schemas.openxmlformats.org/officeDocument/2006/relationships/hyperlink" Target="https://www.zotero.org/google-docs/?S2ovkD" TargetMode="External"/><Relationship Id="rId53" Type="http://schemas.openxmlformats.org/officeDocument/2006/relationships/image" Target="media/image11.png"/><Relationship Id="rId149" Type="http://schemas.openxmlformats.org/officeDocument/2006/relationships/hyperlink" Target="https://www.zotero.org/google-docs/?KO5uzR" TargetMode="External"/><Relationship Id="rId95" Type="http://schemas.openxmlformats.org/officeDocument/2006/relationships/hyperlink" Target="https://www.zotero.org/google-docs/?KO5uzR" TargetMode="External"/><Relationship Id="rId160" Type="http://schemas.openxmlformats.org/officeDocument/2006/relationships/hyperlink" Target="https://www.zotero.org/google-docs/?KO5uzR" TargetMode="External"/><Relationship Id="rId216" Type="http://schemas.openxmlformats.org/officeDocument/2006/relationships/hyperlink" Target="https://www.zotero.org/google-docs/?KO5uzR" TargetMode="External"/><Relationship Id="rId258" Type="http://schemas.openxmlformats.org/officeDocument/2006/relationships/hyperlink" Target="https://www.zotero.org/google-docs/?KO5uzR" TargetMode="External"/><Relationship Id="rId22" Type="http://schemas.openxmlformats.org/officeDocument/2006/relationships/hyperlink" Target="https://www.zotero.org/google-docs/?wAzhNu" TargetMode="External"/><Relationship Id="rId64" Type="http://schemas.openxmlformats.org/officeDocument/2006/relationships/hyperlink" Target="https://www.zotero.org/google-docs/?RLJRK9" TargetMode="External"/><Relationship Id="rId118" Type="http://schemas.openxmlformats.org/officeDocument/2006/relationships/hyperlink" Target="https://www.zotero.org/google-docs/?KO5uzR" TargetMode="External"/><Relationship Id="rId171" Type="http://schemas.openxmlformats.org/officeDocument/2006/relationships/hyperlink" Target="https://www.zotero.org/google-docs/?KO5uzR" TargetMode="External"/><Relationship Id="rId227" Type="http://schemas.openxmlformats.org/officeDocument/2006/relationships/hyperlink" Target="https://www.zotero.org/google-docs/?KO5uzR" TargetMode="External"/><Relationship Id="rId269" Type="http://schemas.openxmlformats.org/officeDocument/2006/relationships/hyperlink" Target="https://www.zotero.org/google-docs/?KO5uz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1364</TotalTime>
  <Pages>42</Pages>
  <Words>7362</Words>
  <Characters>42778</Characters>
  <Application>Microsoft Office Word</Application>
  <DocSecurity>0</DocSecurity>
  <Lines>638</Lines>
  <Paragraphs>176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49964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Sungchan Jeong</cp:lastModifiedBy>
  <cp:revision>37</cp:revision>
  <dcterms:created xsi:type="dcterms:W3CDTF">2025-10-13T07:45:00Z</dcterms:created>
  <dcterms:modified xsi:type="dcterms:W3CDTF">2025-10-29T11:23:00Z</dcterms:modified>
</cp:coreProperties>
</file>