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900" w:rsidRPr="00F51900" w:rsidRDefault="00F51900" w:rsidP="00FF190F">
      <w:pPr>
        <w:spacing w:line="480" w:lineRule="auto"/>
        <w:jc w:val="center"/>
        <w:rPr>
          <w:rFonts w:ascii="Times New Roman" w:hAnsi="Times New Roman" w:cs="Times New Roman"/>
          <w:b/>
          <w:sz w:val="40"/>
          <w:szCs w:val="36"/>
        </w:rPr>
      </w:pPr>
      <w:r w:rsidRPr="00F51900">
        <w:rPr>
          <w:rFonts w:ascii="Times New Roman" w:hAnsi="Times New Roman" w:cs="Times New Roman"/>
          <w:b/>
          <w:sz w:val="40"/>
          <w:szCs w:val="36"/>
        </w:rPr>
        <w:t xml:space="preserve">Supporting </w:t>
      </w:r>
      <w:r w:rsidRPr="00F51900">
        <w:rPr>
          <w:rFonts w:ascii="Times New Roman" w:hAnsi="Times New Roman" w:cs="Times New Roman" w:hint="eastAsia"/>
          <w:b/>
          <w:sz w:val="40"/>
          <w:szCs w:val="36"/>
        </w:rPr>
        <w:t>information</w:t>
      </w:r>
    </w:p>
    <w:p w:rsidR="00F51900" w:rsidRDefault="00F51900" w:rsidP="00FF190F">
      <w:pPr>
        <w:spacing w:line="48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F190F" w:rsidRDefault="00FF190F" w:rsidP="00FF190F">
      <w:pPr>
        <w:spacing w:line="48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Bioaccumulation and toxicity effects of flubendiamide in zebrafish (</w:t>
      </w:r>
      <w:r>
        <w:rPr>
          <w:rFonts w:ascii="Times New Roman" w:hAnsi="Times New Roman" w:cs="Times New Roman"/>
          <w:b/>
          <w:i/>
          <w:sz w:val="36"/>
          <w:szCs w:val="36"/>
        </w:rPr>
        <w:t xml:space="preserve">Danio </w:t>
      </w:r>
      <w:proofErr w:type="spellStart"/>
      <w:r>
        <w:rPr>
          <w:rFonts w:ascii="Times New Roman" w:hAnsi="Times New Roman" w:cs="Times New Roman"/>
          <w:b/>
          <w:i/>
          <w:sz w:val="36"/>
          <w:szCs w:val="36"/>
        </w:rPr>
        <w:t>rerio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>)</w:t>
      </w:r>
    </w:p>
    <w:p w:rsidR="00FF190F" w:rsidRPr="00B54163" w:rsidRDefault="00FF190F" w:rsidP="00FF190F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黑体" w:hAnsi="Times New Roman" w:cs="Times New Roman"/>
          <w:color w:val="000000"/>
          <w:sz w:val="24"/>
          <w:szCs w:val="24"/>
        </w:rPr>
      </w:pPr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 xml:space="preserve">Zhiyuan </w:t>
      </w:r>
      <w:proofErr w:type="spellStart"/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>Meng</w:t>
      </w:r>
      <w:r w:rsidRPr="00B54163">
        <w:rPr>
          <w:rFonts w:ascii="Times New Roman" w:eastAsia="黑体" w:hAnsi="Times New Roman" w:cs="Times New Roman"/>
          <w:color w:val="000000"/>
          <w:sz w:val="24"/>
          <w:szCs w:val="24"/>
          <w:vertAlign w:val="superscript"/>
        </w:rPr>
        <w:t>a</w:t>
      </w:r>
      <w:proofErr w:type="spellEnd"/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>Zhichao</w:t>
      </w:r>
      <w:proofErr w:type="spellEnd"/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>Wang</w:t>
      </w:r>
      <w:r w:rsidRPr="00B54163">
        <w:rPr>
          <w:rFonts w:ascii="Times New Roman" w:eastAsia="黑体" w:hAnsi="Times New Roman" w:cs="Times New Roman"/>
          <w:color w:val="000000"/>
          <w:sz w:val="24"/>
          <w:szCs w:val="24"/>
          <w:vertAlign w:val="superscript"/>
        </w:rPr>
        <w:t>a</w:t>
      </w:r>
      <w:proofErr w:type="spellEnd"/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>, Xiaojun Chen</w:t>
      </w:r>
      <w:r w:rsidRPr="00B54163">
        <w:rPr>
          <w:rFonts w:ascii="Times New Roman" w:eastAsia="黑体" w:hAnsi="Times New Roman" w:cs="Times New Roman"/>
          <w:color w:val="000000"/>
          <w:sz w:val="24"/>
          <w:szCs w:val="24"/>
          <w:vertAlign w:val="superscript"/>
        </w:rPr>
        <w:t xml:space="preserve">a </w:t>
      </w:r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 xml:space="preserve">*, Yueyi </w:t>
      </w:r>
      <w:proofErr w:type="spellStart"/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>Song</w:t>
      </w:r>
      <w:r w:rsidRPr="00B54163">
        <w:rPr>
          <w:rFonts w:ascii="Times New Roman" w:eastAsia="黑体" w:hAnsi="Times New Roman" w:cs="Times New Roman"/>
          <w:color w:val="000000"/>
          <w:sz w:val="24"/>
          <w:szCs w:val="24"/>
          <w:vertAlign w:val="superscript"/>
        </w:rPr>
        <w:t>a</w:t>
      </w:r>
      <w:proofErr w:type="spellEnd"/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>Miaomiao</w:t>
      </w:r>
      <w:proofErr w:type="spellEnd"/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>Teng</w:t>
      </w:r>
      <w:proofErr w:type="spellEnd"/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 xml:space="preserve"> </w:t>
      </w:r>
      <w:r w:rsidRPr="00B54163">
        <w:rPr>
          <w:rFonts w:ascii="Times New Roman" w:eastAsia="黑体" w:hAnsi="Times New Roman" w:cs="Times New Roman"/>
          <w:color w:val="000000"/>
          <w:sz w:val="24"/>
          <w:szCs w:val="24"/>
          <w:vertAlign w:val="superscript"/>
        </w:rPr>
        <w:t>b</w:t>
      </w:r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 xml:space="preserve">, Tianle Fan </w:t>
      </w:r>
      <w:r w:rsidRPr="00B54163">
        <w:rPr>
          <w:rFonts w:ascii="Times New Roman" w:eastAsia="黑体" w:hAnsi="Times New Roman" w:cs="Times New Roman"/>
          <w:color w:val="000000"/>
          <w:sz w:val="24"/>
          <w:szCs w:val="24"/>
          <w:vertAlign w:val="superscript"/>
        </w:rPr>
        <w:t>a</w:t>
      </w:r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>, Yang</w:t>
      </w:r>
      <w:r w:rsidRPr="00B54163">
        <w:rPr>
          <w:rFonts w:ascii="Times New Roman" w:eastAsia="黑体" w:hAnsi="Times New Roman" w:cs="Times New Roman"/>
          <w:color w:val="000000"/>
          <w:sz w:val="24"/>
          <w:szCs w:val="24"/>
          <w:vertAlign w:val="superscript"/>
        </w:rPr>
        <w:t xml:space="preserve"> </w:t>
      </w:r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 xml:space="preserve">Zheng </w:t>
      </w:r>
      <w:r w:rsidRPr="00B54163">
        <w:rPr>
          <w:rFonts w:ascii="Times New Roman" w:eastAsia="黑体" w:hAnsi="Times New Roman" w:cs="Times New Roman"/>
          <w:color w:val="000000"/>
          <w:sz w:val="24"/>
          <w:szCs w:val="24"/>
          <w:vertAlign w:val="superscript"/>
        </w:rPr>
        <w:t>a</w:t>
      </w:r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>Jiajia</w:t>
      </w:r>
      <w:proofErr w:type="spellEnd"/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 xml:space="preserve"> Cui </w:t>
      </w:r>
      <w:r w:rsidRPr="00B54163">
        <w:rPr>
          <w:rFonts w:ascii="Times New Roman" w:eastAsia="黑体" w:hAnsi="Times New Roman" w:cs="Times New Roman"/>
          <w:color w:val="000000"/>
          <w:sz w:val="24"/>
          <w:szCs w:val="24"/>
          <w:vertAlign w:val="superscript"/>
        </w:rPr>
        <w:t>a</w:t>
      </w:r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>Wangjing</w:t>
      </w:r>
      <w:proofErr w:type="spellEnd"/>
      <w:r w:rsidRPr="00B54163">
        <w:rPr>
          <w:rFonts w:ascii="Times New Roman" w:eastAsia="黑体" w:hAnsi="Times New Roman" w:cs="Times New Roman"/>
          <w:color w:val="000000"/>
          <w:sz w:val="24"/>
          <w:szCs w:val="24"/>
        </w:rPr>
        <w:t xml:space="preserve"> Xu </w:t>
      </w:r>
      <w:r w:rsidRPr="00B54163">
        <w:rPr>
          <w:rFonts w:ascii="Times New Roman" w:eastAsia="黑体" w:hAnsi="Times New Roman" w:cs="Times New Roman"/>
          <w:color w:val="000000"/>
          <w:sz w:val="24"/>
          <w:szCs w:val="24"/>
          <w:vertAlign w:val="superscript"/>
        </w:rPr>
        <w:t>a</w:t>
      </w:r>
    </w:p>
    <w:p w:rsidR="00FF190F" w:rsidRPr="00B54163" w:rsidRDefault="00FF190F" w:rsidP="00FF190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:rsidR="00FF190F" w:rsidRDefault="00FF190F" w:rsidP="00FF190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School of Horticulture and Plant Protection, Yangzhou University/Joint International Research Laboratory of Agriculture &amp;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Agri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-Product Safety (Yangzhou University), Jiangsu Yangzhou, 225009, China</w:t>
      </w:r>
    </w:p>
    <w:p w:rsidR="00FF190F" w:rsidRDefault="00FF190F" w:rsidP="00FF190F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b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State Key Laboratory of Environmental Criteria and Risk Assessment, Chinese Research Academy of Environmental Sciences, Beijing 100012, China</w:t>
      </w:r>
    </w:p>
    <w:p w:rsidR="00FF190F" w:rsidRDefault="00FF190F" w:rsidP="00FF190F">
      <w:pPr>
        <w:tabs>
          <w:tab w:val="left" w:pos="1365"/>
        </w:tabs>
        <w:adjustRightInd w:val="0"/>
        <w:spacing w:line="480" w:lineRule="auto"/>
        <w:rPr>
          <w:rFonts w:ascii="Times New Roman" w:eastAsia="黑体" w:hAnsi="Times New Roman" w:cs="Times New Roman"/>
          <w:color w:val="FF0000"/>
          <w:sz w:val="24"/>
          <w:szCs w:val="24"/>
        </w:rPr>
      </w:pPr>
    </w:p>
    <w:p w:rsidR="00FF190F" w:rsidRDefault="00FF190F" w:rsidP="00FF190F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*Corresponding author:</w:t>
      </w:r>
    </w:p>
    <w:p w:rsidR="00FF190F" w:rsidRDefault="00FF190F" w:rsidP="00FF190F">
      <w:pPr>
        <w:tabs>
          <w:tab w:val="left" w:pos="1365"/>
        </w:tabs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X</w:t>
      </w:r>
      <w:r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>iaojun</w:t>
      </w:r>
      <w:r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 C</w:t>
      </w:r>
      <w:r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>hen</w:t>
      </w:r>
      <w:r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Department of Plant Protection, School of Horticulture and Plant Protection, Yangzhou University, Yangzhou, Jiangsu 225009, China.</w:t>
      </w:r>
    </w:p>
    <w:p w:rsidR="00FF190F" w:rsidRDefault="00FF190F" w:rsidP="00FF190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E-mail: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cxj@yzu.edu.cn</w:t>
      </w:r>
    </w:p>
    <w:p w:rsidR="00FF190F" w:rsidRDefault="00FF190F" w:rsidP="00FF190F">
      <w:pPr>
        <w:spacing w:line="48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br w:type="page"/>
      </w:r>
    </w:p>
    <w:p w:rsidR="00562E57" w:rsidRPr="00B7096D" w:rsidRDefault="00B7096D" w:rsidP="00B7096D">
      <w:pPr>
        <w:spacing w:line="480" w:lineRule="auto"/>
        <w:rPr>
          <w:rFonts w:ascii="Times New Roman" w:hAnsi="Times New Roman" w:cs="Times New Roman"/>
          <w:b/>
          <w:sz w:val="28"/>
          <w:szCs w:val="24"/>
        </w:rPr>
      </w:pPr>
      <w:r w:rsidRPr="00B7096D">
        <w:rPr>
          <w:rFonts w:ascii="Times New Roman" w:hAnsi="Times New Roman" w:cs="Times New Roman"/>
          <w:b/>
          <w:sz w:val="28"/>
          <w:szCs w:val="24"/>
        </w:rPr>
        <w:lastRenderedPageBreak/>
        <w:t>LC-MS/MS analysis of flubendiamide</w:t>
      </w:r>
    </w:p>
    <w:p w:rsidR="00B7096D" w:rsidRDefault="00B7096D" w:rsidP="00B7096D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B7096D">
        <w:rPr>
          <w:rFonts w:ascii="Times New Roman" w:hAnsi="Times New Roman" w:cs="Times New Roman"/>
          <w:sz w:val="24"/>
          <w:szCs w:val="24"/>
        </w:rPr>
        <w:t xml:space="preserve">HPLC analysis was performed with an Agilent 1200HPLC system equipped with a binary pump, auto </w:t>
      </w:r>
      <w:r w:rsidRPr="00B7096D">
        <w:rPr>
          <w:rFonts w:ascii="Times New Roman" w:hAnsi="Times New Roman" w:cs="Times New Roman"/>
          <w:sz w:val="24"/>
          <w:szCs w:val="24"/>
        </w:rPr>
        <w:t>plate sampler</w:t>
      </w:r>
      <w:r w:rsidRPr="00B7096D">
        <w:rPr>
          <w:rFonts w:ascii="Times New Roman" w:hAnsi="Times New Roman" w:cs="Times New Roman"/>
          <w:sz w:val="24"/>
          <w:szCs w:val="24"/>
        </w:rPr>
        <w:t xml:space="preserve">, column oven, and diode-array detector. </w:t>
      </w:r>
      <w:r w:rsidR="00FF190F" w:rsidRPr="00B7096D">
        <w:rPr>
          <w:rFonts w:ascii="Times New Roman" w:hAnsi="Times New Roman" w:cs="Times New Roman"/>
          <w:sz w:val="24"/>
          <w:szCs w:val="24"/>
        </w:rPr>
        <w:t>Separation was</w:t>
      </w:r>
      <w:r w:rsidRPr="00B7096D">
        <w:rPr>
          <w:rFonts w:ascii="Times New Roman" w:hAnsi="Times New Roman" w:cs="Times New Roman"/>
          <w:sz w:val="24"/>
          <w:szCs w:val="24"/>
        </w:rPr>
        <w:t xml:space="preserve"> performed on Agilent Eclipse Plus </w:t>
      </w:r>
      <w:r w:rsidRPr="00B7096D">
        <w:rPr>
          <w:rFonts w:ascii="Times New Roman" w:hAnsi="Times New Roman" w:cs="Times New Roman"/>
          <w:sz w:val="24"/>
          <w:szCs w:val="24"/>
        </w:rPr>
        <w:t>chromatographic columns</w:t>
      </w:r>
      <w:r w:rsidRPr="00B7096D">
        <w:rPr>
          <w:rFonts w:ascii="Times New Roman" w:hAnsi="Times New Roman" w:cs="Times New Roman"/>
          <w:sz w:val="24"/>
          <w:szCs w:val="24"/>
        </w:rPr>
        <w:t xml:space="preserve"> C18 (4.6 mm </w:t>
      </w:r>
      <w:r w:rsidRPr="00B7096D">
        <w:rPr>
          <w:rFonts w:ascii="Times New Roman" w:hAnsi="Times New Roman" w:cs="Times New Roman"/>
          <w:sz w:val="24"/>
          <w:szCs w:val="24"/>
        </w:rPr>
        <w:t>*</w:t>
      </w:r>
      <w:r w:rsidRPr="00B7096D">
        <w:rPr>
          <w:rFonts w:ascii="Times New Roman" w:hAnsi="Times New Roman" w:cs="Times New Roman"/>
          <w:sz w:val="24"/>
          <w:szCs w:val="24"/>
        </w:rPr>
        <w:t xml:space="preserve"> 150 mm (</w:t>
      </w:r>
      <w:proofErr w:type="spellStart"/>
      <w:r w:rsidRPr="00B7096D">
        <w:rPr>
          <w:rFonts w:ascii="Times New Roman" w:hAnsi="Times New Roman" w:cs="Times New Roman"/>
          <w:sz w:val="24"/>
          <w:szCs w:val="24"/>
        </w:rPr>
        <w:t>i.d.</w:t>
      </w:r>
      <w:proofErr w:type="spellEnd"/>
      <w:r w:rsidRPr="00B7096D">
        <w:rPr>
          <w:rFonts w:ascii="Times New Roman" w:hAnsi="Times New Roman" w:cs="Times New Roman"/>
          <w:sz w:val="24"/>
          <w:szCs w:val="24"/>
        </w:rPr>
        <w:t xml:space="preserve">), 5 </w:t>
      </w:r>
      <w:r w:rsidRPr="00B7096D">
        <w:rPr>
          <w:rFonts w:ascii="Times New Roman" w:hAnsi="Times New Roman" w:cs="Times New Roman"/>
          <w:sz w:val="24"/>
          <w:szCs w:val="24"/>
        </w:rPr>
        <w:t>μ</w:t>
      </w:r>
      <w:r w:rsidRPr="00B7096D">
        <w:rPr>
          <w:rFonts w:ascii="Times New Roman" w:hAnsi="Times New Roman" w:cs="Times New Roman"/>
          <w:sz w:val="24"/>
          <w:szCs w:val="24"/>
        </w:rPr>
        <w:t>m) at 20</w:t>
      </w:r>
      <w:r w:rsidRPr="00B7096D">
        <w:rPr>
          <w:rFonts w:ascii="Times New Roman" w:hAnsi="Times New Roman" w:cs="Times New Roman"/>
          <w:sz w:val="24"/>
          <w:szCs w:val="24"/>
        </w:rPr>
        <w:t>℃</w:t>
      </w:r>
      <w:r w:rsidRPr="00B7096D">
        <w:rPr>
          <w:rFonts w:ascii="Times New Roman" w:hAnsi="Times New Roman" w:cs="Times New Roman"/>
          <w:sz w:val="24"/>
          <w:szCs w:val="24"/>
        </w:rPr>
        <w:t>, with</w:t>
      </w:r>
      <w:r w:rsidRPr="00B7096D">
        <w:rPr>
          <w:rFonts w:ascii="Times New Roman" w:hAnsi="Times New Roman" w:cs="Times New Roman"/>
          <w:sz w:val="24"/>
          <w:szCs w:val="24"/>
        </w:rPr>
        <w:t xml:space="preserve"> </w:t>
      </w:r>
      <w:r w:rsidRPr="00B7096D">
        <w:rPr>
          <w:rFonts w:ascii="Times New Roman" w:hAnsi="Times New Roman" w:cs="Times New Roman"/>
          <w:sz w:val="24"/>
          <w:szCs w:val="24"/>
        </w:rPr>
        <w:t>mobile solvents consisting of methanol: ammonium acetate</w:t>
      </w:r>
      <w:r w:rsidR="00FF190F">
        <w:rPr>
          <w:rFonts w:ascii="Times New Roman" w:hAnsi="Times New Roman" w:cs="Times New Roman"/>
          <w:sz w:val="24"/>
          <w:szCs w:val="24"/>
        </w:rPr>
        <w:t xml:space="preserve"> </w:t>
      </w:r>
      <w:r w:rsidRPr="00B7096D">
        <w:rPr>
          <w:rFonts w:ascii="Times New Roman" w:hAnsi="Times New Roman" w:cs="Times New Roman"/>
          <w:sz w:val="24"/>
          <w:szCs w:val="24"/>
        </w:rPr>
        <w:t xml:space="preserve">with 1 % 5 </w:t>
      </w:r>
      <w:proofErr w:type="spellStart"/>
      <w:r w:rsidRPr="00B7096D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Pr="00B7096D">
        <w:rPr>
          <w:rFonts w:ascii="Times New Roman" w:hAnsi="Times New Roman" w:cs="Times New Roman"/>
          <w:sz w:val="24"/>
          <w:szCs w:val="24"/>
        </w:rPr>
        <w:t>/L acetic acid = 60:40(V:</w:t>
      </w:r>
      <w:r w:rsidR="00FF190F">
        <w:rPr>
          <w:rFonts w:ascii="Times New Roman" w:hAnsi="Times New Roman" w:cs="Times New Roman"/>
          <w:sz w:val="24"/>
          <w:szCs w:val="24"/>
        </w:rPr>
        <w:t xml:space="preserve"> </w:t>
      </w:r>
      <w:r w:rsidRPr="00B7096D">
        <w:rPr>
          <w:rFonts w:ascii="Times New Roman" w:hAnsi="Times New Roman" w:cs="Times New Roman"/>
          <w:sz w:val="24"/>
          <w:szCs w:val="24"/>
        </w:rPr>
        <w:t xml:space="preserve">V), isocratic at1 mL/min. Aliquots of 5 </w:t>
      </w:r>
      <w:proofErr w:type="spellStart"/>
      <w:r w:rsidR="00FF190F" w:rsidRPr="00B7096D">
        <w:rPr>
          <w:rFonts w:ascii="Times New Roman" w:hAnsi="Times New Roman" w:cs="Times New Roman"/>
          <w:sz w:val="24"/>
          <w:szCs w:val="24"/>
        </w:rPr>
        <w:t>μ</w:t>
      </w:r>
      <w:r w:rsidRPr="00B7096D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Pr="00B7096D">
        <w:rPr>
          <w:rFonts w:ascii="Times New Roman" w:hAnsi="Times New Roman" w:cs="Times New Roman"/>
          <w:sz w:val="24"/>
          <w:szCs w:val="24"/>
        </w:rPr>
        <w:t xml:space="preserve"> were injected directly to the</w:t>
      </w:r>
      <w:r w:rsidRPr="00B7096D">
        <w:rPr>
          <w:rFonts w:ascii="Times New Roman" w:hAnsi="Times New Roman" w:cs="Times New Roman"/>
          <w:sz w:val="24"/>
          <w:szCs w:val="24"/>
        </w:rPr>
        <w:t xml:space="preserve"> </w:t>
      </w:r>
      <w:r w:rsidRPr="00B7096D">
        <w:rPr>
          <w:rFonts w:ascii="Times New Roman" w:hAnsi="Times New Roman" w:cs="Times New Roman"/>
          <w:sz w:val="24"/>
          <w:szCs w:val="24"/>
        </w:rPr>
        <w:t>LC–MS/MS system to test flubendiamide and quantified</w:t>
      </w:r>
      <w:r w:rsidRPr="00B7096D">
        <w:rPr>
          <w:rFonts w:ascii="Times New Roman" w:hAnsi="Times New Roman" w:cs="Times New Roman"/>
          <w:sz w:val="24"/>
          <w:szCs w:val="24"/>
        </w:rPr>
        <w:t xml:space="preserve"> </w:t>
      </w:r>
      <w:r w:rsidRPr="00B7096D">
        <w:rPr>
          <w:rFonts w:ascii="Times New Roman" w:hAnsi="Times New Roman" w:cs="Times New Roman"/>
          <w:sz w:val="24"/>
          <w:szCs w:val="24"/>
        </w:rPr>
        <w:t>with external standard peak area. Mass spectra were recorded</w:t>
      </w:r>
      <w:r w:rsidRPr="00B7096D">
        <w:rPr>
          <w:rFonts w:ascii="Times New Roman" w:hAnsi="Times New Roman" w:cs="Times New Roman"/>
          <w:sz w:val="24"/>
          <w:szCs w:val="24"/>
        </w:rPr>
        <w:t xml:space="preserve"> </w:t>
      </w:r>
      <w:r w:rsidRPr="00B7096D">
        <w:rPr>
          <w:rFonts w:ascii="Times New Roman" w:hAnsi="Times New Roman" w:cs="Times New Roman"/>
          <w:sz w:val="24"/>
          <w:szCs w:val="24"/>
        </w:rPr>
        <w:t>on an Agilent 6460 triple quadrupole (QQQ) mass spectrometer equipped with an ESI source. System control and</w:t>
      </w:r>
      <w:r w:rsidRPr="00B7096D">
        <w:rPr>
          <w:rFonts w:ascii="Times New Roman" w:hAnsi="Times New Roman" w:cs="Times New Roman"/>
          <w:sz w:val="24"/>
          <w:szCs w:val="24"/>
        </w:rPr>
        <w:t xml:space="preserve"> </w:t>
      </w:r>
      <w:r w:rsidRPr="00B7096D">
        <w:rPr>
          <w:rFonts w:ascii="Times New Roman" w:hAnsi="Times New Roman" w:cs="Times New Roman"/>
          <w:sz w:val="24"/>
          <w:szCs w:val="24"/>
        </w:rPr>
        <w:t>data acquisition were controlled by Agilent Mass Hunter</w:t>
      </w:r>
      <w:r w:rsidRPr="00B7096D">
        <w:rPr>
          <w:rFonts w:ascii="Times New Roman" w:hAnsi="Times New Roman" w:cs="Times New Roman"/>
          <w:sz w:val="24"/>
          <w:szCs w:val="24"/>
        </w:rPr>
        <w:t xml:space="preserve"> </w:t>
      </w:r>
      <w:r w:rsidRPr="00B7096D">
        <w:rPr>
          <w:rFonts w:ascii="Times New Roman" w:hAnsi="Times New Roman" w:cs="Times New Roman"/>
          <w:sz w:val="24"/>
          <w:szCs w:val="24"/>
        </w:rPr>
        <w:t>software. Detailed MS conditions were: cluster voltage:</w:t>
      </w:r>
      <w:r w:rsidRPr="00B7096D">
        <w:rPr>
          <w:rFonts w:ascii="Times New Roman" w:hAnsi="Times New Roman" w:cs="Times New Roman"/>
          <w:sz w:val="24"/>
          <w:szCs w:val="24"/>
        </w:rPr>
        <w:t xml:space="preserve"> </w:t>
      </w:r>
      <w:r w:rsidRPr="00B7096D">
        <w:rPr>
          <w:rFonts w:ascii="Times New Roman" w:hAnsi="Times New Roman" w:cs="Times New Roman"/>
          <w:sz w:val="24"/>
          <w:szCs w:val="24"/>
        </w:rPr>
        <w:t>-120 V; gas temperature: 300℃, gas flow 10 L/min, nebulizer pressure: 15 psi, sheath gas temperature: 250℃;</w:t>
      </w:r>
      <w:r w:rsidRPr="00B7096D">
        <w:rPr>
          <w:rFonts w:ascii="Times New Roman" w:hAnsi="Times New Roman" w:cs="Times New Roman"/>
          <w:sz w:val="24"/>
          <w:szCs w:val="24"/>
        </w:rPr>
        <w:t xml:space="preserve"> </w:t>
      </w:r>
      <w:r w:rsidRPr="00B7096D">
        <w:rPr>
          <w:rFonts w:ascii="Times New Roman" w:hAnsi="Times New Roman" w:cs="Times New Roman"/>
          <w:sz w:val="24"/>
          <w:szCs w:val="24"/>
        </w:rPr>
        <w:t>sheath gas flow: 7 L/min, capillary voltage: 4 kV, nozzle</w:t>
      </w:r>
      <w:r w:rsidRPr="00B7096D">
        <w:rPr>
          <w:rFonts w:ascii="Times New Roman" w:hAnsi="Times New Roman" w:cs="Times New Roman"/>
          <w:sz w:val="24"/>
          <w:szCs w:val="24"/>
        </w:rPr>
        <w:t xml:space="preserve"> </w:t>
      </w:r>
      <w:r w:rsidRPr="00B7096D">
        <w:rPr>
          <w:rFonts w:ascii="Times New Roman" w:hAnsi="Times New Roman" w:cs="Times New Roman"/>
          <w:sz w:val="24"/>
          <w:szCs w:val="24"/>
        </w:rPr>
        <w:t>voltage: 500 V. ESI was operated in the negative ion mode in</w:t>
      </w:r>
      <w:r w:rsidRPr="00B7096D">
        <w:rPr>
          <w:rFonts w:ascii="Times New Roman" w:hAnsi="Times New Roman" w:cs="Times New Roman"/>
          <w:sz w:val="24"/>
          <w:szCs w:val="24"/>
        </w:rPr>
        <w:t xml:space="preserve"> </w:t>
      </w:r>
      <w:r w:rsidRPr="00B7096D">
        <w:rPr>
          <w:rFonts w:ascii="Times New Roman" w:hAnsi="Times New Roman" w:cs="Times New Roman"/>
          <w:sz w:val="24"/>
          <w:szCs w:val="24"/>
        </w:rPr>
        <w:t>the MRM (multiple reaction monitoring).</w:t>
      </w:r>
    </w:p>
    <w:p w:rsidR="00F51900" w:rsidRDefault="00F51900" w:rsidP="00F5190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F51900" w:rsidRPr="00F51900" w:rsidRDefault="00F51900" w:rsidP="00F5190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51900">
        <w:rPr>
          <w:rFonts w:ascii="Times New Roman" w:hAnsi="Times New Roman" w:cs="Times New Roman"/>
          <w:b/>
          <w:sz w:val="24"/>
          <w:szCs w:val="24"/>
        </w:rPr>
        <w:t>R</w:t>
      </w:r>
      <w:r w:rsidRPr="00F51900">
        <w:rPr>
          <w:rFonts w:ascii="Times New Roman" w:hAnsi="Times New Roman" w:cs="Times New Roman" w:hint="eastAsia"/>
          <w:b/>
          <w:sz w:val="24"/>
          <w:szCs w:val="24"/>
        </w:rPr>
        <w:t>eference:</w:t>
      </w:r>
    </w:p>
    <w:p w:rsidR="00F51900" w:rsidRPr="00F51900" w:rsidRDefault="00F51900" w:rsidP="00F51900">
      <w:pPr>
        <w:spacing w:line="360" w:lineRule="auto"/>
        <w:rPr>
          <w:rFonts w:ascii="Times New Roman" w:hAnsi="Times New Roman" w:cs="Times New Roman" w:hint="eastAsia"/>
          <w:szCs w:val="24"/>
        </w:rPr>
      </w:pPr>
      <w:r w:rsidRPr="00F51900">
        <w:rPr>
          <w:rFonts w:ascii="Times New Roman" w:hAnsi="Times New Roman" w:cs="Times New Roman"/>
          <w:szCs w:val="24"/>
        </w:rPr>
        <w:t xml:space="preserve">Chen X, Lu C, Fan S, Lu H, Cui H, Meng Z, Yang Y (2012): Determination </w:t>
      </w:r>
      <w:bookmarkStart w:id="0" w:name="_GoBack"/>
      <w:bookmarkEnd w:id="0"/>
      <w:r w:rsidRPr="00F51900">
        <w:rPr>
          <w:rFonts w:ascii="Times New Roman" w:hAnsi="Times New Roman" w:cs="Times New Roman"/>
          <w:szCs w:val="24"/>
        </w:rPr>
        <w:t>of Residual Flubendiamide in the Cabbage by QuEChERS-Liquid Chromatography-Tandem Mass Spectrometry. Bulletin of Environmental Contamination and Toxicology 89, 1021-1026</w:t>
      </w:r>
    </w:p>
    <w:p w:rsidR="00FF190F" w:rsidRDefault="00FF19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F190F" w:rsidRDefault="00FF190F" w:rsidP="00FF190F">
      <w:pPr>
        <w:jc w:val="center"/>
        <w:rPr>
          <w:rFonts w:ascii="Times New Roman" w:eastAsia="宋体" w:hAnsi="Times New Roman"/>
        </w:rPr>
      </w:pPr>
      <w:r w:rsidRPr="00FF190F">
        <w:rPr>
          <w:rFonts w:ascii="Times New Roman" w:eastAsia="宋体" w:hAnsi="Times New Roman"/>
          <w:b/>
        </w:rPr>
        <w:lastRenderedPageBreak/>
        <w:t>T</w:t>
      </w:r>
      <w:r w:rsidRPr="00FF190F">
        <w:rPr>
          <w:rFonts w:ascii="Times New Roman" w:eastAsia="宋体" w:hAnsi="Times New Roman"/>
          <w:b/>
        </w:rPr>
        <w:t xml:space="preserve">able </w:t>
      </w:r>
      <w:r w:rsidRPr="00FF190F">
        <w:rPr>
          <w:rFonts w:ascii="Times New Roman" w:eastAsia="宋体" w:hAnsi="Times New Roman"/>
          <w:b/>
        </w:rPr>
        <w:t>S1</w:t>
      </w:r>
      <w:r>
        <w:rPr>
          <w:rFonts w:ascii="Times New Roman" w:eastAsia="宋体" w:hAnsi="Times New Roman"/>
        </w:rPr>
        <w:t xml:space="preserve"> Primer sequence for the quantitative reserve transcription-polymerase chain reaction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658"/>
        <w:gridCol w:w="4475"/>
        <w:gridCol w:w="2173"/>
      </w:tblGrid>
      <w:tr w:rsidR="00FF190F" w:rsidTr="00FF190F">
        <w:trPr>
          <w:trHeight w:val="495"/>
          <w:jc w:val="center"/>
        </w:trPr>
        <w:tc>
          <w:tcPr>
            <w:tcW w:w="998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:rsidR="00FF190F" w:rsidRDefault="00FF190F" w:rsidP="00FF190F">
            <w:pPr>
              <w:spacing w:line="360" w:lineRule="auto"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 w:hint="eastAsia"/>
                <w:kern w:val="0"/>
              </w:rPr>
              <w:t>Genus</w:t>
            </w:r>
          </w:p>
        </w:tc>
        <w:tc>
          <w:tcPr>
            <w:tcW w:w="2694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:rsidR="00FF190F" w:rsidRPr="00FF190F" w:rsidRDefault="00FF190F" w:rsidP="00FF190F">
            <w:pPr>
              <w:spacing w:line="360" w:lineRule="auto"/>
              <w:jc w:val="center"/>
              <w:rPr>
                <w:rFonts w:ascii="Times New Roman" w:eastAsia="宋体" w:hAnsi="Times New Roman"/>
                <w:kern w:val="0"/>
              </w:rPr>
            </w:pPr>
            <w:r w:rsidRPr="00FF190F">
              <w:rPr>
                <w:rFonts w:ascii="Times New Roman" w:eastAsia="宋体" w:hAnsi="Times New Roman"/>
                <w:kern w:val="0"/>
              </w:rPr>
              <w:t>Primer sequence</w:t>
            </w:r>
            <w:r>
              <w:rPr>
                <w:rFonts w:ascii="Times New Roman" w:eastAsia="宋体" w:hAnsi="Times New Roman" w:hint="eastAsia"/>
                <w:kern w:val="0"/>
              </w:rPr>
              <w:t>s</w:t>
            </w:r>
            <w:r>
              <w:rPr>
                <w:rFonts w:ascii="Times New Roman" w:eastAsia="宋体" w:hAnsi="Times New Roman"/>
                <w:kern w:val="0"/>
              </w:rPr>
              <w:t xml:space="preserve"> </w:t>
            </w:r>
            <w:r>
              <w:rPr>
                <w:rFonts w:ascii="Times New Roman" w:eastAsia="宋体" w:hAnsi="Times New Roman" w:hint="eastAsia"/>
                <w:kern w:val="0"/>
              </w:rPr>
              <w:t>(</w:t>
            </w:r>
            <w:r>
              <w:rPr>
                <w:rFonts w:ascii="Times New Roman" w:eastAsia="宋体" w:hAnsi="Times New Roman"/>
                <w:color w:val="000000"/>
                <w:kern w:val="0"/>
              </w:rPr>
              <w:t>5'–3'</w:t>
            </w:r>
            <w:r>
              <w:rPr>
                <w:rFonts w:ascii="Times New Roman" w:eastAsia="宋体" w:hAnsi="Times New Roman"/>
                <w:kern w:val="0"/>
              </w:rPr>
              <w:t>)</w:t>
            </w:r>
          </w:p>
        </w:tc>
        <w:tc>
          <w:tcPr>
            <w:tcW w:w="1309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:rsidR="00FF190F" w:rsidRDefault="00FF190F" w:rsidP="00FF190F">
            <w:pPr>
              <w:spacing w:line="360" w:lineRule="auto"/>
              <w:jc w:val="center"/>
              <w:rPr>
                <w:rFonts w:ascii="Times New Roman" w:eastAsia="宋体" w:hAnsi="Times New Roman"/>
                <w:kern w:val="0"/>
              </w:rPr>
            </w:pPr>
            <w:r w:rsidRPr="00FF190F">
              <w:rPr>
                <w:rFonts w:ascii="Times New Roman" w:eastAsia="宋体" w:hAnsi="Times New Roman"/>
                <w:kern w:val="0"/>
              </w:rPr>
              <w:t>Gene</w:t>
            </w:r>
            <w:r>
              <w:rPr>
                <w:rFonts w:ascii="Times New Roman" w:eastAsia="宋体" w:hAnsi="Times New Roman" w:hint="eastAsia"/>
                <w:kern w:val="0"/>
              </w:rPr>
              <w:t>s</w:t>
            </w:r>
            <w:r w:rsidRPr="00FF190F">
              <w:rPr>
                <w:rFonts w:ascii="Times New Roman" w:eastAsia="宋体" w:hAnsi="Times New Roman"/>
                <w:kern w:val="0"/>
              </w:rPr>
              <w:t xml:space="preserve"> number</w:t>
            </w:r>
          </w:p>
        </w:tc>
      </w:tr>
      <w:tr w:rsidR="00FF190F" w:rsidTr="00FF190F">
        <w:trPr>
          <w:trHeight w:val="555"/>
          <w:jc w:val="center"/>
        </w:trPr>
        <w:tc>
          <w:tcPr>
            <w:tcW w:w="998" w:type="pct"/>
            <w:tcBorders>
              <w:top w:val="single" w:sz="4" w:space="0" w:color="auto"/>
            </w:tcBorders>
            <w:noWrap/>
            <w:vAlign w:val="center"/>
          </w:tcPr>
          <w:p w:rsidR="00FF190F" w:rsidRDefault="00FF190F" w:rsidP="00FF190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i/>
                <w:kern w:val="0"/>
              </w:rPr>
              <w:t>β-Actin</w:t>
            </w:r>
          </w:p>
        </w:tc>
        <w:tc>
          <w:tcPr>
            <w:tcW w:w="2694" w:type="pct"/>
            <w:tcBorders>
              <w:top w:val="single" w:sz="4" w:space="0" w:color="auto"/>
            </w:tcBorders>
            <w:vAlign w:val="center"/>
          </w:tcPr>
          <w:p w:rsidR="00FF190F" w:rsidRDefault="00FF190F" w:rsidP="001C3A9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Forward: CGAGCAGGAGATGGGAACC</w:t>
            </w:r>
          </w:p>
          <w:p w:rsidR="00FF190F" w:rsidRDefault="00FF190F" w:rsidP="001C3A9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Reverse: CAACGGAAACGCTCATTGC</w:t>
            </w:r>
          </w:p>
        </w:tc>
        <w:tc>
          <w:tcPr>
            <w:tcW w:w="1309" w:type="pct"/>
            <w:tcBorders>
              <w:top w:val="single" w:sz="4" w:space="0" w:color="auto"/>
            </w:tcBorders>
            <w:noWrap/>
            <w:vAlign w:val="center"/>
          </w:tcPr>
          <w:p w:rsidR="00FF190F" w:rsidRDefault="00FF190F" w:rsidP="00FF19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AF057040</w:t>
            </w:r>
          </w:p>
        </w:tc>
      </w:tr>
      <w:tr w:rsidR="00FF190F" w:rsidTr="00FF190F">
        <w:trPr>
          <w:trHeight w:val="525"/>
          <w:jc w:val="center"/>
        </w:trPr>
        <w:tc>
          <w:tcPr>
            <w:tcW w:w="998" w:type="pct"/>
            <w:noWrap/>
            <w:vAlign w:val="center"/>
          </w:tcPr>
          <w:p w:rsidR="00FF190F" w:rsidRDefault="00FF190F" w:rsidP="00FF190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 w:hint="eastAsia"/>
                <w:i/>
                <w:kern w:val="0"/>
              </w:rPr>
              <w:t>p</w:t>
            </w:r>
            <w:r>
              <w:rPr>
                <w:rFonts w:ascii="Times New Roman" w:eastAsia="宋体" w:hAnsi="Times New Roman"/>
                <w:i/>
                <w:kern w:val="0"/>
              </w:rPr>
              <w:t>53</w:t>
            </w:r>
          </w:p>
        </w:tc>
        <w:tc>
          <w:tcPr>
            <w:tcW w:w="2694" w:type="pct"/>
            <w:vAlign w:val="center"/>
          </w:tcPr>
          <w:p w:rsidR="00FF190F" w:rsidRDefault="00FF190F" w:rsidP="001C3A9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Forward: GGGCAATCAGCGAGCAAA</w:t>
            </w:r>
          </w:p>
          <w:p w:rsidR="00FF190F" w:rsidRDefault="00FF190F" w:rsidP="001C3A9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Reverse: ACTGACCTTCCTGAGTCTCCA</w:t>
            </w:r>
          </w:p>
        </w:tc>
        <w:tc>
          <w:tcPr>
            <w:tcW w:w="1309" w:type="pct"/>
            <w:noWrap/>
            <w:vAlign w:val="center"/>
          </w:tcPr>
          <w:p w:rsidR="00FF190F" w:rsidRDefault="00FF190F" w:rsidP="00FF19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AF365873</w:t>
            </w:r>
          </w:p>
        </w:tc>
      </w:tr>
      <w:tr w:rsidR="00FF190F" w:rsidTr="00FF190F">
        <w:trPr>
          <w:trHeight w:val="495"/>
          <w:jc w:val="center"/>
        </w:trPr>
        <w:tc>
          <w:tcPr>
            <w:tcW w:w="998" w:type="pct"/>
            <w:noWrap/>
            <w:vAlign w:val="center"/>
          </w:tcPr>
          <w:p w:rsidR="00FF190F" w:rsidRDefault="00FF190F" w:rsidP="00FF190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proofErr w:type="spellStart"/>
            <w:r>
              <w:rPr>
                <w:rFonts w:ascii="Times New Roman" w:eastAsia="宋体" w:hAnsi="Times New Roman" w:hint="eastAsia"/>
                <w:i/>
                <w:kern w:val="0"/>
              </w:rPr>
              <w:t>b</w:t>
            </w:r>
            <w:r>
              <w:rPr>
                <w:rFonts w:ascii="Times New Roman" w:eastAsia="宋体" w:hAnsi="Times New Roman"/>
                <w:i/>
                <w:kern w:val="0"/>
              </w:rPr>
              <w:t>ax</w:t>
            </w:r>
            <w:proofErr w:type="spellEnd"/>
          </w:p>
        </w:tc>
        <w:tc>
          <w:tcPr>
            <w:tcW w:w="2694" w:type="pct"/>
            <w:vAlign w:val="center"/>
          </w:tcPr>
          <w:p w:rsidR="00FF190F" w:rsidRDefault="00FF190F" w:rsidP="001C3A9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Forward: GGCTATTTCAACCAGGGTTCC</w:t>
            </w:r>
          </w:p>
          <w:p w:rsidR="00FF190F" w:rsidRDefault="00FF190F" w:rsidP="001C3A9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Reverse: TGCGAATCACCAATGCTGT</w:t>
            </w:r>
          </w:p>
        </w:tc>
        <w:tc>
          <w:tcPr>
            <w:tcW w:w="1309" w:type="pct"/>
            <w:noWrap/>
            <w:vAlign w:val="center"/>
          </w:tcPr>
          <w:p w:rsidR="00FF190F" w:rsidRDefault="00FF190F" w:rsidP="00FF19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AF231015</w:t>
            </w:r>
          </w:p>
        </w:tc>
      </w:tr>
      <w:tr w:rsidR="00FF190F" w:rsidTr="00FF190F">
        <w:trPr>
          <w:trHeight w:val="510"/>
          <w:jc w:val="center"/>
        </w:trPr>
        <w:tc>
          <w:tcPr>
            <w:tcW w:w="998" w:type="pct"/>
            <w:noWrap/>
            <w:vAlign w:val="center"/>
          </w:tcPr>
          <w:p w:rsidR="00FF190F" w:rsidRDefault="00FF190F" w:rsidP="00FF190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 w:hint="eastAsia"/>
                <w:i/>
                <w:kern w:val="0"/>
              </w:rPr>
              <w:t>b</w:t>
            </w:r>
            <w:r>
              <w:rPr>
                <w:rFonts w:ascii="Times New Roman" w:eastAsia="宋体" w:hAnsi="Times New Roman"/>
                <w:i/>
                <w:kern w:val="0"/>
              </w:rPr>
              <w:t>cl-2</w:t>
            </w:r>
          </w:p>
        </w:tc>
        <w:tc>
          <w:tcPr>
            <w:tcW w:w="2694" w:type="pct"/>
            <w:vAlign w:val="center"/>
          </w:tcPr>
          <w:p w:rsidR="00FF190F" w:rsidRDefault="00FF190F" w:rsidP="001C3A9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Forward: TCACTCGTTCAGACCCTCAT</w:t>
            </w:r>
          </w:p>
          <w:p w:rsidR="00FF190F" w:rsidRDefault="00FF190F" w:rsidP="001C3A9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Reverse: ACGCTTTCCACGCACAT</w:t>
            </w:r>
          </w:p>
        </w:tc>
        <w:tc>
          <w:tcPr>
            <w:tcW w:w="1309" w:type="pct"/>
            <w:noWrap/>
            <w:vAlign w:val="center"/>
          </w:tcPr>
          <w:p w:rsidR="00FF190F" w:rsidRDefault="00FF190F" w:rsidP="00FF19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NM001030253</w:t>
            </w:r>
          </w:p>
        </w:tc>
      </w:tr>
      <w:tr w:rsidR="00FF190F" w:rsidTr="00FF190F">
        <w:trPr>
          <w:trHeight w:val="465"/>
          <w:jc w:val="center"/>
        </w:trPr>
        <w:tc>
          <w:tcPr>
            <w:tcW w:w="998" w:type="pct"/>
            <w:noWrap/>
            <w:vAlign w:val="center"/>
          </w:tcPr>
          <w:p w:rsidR="00FF190F" w:rsidRDefault="00FF190F" w:rsidP="00FF190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 w:hint="eastAsia"/>
                <w:kern w:val="0"/>
              </w:rPr>
              <w:t>puma</w:t>
            </w:r>
          </w:p>
        </w:tc>
        <w:tc>
          <w:tcPr>
            <w:tcW w:w="2694" w:type="pct"/>
            <w:vAlign w:val="center"/>
          </w:tcPr>
          <w:p w:rsidR="00FF190F" w:rsidRDefault="00FF190F" w:rsidP="001C3A9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Forward: TGGAAAGCAGAGTGGACGAA</w:t>
            </w:r>
          </w:p>
          <w:p w:rsidR="00FF190F" w:rsidRDefault="00FF190F" w:rsidP="001C3A9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Reverse: GATGGCAGGGCTGGATGA</w:t>
            </w:r>
          </w:p>
        </w:tc>
        <w:tc>
          <w:tcPr>
            <w:tcW w:w="1309" w:type="pct"/>
            <w:noWrap/>
            <w:vAlign w:val="center"/>
          </w:tcPr>
          <w:p w:rsidR="00FF190F" w:rsidRDefault="00FF190F" w:rsidP="00FF19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NM001045472</w:t>
            </w:r>
          </w:p>
        </w:tc>
      </w:tr>
      <w:tr w:rsidR="00FF190F" w:rsidTr="00FF190F">
        <w:trPr>
          <w:trHeight w:val="540"/>
          <w:jc w:val="center"/>
        </w:trPr>
        <w:tc>
          <w:tcPr>
            <w:tcW w:w="998" w:type="pct"/>
            <w:noWrap/>
            <w:vAlign w:val="center"/>
          </w:tcPr>
          <w:p w:rsidR="00FF190F" w:rsidRDefault="00FF190F" w:rsidP="00FF190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 w:hint="eastAsia"/>
                <w:i/>
                <w:kern w:val="0"/>
              </w:rPr>
              <w:t>a</w:t>
            </w:r>
            <w:r>
              <w:rPr>
                <w:rFonts w:ascii="Times New Roman" w:eastAsia="宋体" w:hAnsi="Times New Roman"/>
                <w:i/>
                <w:kern w:val="0"/>
              </w:rPr>
              <w:t>paf-1</w:t>
            </w:r>
          </w:p>
        </w:tc>
        <w:tc>
          <w:tcPr>
            <w:tcW w:w="2694" w:type="pct"/>
            <w:vAlign w:val="center"/>
          </w:tcPr>
          <w:p w:rsidR="00FF190F" w:rsidRDefault="00FF190F" w:rsidP="001C3A9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Forward: TTCTACAGTAAACGCCCACC</w:t>
            </w:r>
          </w:p>
          <w:p w:rsidR="00FF190F" w:rsidRDefault="00FF190F" w:rsidP="001C3A9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Reverse: TATCTAGTATTTCCCCATATTCC</w:t>
            </w:r>
          </w:p>
        </w:tc>
        <w:tc>
          <w:tcPr>
            <w:tcW w:w="1309" w:type="pct"/>
            <w:noWrap/>
            <w:vAlign w:val="center"/>
          </w:tcPr>
          <w:p w:rsidR="00FF190F" w:rsidRDefault="00FF190F" w:rsidP="00FF19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AF251502</w:t>
            </w:r>
          </w:p>
        </w:tc>
      </w:tr>
      <w:tr w:rsidR="00FF190F" w:rsidTr="00FF190F">
        <w:trPr>
          <w:trHeight w:val="585"/>
          <w:jc w:val="center"/>
        </w:trPr>
        <w:tc>
          <w:tcPr>
            <w:tcW w:w="998" w:type="pct"/>
            <w:noWrap/>
            <w:vAlign w:val="center"/>
          </w:tcPr>
          <w:p w:rsidR="00FF190F" w:rsidRDefault="00FF190F" w:rsidP="00FF190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 w:hint="eastAsia"/>
                <w:i/>
                <w:kern w:val="0"/>
              </w:rPr>
              <w:t>c</w:t>
            </w:r>
            <w:r>
              <w:rPr>
                <w:rFonts w:ascii="Times New Roman" w:eastAsia="宋体" w:hAnsi="Times New Roman"/>
                <w:i/>
                <w:kern w:val="0"/>
              </w:rPr>
              <w:t>aspase-9</w:t>
            </w:r>
          </w:p>
        </w:tc>
        <w:tc>
          <w:tcPr>
            <w:tcW w:w="2694" w:type="pct"/>
            <w:vAlign w:val="center"/>
          </w:tcPr>
          <w:p w:rsidR="00FF190F" w:rsidRDefault="00FF190F" w:rsidP="001C3A9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Forward: AAATACATAGCAAGGCAACC</w:t>
            </w:r>
          </w:p>
          <w:p w:rsidR="00FF190F" w:rsidRDefault="00FF190F" w:rsidP="001C3A9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Reverse: CACAGGGAATCAAGAAAGG</w:t>
            </w:r>
          </w:p>
        </w:tc>
        <w:tc>
          <w:tcPr>
            <w:tcW w:w="1309" w:type="pct"/>
            <w:noWrap/>
            <w:vAlign w:val="center"/>
          </w:tcPr>
          <w:p w:rsidR="00FF190F" w:rsidRDefault="00FF190F" w:rsidP="00FF19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NM152884</w:t>
            </w:r>
          </w:p>
        </w:tc>
      </w:tr>
      <w:tr w:rsidR="00FF190F" w:rsidTr="00FF190F">
        <w:trPr>
          <w:trHeight w:val="525"/>
          <w:jc w:val="center"/>
        </w:trPr>
        <w:tc>
          <w:tcPr>
            <w:tcW w:w="998" w:type="pct"/>
            <w:tcBorders>
              <w:bottom w:val="single" w:sz="8" w:space="0" w:color="auto"/>
            </w:tcBorders>
            <w:noWrap/>
            <w:vAlign w:val="center"/>
          </w:tcPr>
          <w:p w:rsidR="00FF190F" w:rsidRDefault="00FF190F" w:rsidP="00FF190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 w:hint="eastAsia"/>
                <w:i/>
                <w:kern w:val="0"/>
              </w:rPr>
              <w:t>c</w:t>
            </w:r>
            <w:r>
              <w:rPr>
                <w:rFonts w:ascii="Times New Roman" w:eastAsia="宋体" w:hAnsi="Times New Roman"/>
                <w:i/>
                <w:kern w:val="0"/>
              </w:rPr>
              <w:t>aspase-3</w:t>
            </w:r>
          </w:p>
        </w:tc>
        <w:tc>
          <w:tcPr>
            <w:tcW w:w="2694" w:type="pct"/>
            <w:tcBorders>
              <w:bottom w:val="single" w:sz="8" w:space="0" w:color="auto"/>
            </w:tcBorders>
            <w:vAlign w:val="center"/>
          </w:tcPr>
          <w:p w:rsidR="00FF190F" w:rsidRDefault="00FF190F" w:rsidP="001C3A9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Forward: CCGCTGCCCATCACTA</w:t>
            </w:r>
          </w:p>
          <w:p w:rsidR="00FF190F" w:rsidRDefault="00FF190F" w:rsidP="001C3A9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Reverse: ATCCTTTCACGACCATCT</w:t>
            </w:r>
          </w:p>
        </w:tc>
        <w:tc>
          <w:tcPr>
            <w:tcW w:w="1309" w:type="pct"/>
            <w:tcBorders>
              <w:bottom w:val="single" w:sz="8" w:space="0" w:color="auto"/>
            </w:tcBorders>
            <w:noWrap/>
            <w:vAlign w:val="center"/>
          </w:tcPr>
          <w:p w:rsidR="00FF190F" w:rsidRDefault="00FF190F" w:rsidP="00FF19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NM131877</w:t>
            </w:r>
          </w:p>
        </w:tc>
      </w:tr>
    </w:tbl>
    <w:p w:rsidR="00B7096D" w:rsidRPr="00B7096D" w:rsidRDefault="00B7096D">
      <w:pPr>
        <w:rPr>
          <w:rFonts w:ascii="Times New Roman" w:hAnsi="Times New Roman" w:cs="Times New Roman"/>
        </w:rPr>
      </w:pPr>
    </w:p>
    <w:sectPr w:rsidR="00B7096D" w:rsidRPr="00B709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C74"/>
    <w:rsid w:val="00183FEE"/>
    <w:rsid w:val="004B3774"/>
    <w:rsid w:val="00562E57"/>
    <w:rsid w:val="0065009E"/>
    <w:rsid w:val="007A3F90"/>
    <w:rsid w:val="00B6170B"/>
    <w:rsid w:val="00B61C74"/>
    <w:rsid w:val="00B7096D"/>
    <w:rsid w:val="00B70C8B"/>
    <w:rsid w:val="00D44779"/>
    <w:rsid w:val="00EA2827"/>
    <w:rsid w:val="00F51900"/>
    <w:rsid w:val="00FF1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0EC5E"/>
  <w15:chartTrackingRefBased/>
  <w15:docId w15:val="{20721449-AE7C-4A1A-810F-F6F647F4C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426</Words>
  <Characters>2430</Characters>
  <Application>Microsoft Office Word</Application>
  <DocSecurity>0</DocSecurity>
  <Lines>20</Lines>
  <Paragraphs>5</Paragraphs>
  <ScaleCrop>false</ScaleCrop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ZhiYuan Meng</dc:creator>
  <cp:keywords/>
  <dc:description/>
  <cp:lastModifiedBy>ZhiYuan Meng</cp:lastModifiedBy>
  <cp:revision>4</cp:revision>
  <dcterms:created xsi:type="dcterms:W3CDTF">2021-08-30T12:07:00Z</dcterms:created>
  <dcterms:modified xsi:type="dcterms:W3CDTF">2021-08-30T12:13:00Z</dcterms:modified>
</cp:coreProperties>
</file>