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D426F" w14:textId="77777777" w:rsidR="00CD6FDE" w:rsidRPr="00976E92" w:rsidRDefault="00CD6FDE" w:rsidP="00CD6FDE">
      <w:pPr>
        <w:spacing w:before="120" w:after="120"/>
        <w:jc w:val="center"/>
        <w:rPr>
          <w:rFonts w:ascii="Times New Roman" w:hAnsi="Times New Roman" w:cs="Times New Roman"/>
          <w:b/>
          <w:sz w:val="32"/>
          <w:szCs w:val="32"/>
          <w:lang w:val="en-US"/>
        </w:rPr>
      </w:pPr>
      <w:r w:rsidRPr="00976E92">
        <w:rPr>
          <w:rFonts w:ascii="Times New Roman" w:hAnsi="Times New Roman" w:cs="Times New Roman"/>
          <w:b/>
          <w:sz w:val="32"/>
          <w:szCs w:val="32"/>
          <w:lang w:val="en-US"/>
        </w:rPr>
        <w:t xml:space="preserve">Terahertz Driven Ultrafast Energy Dissipation in Aqueous Ionic Solutions </w:t>
      </w:r>
    </w:p>
    <w:p w14:paraId="036A8B4C" w14:textId="0E714411" w:rsidR="00CD6FDE" w:rsidRPr="00976E92" w:rsidRDefault="00CD6FDE" w:rsidP="00727147">
      <w:pPr>
        <w:pStyle w:val="Default"/>
        <w:spacing w:before="120" w:after="120"/>
        <w:jc w:val="both"/>
        <w:rPr>
          <w:sz w:val="22"/>
          <w:szCs w:val="22"/>
          <w:vertAlign w:val="superscript"/>
        </w:rPr>
      </w:pPr>
      <w:r w:rsidRPr="00976E92">
        <w:rPr>
          <w:sz w:val="22"/>
          <w:szCs w:val="22"/>
        </w:rPr>
        <w:t>Vasileios Balos</w:t>
      </w:r>
      <w:r w:rsidRPr="00976E92">
        <w:rPr>
          <w:sz w:val="22"/>
          <w:szCs w:val="22"/>
          <w:vertAlign w:val="superscript"/>
        </w:rPr>
        <w:t>1</w:t>
      </w:r>
      <w:r w:rsidR="008A5B0B" w:rsidRPr="00976E92">
        <w:rPr>
          <w:sz w:val="22"/>
          <w:szCs w:val="22"/>
          <w:vertAlign w:val="superscript"/>
        </w:rPr>
        <w:t>,</w:t>
      </w:r>
      <w:r w:rsidR="00700E16" w:rsidRPr="00976E92">
        <w:rPr>
          <w:sz w:val="22"/>
          <w:szCs w:val="22"/>
          <w:vertAlign w:val="superscript"/>
        </w:rPr>
        <w:t>*</w:t>
      </w:r>
      <w:r w:rsidRPr="00976E92">
        <w:rPr>
          <w:sz w:val="22"/>
          <w:szCs w:val="22"/>
        </w:rPr>
        <w:t xml:space="preserve">, Naveen </w:t>
      </w:r>
      <w:r w:rsidR="00727147" w:rsidRPr="00976E92">
        <w:rPr>
          <w:sz w:val="22"/>
          <w:szCs w:val="22"/>
        </w:rPr>
        <w:t>Kumar</w:t>
      </w:r>
      <w:r w:rsidRPr="00976E92">
        <w:rPr>
          <w:sz w:val="22"/>
          <w:szCs w:val="22"/>
        </w:rPr>
        <w:t xml:space="preserve"> Kaliannan</w:t>
      </w:r>
      <w:r w:rsidRPr="00976E92">
        <w:rPr>
          <w:sz w:val="22"/>
          <w:szCs w:val="22"/>
          <w:vertAlign w:val="superscript"/>
        </w:rPr>
        <w:t>2</w:t>
      </w:r>
      <w:r w:rsidRPr="00976E92">
        <w:rPr>
          <w:sz w:val="22"/>
          <w:szCs w:val="22"/>
        </w:rPr>
        <w:t>, Hossam Elgabarty</w:t>
      </w:r>
      <w:r w:rsidRPr="00976E92">
        <w:rPr>
          <w:sz w:val="22"/>
          <w:szCs w:val="22"/>
          <w:vertAlign w:val="superscript"/>
        </w:rPr>
        <w:t>2,*</w:t>
      </w:r>
      <w:r w:rsidRPr="00976E92">
        <w:rPr>
          <w:sz w:val="22"/>
          <w:szCs w:val="22"/>
        </w:rPr>
        <w:t>, Martin Wolf</w:t>
      </w:r>
      <w:r w:rsidRPr="00976E92">
        <w:rPr>
          <w:sz w:val="22"/>
          <w:szCs w:val="22"/>
          <w:vertAlign w:val="superscript"/>
        </w:rPr>
        <w:t>1</w:t>
      </w:r>
      <w:r w:rsidRPr="00976E92">
        <w:rPr>
          <w:sz w:val="22"/>
          <w:szCs w:val="22"/>
        </w:rPr>
        <w:t>, Thomas D. Kühne</w:t>
      </w:r>
      <w:r w:rsidRPr="00976E92">
        <w:rPr>
          <w:sz w:val="22"/>
          <w:szCs w:val="22"/>
          <w:vertAlign w:val="superscript"/>
        </w:rPr>
        <w:t>2</w:t>
      </w:r>
      <w:r w:rsidRPr="00976E92">
        <w:rPr>
          <w:sz w:val="22"/>
          <w:szCs w:val="22"/>
        </w:rPr>
        <w:t>, Mohsen Sajadi</w:t>
      </w:r>
      <w:r w:rsidRPr="00976E92">
        <w:rPr>
          <w:sz w:val="22"/>
          <w:szCs w:val="22"/>
          <w:vertAlign w:val="superscript"/>
        </w:rPr>
        <w:t>1,2,*</w:t>
      </w:r>
    </w:p>
    <w:p w14:paraId="296E9689" w14:textId="77777777" w:rsidR="00CD6FDE" w:rsidRPr="00976E92" w:rsidRDefault="00CD6FDE" w:rsidP="00CD6FDE">
      <w:pPr>
        <w:pStyle w:val="Default"/>
        <w:spacing w:before="120" w:after="120"/>
        <w:rPr>
          <w:sz w:val="22"/>
          <w:szCs w:val="22"/>
          <w:vertAlign w:val="superscript"/>
        </w:rPr>
      </w:pPr>
    </w:p>
    <w:p w14:paraId="1291DAE4" w14:textId="77777777" w:rsidR="00CD6FDE" w:rsidRPr="00976E92" w:rsidRDefault="00CD6FDE" w:rsidP="00CD6FDE">
      <w:pPr>
        <w:spacing w:before="120" w:after="120" w:line="220" w:lineRule="exact"/>
        <w:jc w:val="center"/>
        <w:rPr>
          <w:rFonts w:ascii="Times New Roman" w:hAnsi="Times New Roman" w:cs="Times New Roman"/>
          <w:i/>
          <w:lang w:val="en-US"/>
        </w:rPr>
      </w:pPr>
      <w:r w:rsidRPr="00976E92">
        <w:rPr>
          <w:rFonts w:ascii="Times New Roman" w:hAnsi="Times New Roman" w:cs="Times New Roman"/>
          <w:vertAlign w:val="superscript"/>
          <w:lang w:val="en-US"/>
        </w:rPr>
        <w:t>1</w:t>
      </w:r>
      <w:r w:rsidRPr="00976E92">
        <w:rPr>
          <w:rFonts w:ascii="Times New Roman" w:hAnsi="Times New Roman" w:cs="Times New Roman"/>
          <w:i/>
          <w:lang w:val="en-US"/>
        </w:rPr>
        <w:t>Fritz Haber Institute of the Max-Planck Society, Berlin, Germany</w:t>
      </w:r>
    </w:p>
    <w:p w14:paraId="00871D7F" w14:textId="77777777" w:rsidR="00CD6FDE" w:rsidRPr="00976E92" w:rsidRDefault="00CD6FDE" w:rsidP="00CD6FDE">
      <w:pPr>
        <w:spacing w:before="120" w:after="120" w:line="220" w:lineRule="exact"/>
        <w:jc w:val="center"/>
        <w:rPr>
          <w:rFonts w:ascii="Times New Roman" w:hAnsi="Times New Roman" w:cs="Times New Roman"/>
          <w:i/>
          <w:lang w:val="en-US"/>
        </w:rPr>
      </w:pPr>
      <w:r w:rsidRPr="00976E92">
        <w:rPr>
          <w:rFonts w:ascii="Times New Roman" w:hAnsi="Times New Roman" w:cs="Times New Roman"/>
          <w:lang w:val="en-US"/>
        </w:rPr>
        <w:t xml:space="preserve"> </w:t>
      </w:r>
      <w:r w:rsidRPr="00976E92">
        <w:rPr>
          <w:rFonts w:ascii="Times New Roman" w:hAnsi="Times New Roman" w:cs="Times New Roman"/>
          <w:i/>
          <w:vertAlign w:val="superscript"/>
          <w:lang w:val="en-US"/>
        </w:rPr>
        <w:t>2</w:t>
      </w:r>
      <w:r w:rsidRPr="00976E92">
        <w:rPr>
          <w:rFonts w:ascii="Times New Roman" w:hAnsi="Times New Roman" w:cs="Times New Roman"/>
          <w:i/>
          <w:lang w:val="en-US"/>
        </w:rPr>
        <w:t>Department of Chemistry, University of Paderborn, Paderborn, Germany</w:t>
      </w:r>
    </w:p>
    <w:p w14:paraId="0D19E499" w14:textId="77777777" w:rsidR="0014003B" w:rsidRPr="00976E92" w:rsidRDefault="0014003B" w:rsidP="00D87825">
      <w:pPr>
        <w:spacing w:before="120" w:after="120"/>
        <w:rPr>
          <w:rFonts w:ascii="Times New Roman" w:hAnsi="Times New Roman" w:cs="Times New Roman"/>
          <w:b/>
          <w:sz w:val="24"/>
          <w:szCs w:val="24"/>
          <w:lang w:val="en-US"/>
        </w:rPr>
      </w:pPr>
    </w:p>
    <w:p w14:paraId="09C474C3" w14:textId="6A018E92" w:rsidR="007160E0" w:rsidRPr="00976E92" w:rsidRDefault="007160E0" w:rsidP="00D87825">
      <w:pPr>
        <w:spacing w:before="120" w:after="120"/>
        <w:jc w:val="both"/>
        <w:rPr>
          <w:rFonts w:asciiTheme="majorBidi" w:hAnsiTheme="majorBidi" w:cstheme="majorBidi"/>
          <w:lang w:val="en-US"/>
        </w:rPr>
      </w:pPr>
    </w:p>
    <w:p w14:paraId="71841903" w14:textId="4C6C8279" w:rsidR="007160E0" w:rsidRPr="00976E92" w:rsidRDefault="007160E0" w:rsidP="00D87825">
      <w:pPr>
        <w:spacing w:before="120" w:after="120"/>
        <w:jc w:val="both"/>
        <w:rPr>
          <w:rFonts w:asciiTheme="majorBidi" w:hAnsiTheme="majorBidi" w:cstheme="majorBidi"/>
          <w:lang w:val="en-US"/>
        </w:rPr>
      </w:pPr>
    </w:p>
    <w:p w14:paraId="39879608" w14:textId="0D11EB2A" w:rsidR="007160E0" w:rsidRPr="00976E92" w:rsidRDefault="007160E0" w:rsidP="00D87825">
      <w:pPr>
        <w:spacing w:before="120" w:after="120"/>
        <w:jc w:val="both"/>
        <w:rPr>
          <w:rFonts w:asciiTheme="majorBidi" w:hAnsiTheme="majorBidi" w:cstheme="majorBidi"/>
          <w:lang w:val="en-US"/>
        </w:rPr>
      </w:pPr>
    </w:p>
    <w:p w14:paraId="7120613F" w14:textId="65A83B22" w:rsidR="00627670" w:rsidRPr="00976E92" w:rsidRDefault="007160E0" w:rsidP="00D87825">
      <w:pPr>
        <w:spacing w:before="120" w:after="120"/>
        <w:jc w:val="both"/>
        <w:rPr>
          <w:rFonts w:asciiTheme="majorBidi" w:hAnsiTheme="majorBidi" w:cstheme="majorBidi"/>
          <w:lang w:val="en-US"/>
        </w:rPr>
      </w:pPr>
      <w:r w:rsidRPr="00976E92">
        <w:rPr>
          <w:rFonts w:asciiTheme="majorBidi" w:hAnsiTheme="majorBidi" w:cstheme="majorBidi"/>
          <w:noProof/>
          <w:lang w:eastAsia="de-DE"/>
        </w:rPr>
        <w:drawing>
          <wp:anchor distT="0" distB="0" distL="114300" distR="114300" simplePos="0" relativeHeight="251658240" behindDoc="0" locked="0" layoutInCell="1" allowOverlap="1" wp14:anchorId="5296CA50" wp14:editId="1BC9ADC1">
            <wp:simplePos x="0" y="0"/>
            <wp:positionH relativeFrom="column">
              <wp:posOffset>-135871</wp:posOffset>
            </wp:positionH>
            <wp:positionV relativeFrom="paragraph">
              <wp:posOffset>-379</wp:posOffset>
            </wp:positionV>
            <wp:extent cx="5688205" cy="3816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4461" b="794"/>
                    <a:stretch/>
                  </pic:blipFill>
                  <pic:spPr bwMode="auto">
                    <a:xfrm>
                      <a:off x="0" y="0"/>
                      <a:ext cx="5688205" cy="3816000"/>
                    </a:xfrm>
                    <a:prstGeom prst="rect">
                      <a:avLst/>
                    </a:prstGeom>
                    <a:noFill/>
                    <a:ln>
                      <a:noFill/>
                    </a:ln>
                    <a:extLst>
                      <a:ext uri="{53640926-AAD7-44D8-BBD7-CCE9431645EC}">
                        <a14:shadowObscured xmlns:a14="http://schemas.microsoft.com/office/drawing/2010/main"/>
                      </a:ext>
                    </a:extLst>
                  </pic:spPr>
                </pic:pic>
              </a:graphicData>
            </a:graphic>
          </wp:anchor>
        </w:drawing>
      </w:r>
    </w:p>
    <w:p w14:paraId="697634F0" w14:textId="7296BFD0" w:rsidR="007160E0" w:rsidRPr="00976E92" w:rsidRDefault="007160E0" w:rsidP="004C0081">
      <w:pPr>
        <w:pStyle w:val="Caption"/>
        <w:jc w:val="both"/>
        <w:rPr>
          <w:rFonts w:ascii="Arial" w:hAnsi="Arial" w:cs="Arial"/>
          <w:i w:val="0"/>
          <w:iCs w:val="0"/>
          <w:color w:val="auto"/>
          <w:sz w:val="20"/>
          <w:szCs w:val="20"/>
          <w:lang w:val="en-US"/>
        </w:rPr>
      </w:pPr>
      <w:r w:rsidRPr="00976E92">
        <w:rPr>
          <w:rFonts w:ascii="Arial" w:hAnsi="Arial" w:cs="Arial"/>
          <w:b/>
          <w:bCs/>
          <w:i w:val="0"/>
          <w:iCs w:val="0"/>
          <w:color w:val="auto"/>
          <w:sz w:val="20"/>
          <w:szCs w:val="20"/>
          <w:lang w:val="en-US"/>
        </w:rPr>
        <w:t>Fig. S</w:t>
      </w:r>
      <w:r w:rsidRPr="00976E92">
        <w:rPr>
          <w:rFonts w:ascii="Arial" w:hAnsi="Arial" w:cs="Arial"/>
          <w:b/>
          <w:bCs/>
          <w:i w:val="0"/>
          <w:iCs w:val="0"/>
          <w:color w:val="auto"/>
          <w:sz w:val="20"/>
          <w:szCs w:val="20"/>
        </w:rPr>
        <w:fldChar w:fldCharType="begin"/>
      </w:r>
      <w:r w:rsidRPr="00976E92">
        <w:rPr>
          <w:rFonts w:ascii="Arial" w:hAnsi="Arial" w:cs="Arial"/>
          <w:b/>
          <w:bCs/>
          <w:i w:val="0"/>
          <w:iCs w:val="0"/>
          <w:color w:val="auto"/>
          <w:sz w:val="20"/>
          <w:szCs w:val="20"/>
          <w:lang w:val="en-US"/>
        </w:rPr>
        <w:instrText xml:space="preserve"> SEQ Figure \* ARABIC </w:instrText>
      </w:r>
      <w:r w:rsidRPr="00976E92">
        <w:rPr>
          <w:rFonts w:ascii="Arial" w:hAnsi="Arial" w:cs="Arial"/>
          <w:b/>
          <w:bCs/>
          <w:i w:val="0"/>
          <w:iCs w:val="0"/>
          <w:color w:val="auto"/>
          <w:sz w:val="20"/>
          <w:szCs w:val="20"/>
        </w:rPr>
        <w:fldChar w:fldCharType="separate"/>
      </w:r>
      <w:r w:rsidRPr="00976E92">
        <w:rPr>
          <w:rFonts w:ascii="Arial" w:hAnsi="Arial" w:cs="Arial"/>
          <w:b/>
          <w:bCs/>
          <w:i w:val="0"/>
          <w:iCs w:val="0"/>
          <w:noProof/>
          <w:color w:val="auto"/>
          <w:sz w:val="20"/>
          <w:szCs w:val="20"/>
          <w:lang w:val="en-US"/>
        </w:rPr>
        <w:t>1</w:t>
      </w:r>
      <w:r w:rsidRPr="00976E92">
        <w:rPr>
          <w:rFonts w:ascii="Arial" w:hAnsi="Arial" w:cs="Arial"/>
          <w:b/>
          <w:bCs/>
          <w:i w:val="0"/>
          <w:iCs w:val="0"/>
          <w:color w:val="auto"/>
          <w:sz w:val="20"/>
          <w:szCs w:val="20"/>
        </w:rPr>
        <w:fldChar w:fldCharType="end"/>
      </w:r>
      <w:r w:rsidRPr="00976E92">
        <w:rPr>
          <w:rFonts w:ascii="Arial" w:hAnsi="Arial" w:cs="Arial"/>
          <w:b/>
          <w:bCs/>
          <w:i w:val="0"/>
          <w:iCs w:val="0"/>
          <w:color w:val="auto"/>
          <w:sz w:val="20"/>
          <w:szCs w:val="20"/>
          <w:lang w:val="en-US"/>
        </w:rPr>
        <w:t>.</w:t>
      </w:r>
      <w:r w:rsidRPr="00976E92">
        <w:rPr>
          <w:rFonts w:ascii="Arial" w:hAnsi="Arial" w:cs="Arial"/>
          <w:i w:val="0"/>
          <w:iCs w:val="0"/>
          <w:color w:val="auto"/>
          <w:sz w:val="20"/>
          <w:szCs w:val="20"/>
          <w:lang w:val="en-US"/>
        </w:rPr>
        <w:t xml:space="preserve"> Equilibrium dielectric loss (Im</w:t>
      </w:r>
      <w:r w:rsidRPr="00976E92">
        <w:rPr>
          <w:i w:val="0"/>
          <w:iCs w:val="0"/>
          <w:color w:val="auto"/>
          <w:sz w:val="20"/>
          <w:szCs w:val="20"/>
        </w:rPr>
        <w:sym w:font="Symbol" w:char="F065"/>
      </w:r>
      <w:r w:rsidRPr="00976E92">
        <w:rPr>
          <w:rFonts w:ascii="Arial" w:hAnsi="Arial" w:cs="Arial"/>
          <w:i w:val="0"/>
          <w:iCs w:val="0"/>
          <w:color w:val="auto"/>
          <w:sz w:val="20"/>
          <w:szCs w:val="20"/>
          <w:lang w:val="en-US"/>
        </w:rPr>
        <w:t>) and incoherent Raman spectra of water</w:t>
      </w:r>
      <w:r w:rsidR="00946A24" w:rsidRPr="00976E92">
        <w:rPr>
          <w:rFonts w:ascii="Arial" w:hAnsi="Arial" w:cs="Arial"/>
          <w:i w:val="0"/>
          <w:iCs w:val="0"/>
          <w:color w:val="auto"/>
          <w:sz w:val="20"/>
          <w:szCs w:val="20"/>
          <w:lang w:val="en-US"/>
        </w:rPr>
        <w:t>.</w:t>
      </w:r>
      <w:r w:rsidR="00946A24" w:rsidRPr="00976E92">
        <w:rPr>
          <w:rFonts w:ascii="Arial" w:hAnsi="Arial" w:cs="Arial"/>
          <w:i w:val="0"/>
          <w:iCs w:val="0"/>
          <w:color w:val="auto"/>
          <w:sz w:val="20"/>
          <w:szCs w:val="20"/>
          <w:lang w:val="en-US"/>
        </w:rPr>
        <w:fldChar w:fldCharType="begin" w:fldLock="1"/>
      </w:r>
      <w:r w:rsidR="00946A24" w:rsidRPr="00976E92">
        <w:rPr>
          <w:rFonts w:ascii="Arial" w:hAnsi="Arial" w:cs="Arial"/>
          <w:i w:val="0"/>
          <w:iCs w:val="0"/>
          <w:color w:val="auto"/>
          <w:sz w:val="20"/>
          <w:szCs w:val="20"/>
          <w:lang w:val="en-US"/>
        </w:rPr>
        <w:instrText>ADDIN CSL_CITATION {"citationItems":[{"id":"ITEM-1","itemData":{"DOI":"10.1103/PhysRevLett.95.197802","ISSN":"0031-9007","author":[{"dropping-particle":"","family":"Fukasawa","given":"Toshiko","non-dropping-particle":"","parse-names":false,"suffix":""},{"dropping-particle":"","family":"Sato","given":"Takaaki","non-dropping-particle":"","parse-names":false,"suffix":""},{"dropping-particle":"","family":"Watanabe","given":"Junji","non-dropping-particle":"","parse-names":false,"suffix":""},{"dropping-particle":"","family":"Hama","given":"Yoshimasa","non-dropping-particle":"","parse-names":false,"suffix":""},{"dropping-particle":"","family":"Kunz","given":"Werner","non-dropping-particle":"","parse-names":false,"suffix":""},{"dropping-particle":"","family":"Buchner","given":"Richard","non-dropping-particle":"","parse-names":false,"suffix":""}],"container-title":"Physical Review Letters","id":"ITEM-1","issue":"19","issued":{"date-parts":[["2005","11"]]},"page":"197802","title":"Relation between Dielectric and Low-Frequency Raman Spectra of Hydrogen-Bond Liquids","type":"article-journal","volume":"95"},"uris":["http://www.mendeley.com/documents/?uuid=d56ff4d8-5215-4863-b834-4007dd9a394a"]}],"mendeley":{"formattedCitation":"&lt;sup&gt;1&lt;/sup&gt;","plainTextFormattedCitation":"1","previouslyFormattedCitation":"&lt;sup&gt;1&lt;/sup&gt;"},"properties":{"noteIndex":0},"schema":"https://github.com/citation-style-language/schema/raw/master/csl-citation.json"}</w:instrText>
      </w:r>
      <w:r w:rsidR="00946A24" w:rsidRPr="00976E92">
        <w:rPr>
          <w:rFonts w:ascii="Arial" w:hAnsi="Arial" w:cs="Arial"/>
          <w:i w:val="0"/>
          <w:iCs w:val="0"/>
          <w:color w:val="auto"/>
          <w:sz w:val="20"/>
          <w:szCs w:val="20"/>
          <w:lang w:val="en-US"/>
        </w:rPr>
        <w:fldChar w:fldCharType="separate"/>
      </w:r>
      <w:r w:rsidR="00946A24" w:rsidRPr="00976E92">
        <w:rPr>
          <w:rFonts w:ascii="Arial" w:hAnsi="Arial" w:cs="Arial"/>
          <w:i w:val="0"/>
          <w:iCs w:val="0"/>
          <w:noProof/>
          <w:color w:val="auto"/>
          <w:sz w:val="20"/>
          <w:szCs w:val="20"/>
          <w:vertAlign w:val="superscript"/>
          <w:lang w:val="en-US"/>
        </w:rPr>
        <w:t>1</w:t>
      </w:r>
      <w:r w:rsidR="00946A24" w:rsidRPr="00976E92">
        <w:rPr>
          <w:rFonts w:ascii="Arial" w:hAnsi="Arial" w:cs="Arial"/>
          <w:i w:val="0"/>
          <w:iCs w:val="0"/>
          <w:color w:val="auto"/>
          <w:sz w:val="20"/>
          <w:szCs w:val="20"/>
          <w:lang w:val="en-US"/>
        </w:rPr>
        <w:fldChar w:fldCharType="end"/>
      </w:r>
      <w:r w:rsidRPr="00976E92">
        <w:rPr>
          <w:rFonts w:ascii="Arial" w:hAnsi="Arial" w:cs="Arial"/>
          <w:i w:val="0"/>
          <w:iCs w:val="0"/>
          <w:color w:val="auto"/>
          <w:sz w:val="20"/>
          <w:szCs w:val="20"/>
          <w:lang w:val="en-US"/>
        </w:rPr>
        <w:t xml:space="preserve"> Two Debye processes and two vibrations (network stretch vibrations and single-molecule hindered rotation, libration) are typically sufficient to fit the dielectric spectrum of water</w:t>
      </w:r>
      <w:r w:rsidR="00946A24" w:rsidRPr="00976E92">
        <w:rPr>
          <w:rFonts w:ascii="Arial" w:hAnsi="Arial" w:cs="Arial"/>
          <w:i w:val="0"/>
          <w:iCs w:val="0"/>
          <w:color w:val="auto"/>
          <w:sz w:val="20"/>
          <w:szCs w:val="20"/>
          <w:lang w:val="en-US"/>
        </w:rPr>
        <w:t>.</w:t>
      </w:r>
      <w:r w:rsidR="00946A24" w:rsidRPr="00976E92">
        <w:rPr>
          <w:rFonts w:ascii="Arial" w:hAnsi="Arial" w:cs="Arial"/>
          <w:i w:val="0"/>
          <w:iCs w:val="0"/>
          <w:color w:val="auto"/>
          <w:sz w:val="20"/>
          <w:szCs w:val="20"/>
          <w:lang w:val="en-US"/>
        </w:rPr>
        <w:fldChar w:fldCharType="begin" w:fldLock="1"/>
      </w:r>
      <w:r w:rsidR="00946A24" w:rsidRPr="00976E92">
        <w:rPr>
          <w:rFonts w:ascii="Arial" w:hAnsi="Arial" w:cs="Arial"/>
          <w:i w:val="0"/>
          <w:iCs w:val="0"/>
          <w:color w:val="auto"/>
          <w:sz w:val="20"/>
          <w:szCs w:val="20"/>
          <w:lang w:val="en-US"/>
        </w:rPr>
        <w:instrText>ADDIN CSL_CITATION {"citationItems":[{"id":"ITEM-1","itemData":{"DOI":"10.1103/PhysRevLett.95.197802","ISSN":"0031-9007","author":[{"dropping-particle":"","family":"Fukasawa","given":"Toshiko","non-dropping-particle":"","parse-names":false,"suffix":""},{"dropping-particle":"","family":"Sato","given":"Takaaki","non-dropping-particle":"","parse-names":false,"suffix":""},{"dropping-particle":"","family":"Watanabe","given":"Junji","non-dropping-particle":"","parse-names":false,"suffix":""},{"dropping-particle":"","family":"Hama","given":"Yoshimasa","non-dropping-particle":"","parse-names":false,"suffix":""},{"dropping-particle":"","family":"Kunz","given":"Werner","non-dropping-particle":"","parse-names":false,"suffix":""},{"dropping-particle":"","family":"Buchner","given":"Richard","non-dropping-particle":"","parse-names":false,"suffix":""}],"container-title":"Physical Review Letters","id":"ITEM-1","issue":"19","issued":{"date-parts":[["2005","11"]]},"page":"197802","title":"Relation between Dielectric and Low-Frequency Raman Spectra of Hydrogen-Bond Liquids","type":"article-journal","volume":"95"},"uris":["http://www.mendeley.com/documents/?uuid=d56ff4d8-5215-4863-b834-4007dd9a394a"]}],"mendeley":{"formattedCitation":"&lt;sup&gt;1&lt;/sup&gt;","plainTextFormattedCitation":"1","previouslyFormattedCitation":"&lt;sup&gt;1&lt;/sup&gt;"},"properties":{"noteIndex":0},"schema":"https://github.com/citation-style-language/schema/raw/master/csl-citation.json"}</w:instrText>
      </w:r>
      <w:r w:rsidR="00946A24" w:rsidRPr="00976E92">
        <w:rPr>
          <w:rFonts w:ascii="Arial" w:hAnsi="Arial" w:cs="Arial"/>
          <w:i w:val="0"/>
          <w:iCs w:val="0"/>
          <w:color w:val="auto"/>
          <w:sz w:val="20"/>
          <w:szCs w:val="20"/>
          <w:lang w:val="en-US"/>
        </w:rPr>
        <w:fldChar w:fldCharType="separate"/>
      </w:r>
      <w:r w:rsidR="00946A24" w:rsidRPr="00976E92">
        <w:rPr>
          <w:rFonts w:ascii="Arial" w:hAnsi="Arial" w:cs="Arial"/>
          <w:i w:val="0"/>
          <w:iCs w:val="0"/>
          <w:noProof/>
          <w:color w:val="auto"/>
          <w:sz w:val="20"/>
          <w:szCs w:val="20"/>
          <w:vertAlign w:val="superscript"/>
          <w:lang w:val="en-US"/>
        </w:rPr>
        <w:t>1</w:t>
      </w:r>
      <w:r w:rsidR="00946A24" w:rsidRPr="00976E92">
        <w:rPr>
          <w:rFonts w:ascii="Arial" w:hAnsi="Arial" w:cs="Arial"/>
          <w:i w:val="0"/>
          <w:iCs w:val="0"/>
          <w:color w:val="auto"/>
          <w:sz w:val="20"/>
          <w:szCs w:val="20"/>
          <w:lang w:val="en-US"/>
        </w:rPr>
        <w:fldChar w:fldCharType="end"/>
      </w:r>
      <w:r w:rsidR="00946A24" w:rsidRPr="00976E92">
        <w:rPr>
          <w:rFonts w:ascii="Arial" w:hAnsi="Arial" w:cs="Arial"/>
          <w:i w:val="0"/>
          <w:iCs w:val="0"/>
          <w:color w:val="auto"/>
          <w:sz w:val="20"/>
          <w:szCs w:val="20"/>
          <w:lang w:val="en-US"/>
        </w:rPr>
        <w:t xml:space="preserve"> </w:t>
      </w:r>
      <w:r w:rsidRPr="00976E92">
        <w:rPr>
          <w:rFonts w:ascii="Arial" w:hAnsi="Arial" w:cs="Arial"/>
          <w:i w:val="0"/>
          <w:iCs w:val="0"/>
          <w:color w:val="auto"/>
          <w:sz w:val="20"/>
          <w:szCs w:val="20"/>
          <w:lang w:val="en-US"/>
        </w:rPr>
        <w:t>The Raman spectrum of water lacks the first Debye process</w:t>
      </w:r>
      <w:r w:rsidR="00946A24" w:rsidRPr="00976E92">
        <w:rPr>
          <w:rFonts w:ascii="Arial" w:hAnsi="Arial" w:cs="Arial"/>
          <w:i w:val="0"/>
          <w:iCs w:val="0"/>
          <w:color w:val="auto"/>
          <w:sz w:val="20"/>
          <w:szCs w:val="20"/>
          <w:lang w:val="en-US"/>
        </w:rPr>
        <w:t>,</w:t>
      </w:r>
      <w:r w:rsidR="00946A24" w:rsidRPr="00976E92">
        <w:rPr>
          <w:rFonts w:ascii="Arial" w:hAnsi="Arial" w:cs="Arial"/>
          <w:i w:val="0"/>
          <w:iCs w:val="0"/>
          <w:color w:val="auto"/>
          <w:sz w:val="20"/>
          <w:szCs w:val="20"/>
          <w:lang w:val="en-US"/>
        </w:rPr>
        <w:fldChar w:fldCharType="begin" w:fldLock="1"/>
      </w:r>
      <w:r w:rsidR="00713045" w:rsidRPr="00976E92">
        <w:rPr>
          <w:rFonts w:ascii="Arial" w:hAnsi="Arial" w:cs="Arial"/>
          <w:i w:val="0"/>
          <w:iCs w:val="0"/>
          <w:color w:val="auto"/>
          <w:sz w:val="20"/>
          <w:szCs w:val="20"/>
          <w:lang w:val="en-US"/>
        </w:rPr>
        <w:instrText>ADDIN CSL_CITATION {"citationItems":[{"id":"ITEM-1","itemData":{"DOI":"10.1103/PhysRevLett.95.197802","ISSN":"0031-9007","author":[{"dropping-particle":"","family":"Fukasawa","given":"Toshiko","non-dropping-particle":"","parse-names":false,"suffix":""},{"dropping-particle":"","family":"Sato","given":"Takaaki","non-dropping-particle":"","parse-names":false,"suffix":""},{"dropping-particle":"","family":"Watanabe","given":"Junji","non-dropping-particle":"","parse-names":false,"suffix":""},{"dropping-particle":"","family":"Hama","given":"Yoshimasa","non-dropping-particle":"","parse-names":false,"suffix":""},{"dropping-particle":"","family":"Kunz","given":"Werner","non-dropping-particle":"","parse-names":false,"suffix":""},{"dropping-particle":"","family":"Buchner","given":"Richard","non-dropping-particle":"","parse-names":false,"suffix":""}],"container-title":"Physical Review Letters","id":"ITEM-1","issue":"19","issued":{"date-parts":[["2005","11"]]},"page":"197802","title":"Relation between Dielectric and Low-Frequency Raman Spectra of Hydrogen-Bond Liquids","type":"article-journal","volume":"95"},"uris":["http://www.mendeley.com/documents/?uuid=d56ff4d8-5215-4863-b834-4007dd9a394a"]}],"mendeley":{"formattedCitation":"&lt;sup&gt;1&lt;/sup&gt;","plainTextFormattedCitation":"1","previouslyFormattedCitation":"&lt;sup&gt;1&lt;/sup&gt;"},"properties":{"noteIndex":0},"schema":"https://github.com/citation-style-language/schema/raw/master/csl-citation.json"}</w:instrText>
      </w:r>
      <w:r w:rsidR="00946A24" w:rsidRPr="00976E92">
        <w:rPr>
          <w:rFonts w:ascii="Arial" w:hAnsi="Arial" w:cs="Arial"/>
          <w:i w:val="0"/>
          <w:iCs w:val="0"/>
          <w:color w:val="auto"/>
          <w:sz w:val="20"/>
          <w:szCs w:val="20"/>
          <w:lang w:val="en-US"/>
        </w:rPr>
        <w:fldChar w:fldCharType="separate"/>
      </w:r>
      <w:r w:rsidR="00946A24" w:rsidRPr="00976E92">
        <w:rPr>
          <w:rFonts w:ascii="Arial" w:hAnsi="Arial" w:cs="Arial"/>
          <w:i w:val="0"/>
          <w:iCs w:val="0"/>
          <w:noProof/>
          <w:color w:val="auto"/>
          <w:sz w:val="20"/>
          <w:szCs w:val="20"/>
          <w:vertAlign w:val="superscript"/>
          <w:lang w:val="en-US"/>
        </w:rPr>
        <w:t>1</w:t>
      </w:r>
      <w:r w:rsidR="00946A24" w:rsidRPr="00976E92">
        <w:rPr>
          <w:rFonts w:ascii="Arial" w:hAnsi="Arial" w:cs="Arial"/>
          <w:i w:val="0"/>
          <w:iCs w:val="0"/>
          <w:color w:val="auto"/>
          <w:sz w:val="20"/>
          <w:szCs w:val="20"/>
          <w:lang w:val="en-US"/>
        </w:rPr>
        <w:fldChar w:fldCharType="end"/>
      </w:r>
      <w:r w:rsidR="00946A24" w:rsidRPr="00976E92">
        <w:rPr>
          <w:rFonts w:ascii="Arial" w:hAnsi="Arial" w:cs="Arial"/>
          <w:i w:val="0"/>
          <w:iCs w:val="0"/>
          <w:color w:val="auto"/>
          <w:sz w:val="20"/>
          <w:szCs w:val="20"/>
          <w:lang w:val="en-US"/>
        </w:rPr>
        <w:t xml:space="preserve"> </w:t>
      </w:r>
      <w:r w:rsidRPr="00976E92">
        <w:rPr>
          <w:rFonts w:ascii="Arial" w:hAnsi="Arial" w:cs="Arial"/>
          <w:i w:val="0"/>
          <w:iCs w:val="0"/>
          <w:color w:val="auto"/>
          <w:sz w:val="20"/>
          <w:szCs w:val="20"/>
          <w:lang w:val="en-US"/>
        </w:rPr>
        <w:t xml:space="preserve">but the H-bond bending vibration (red line) gains a significant amplitude. The spectra of the excitation THz fields at ~1 is indicated by the cyan dashed areas. a.u., arbitrary units.   </w:t>
      </w:r>
    </w:p>
    <w:p w14:paraId="5E62CCFB" w14:textId="211AE971" w:rsidR="00627670" w:rsidRPr="00976E92" w:rsidRDefault="00627670" w:rsidP="00D87825">
      <w:pPr>
        <w:spacing w:before="120" w:after="120"/>
        <w:jc w:val="both"/>
        <w:rPr>
          <w:rFonts w:asciiTheme="majorBidi" w:hAnsiTheme="majorBidi" w:cstheme="majorBidi"/>
          <w:lang w:val="en-US"/>
        </w:rPr>
      </w:pPr>
    </w:p>
    <w:p w14:paraId="3F235D57" w14:textId="613C649D" w:rsidR="00627670" w:rsidRPr="00976E92" w:rsidRDefault="00627670" w:rsidP="00D87825">
      <w:pPr>
        <w:spacing w:before="120" w:after="120"/>
        <w:jc w:val="both"/>
        <w:rPr>
          <w:rFonts w:asciiTheme="majorBidi" w:hAnsiTheme="majorBidi" w:cstheme="majorBidi"/>
          <w:lang w:val="en-US"/>
        </w:rPr>
      </w:pPr>
    </w:p>
    <w:p w14:paraId="048F9567" w14:textId="29815444" w:rsidR="00627670" w:rsidRPr="00976E92" w:rsidRDefault="00627670" w:rsidP="00D87825">
      <w:pPr>
        <w:spacing w:before="120" w:after="120"/>
        <w:jc w:val="both"/>
        <w:rPr>
          <w:rFonts w:asciiTheme="majorBidi" w:hAnsiTheme="majorBidi" w:cstheme="majorBidi"/>
          <w:lang w:val="en-US"/>
        </w:rPr>
      </w:pPr>
    </w:p>
    <w:p w14:paraId="6BE763B7" w14:textId="77777777" w:rsidR="00CB1F1B" w:rsidRPr="00976E92" w:rsidRDefault="00CB1F1B" w:rsidP="00CB1F1B">
      <w:pPr>
        <w:rPr>
          <w:lang w:val="en-US"/>
        </w:rPr>
      </w:pPr>
    </w:p>
    <w:p w14:paraId="26E956DF" w14:textId="77777777" w:rsidR="00CB1F1B" w:rsidRPr="00976E92" w:rsidRDefault="00CB1F1B" w:rsidP="00CB1F1B">
      <w:pPr>
        <w:keepNext/>
        <w:rPr>
          <w:lang w:val="en-US"/>
        </w:rPr>
      </w:pPr>
      <w:r w:rsidRPr="00976E92">
        <w:rPr>
          <w:noProof/>
          <w:lang w:eastAsia="de-DE"/>
        </w:rPr>
        <w:lastRenderedPageBreak/>
        <w:drawing>
          <wp:inline distT="0" distB="0" distL="0" distR="0" wp14:anchorId="5D0F3764" wp14:editId="2BCCD284">
            <wp:extent cx="5730240" cy="2697480"/>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0240" cy="2697480"/>
                    </a:xfrm>
                    <a:prstGeom prst="rect">
                      <a:avLst/>
                    </a:prstGeom>
                    <a:noFill/>
                    <a:ln>
                      <a:noFill/>
                    </a:ln>
                  </pic:spPr>
                </pic:pic>
              </a:graphicData>
            </a:graphic>
          </wp:inline>
        </w:drawing>
      </w:r>
    </w:p>
    <w:p w14:paraId="60B6785C" w14:textId="3DD301FE" w:rsidR="00CB1F1B" w:rsidRPr="00976E92" w:rsidRDefault="00CB1F1B" w:rsidP="00863EA7">
      <w:pPr>
        <w:pStyle w:val="Caption"/>
        <w:jc w:val="both"/>
        <w:rPr>
          <w:rFonts w:ascii="Arial" w:hAnsi="Arial" w:cs="Arial"/>
          <w:i w:val="0"/>
          <w:iCs w:val="0"/>
          <w:color w:val="auto"/>
          <w:sz w:val="20"/>
          <w:szCs w:val="20"/>
          <w:lang w:val="en-US"/>
        </w:rPr>
      </w:pPr>
      <w:r w:rsidRPr="00976E92">
        <w:rPr>
          <w:rFonts w:ascii="Arial" w:hAnsi="Arial" w:cs="Arial"/>
          <w:b/>
          <w:bCs/>
          <w:i w:val="0"/>
          <w:iCs w:val="0"/>
          <w:color w:val="auto"/>
          <w:sz w:val="20"/>
          <w:szCs w:val="20"/>
          <w:lang w:val="en-US"/>
        </w:rPr>
        <w:t>Fig</w:t>
      </w:r>
      <w:r w:rsidR="002D493F" w:rsidRPr="00976E92">
        <w:rPr>
          <w:rFonts w:ascii="Arial" w:hAnsi="Arial" w:cs="Arial"/>
          <w:b/>
          <w:bCs/>
          <w:i w:val="0"/>
          <w:iCs w:val="0"/>
          <w:color w:val="auto"/>
          <w:sz w:val="20"/>
          <w:szCs w:val="20"/>
          <w:lang w:val="en-US"/>
        </w:rPr>
        <w:t>.</w:t>
      </w:r>
      <w:r w:rsidRPr="00976E92">
        <w:rPr>
          <w:rFonts w:ascii="Arial" w:hAnsi="Arial" w:cs="Arial"/>
          <w:b/>
          <w:bCs/>
          <w:i w:val="0"/>
          <w:iCs w:val="0"/>
          <w:color w:val="auto"/>
          <w:sz w:val="20"/>
          <w:szCs w:val="20"/>
          <w:lang w:val="en-US"/>
        </w:rPr>
        <w:t xml:space="preserve"> S</w:t>
      </w:r>
      <w:r w:rsidR="00863EA7" w:rsidRPr="00976E92">
        <w:rPr>
          <w:rFonts w:ascii="Arial" w:hAnsi="Arial" w:cs="Arial"/>
          <w:b/>
          <w:bCs/>
          <w:i w:val="0"/>
          <w:iCs w:val="0"/>
          <w:color w:val="auto"/>
          <w:sz w:val="20"/>
          <w:szCs w:val="20"/>
          <w:lang w:val="en-US"/>
        </w:rPr>
        <w:t>2</w:t>
      </w:r>
      <w:r w:rsidRPr="00976E92">
        <w:rPr>
          <w:rFonts w:ascii="Arial" w:hAnsi="Arial" w:cs="Arial"/>
          <w:b/>
          <w:bCs/>
          <w:i w:val="0"/>
          <w:iCs w:val="0"/>
          <w:color w:val="auto"/>
          <w:sz w:val="20"/>
          <w:szCs w:val="20"/>
          <w:lang w:val="en-US"/>
        </w:rPr>
        <w:t>.</w:t>
      </w:r>
      <w:r w:rsidRPr="00976E92">
        <w:rPr>
          <w:rFonts w:ascii="Arial" w:hAnsi="Arial" w:cs="Arial"/>
          <w:i w:val="0"/>
          <w:iCs w:val="0"/>
          <w:color w:val="auto"/>
          <w:sz w:val="20"/>
          <w:szCs w:val="20"/>
          <w:lang w:val="en-US"/>
        </w:rPr>
        <w:t xml:space="preserve"> Transient optical birefringence of intermediate salt concentrations of a) strong anions and b) strong cations. The tail (above 0.5ps) is fitted with a single exponential function and the resulting fitted curve is shown in each figure (magenta line). The time constants returned from the fitting routine are mentioned in each figure. Note that each time trace has been normalized to the value of the corresponding water amplitude in the day of measurement, to avoid errors from the THz power fluctuations.   </w:t>
      </w:r>
    </w:p>
    <w:p w14:paraId="533448F9" w14:textId="77777777" w:rsidR="00CB1F1B" w:rsidRPr="00976E92" w:rsidRDefault="00CB1F1B" w:rsidP="00CB1F1B">
      <w:pPr>
        <w:pStyle w:val="Caption"/>
        <w:rPr>
          <w:rFonts w:ascii="Arial" w:hAnsi="Arial" w:cs="Arial"/>
          <w:i w:val="0"/>
          <w:iCs w:val="0"/>
          <w:sz w:val="20"/>
          <w:szCs w:val="20"/>
          <w:lang w:val="en-US"/>
        </w:rPr>
      </w:pPr>
      <w:r w:rsidRPr="00976E92">
        <w:rPr>
          <w:rFonts w:ascii="Arial" w:hAnsi="Arial" w:cs="Arial"/>
          <w:i w:val="0"/>
          <w:iCs w:val="0"/>
          <w:sz w:val="20"/>
          <w:szCs w:val="20"/>
          <w:lang w:val="en-US"/>
        </w:rPr>
        <w:t xml:space="preserve"> </w:t>
      </w:r>
    </w:p>
    <w:p w14:paraId="17E05359" w14:textId="77777777" w:rsidR="00CB1F1B" w:rsidRPr="00976E92" w:rsidRDefault="00CB1F1B" w:rsidP="00CB1F1B">
      <w:pPr>
        <w:keepNext/>
      </w:pPr>
      <w:r w:rsidRPr="00976E92">
        <w:rPr>
          <w:noProof/>
          <w:lang w:eastAsia="de-DE"/>
        </w:rPr>
        <w:drawing>
          <wp:inline distT="0" distB="0" distL="0" distR="0" wp14:anchorId="6BB4EDF6" wp14:editId="1719F8AC">
            <wp:extent cx="5730240" cy="27203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0240" cy="2720340"/>
                    </a:xfrm>
                    <a:prstGeom prst="rect">
                      <a:avLst/>
                    </a:prstGeom>
                    <a:noFill/>
                    <a:ln>
                      <a:noFill/>
                    </a:ln>
                  </pic:spPr>
                </pic:pic>
              </a:graphicData>
            </a:graphic>
          </wp:inline>
        </w:drawing>
      </w:r>
    </w:p>
    <w:p w14:paraId="13EA3D79" w14:textId="45C8A1C4" w:rsidR="00CB1F1B" w:rsidRPr="00976E92" w:rsidRDefault="00CB1F1B" w:rsidP="00863EA7">
      <w:pPr>
        <w:pStyle w:val="Caption"/>
        <w:jc w:val="both"/>
        <w:rPr>
          <w:rFonts w:ascii="Arial" w:hAnsi="Arial" w:cs="Arial"/>
          <w:i w:val="0"/>
          <w:iCs w:val="0"/>
          <w:color w:val="auto"/>
          <w:sz w:val="20"/>
          <w:szCs w:val="20"/>
          <w:lang w:val="en-US"/>
        </w:rPr>
      </w:pPr>
      <w:r w:rsidRPr="00976E92">
        <w:rPr>
          <w:rFonts w:ascii="Arial" w:hAnsi="Arial" w:cs="Arial"/>
          <w:b/>
          <w:bCs/>
          <w:i w:val="0"/>
          <w:iCs w:val="0"/>
          <w:color w:val="auto"/>
          <w:sz w:val="20"/>
          <w:szCs w:val="20"/>
          <w:lang w:val="en-US"/>
        </w:rPr>
        <w:t>Fi</w:t>
      </w:r>
      <w:r w:rsidR="002D493F" w:rsidRPr="00976E92">
        <w:rPr>
          <w:rFonts w:ascii="Arial" w:hAnsi="Arial" w:cs="Arial"/>
          <w:b/>
          <w:bCs/>
          <w:i w:val="0"/>
          <w:iCs w:val="0"/>
          <w:color w:val="auto"/>
          <w:sz w:val="20"/>
          <w:szCs w:val="20"/>
          <w:lang w:val="en-US"/>
        </w:rPr>
        <w:t>g.</w:t>
      </w:r>
      <w:r w:rsidRPr="00976E92">
        <w:rPr>
          <w:rFonts w:ascii="Arial" w:hAnsi="Arial" w:cs="Arial"/>
          <w:b/>
          <w:bCs/>
          <w:i w:val="0"/>
          <w:iCs w:val="0"/>
          <w:color w:val="auto"/>
          <w:sz w:val="20"/>
          <w:szCs w:val="20"/>
          <w:lang w:val="en-US"/>
        </w:rPr>
        <w:t xml:space="preserve"> S</w:t>
      </w:r>
      <w:r w:rsidR="00863EA7" w:rsidRPr="00976E92">
        <w:rPr>
          <w:rFonts w:ascii="Arial" w:hAnsi="Arial" w:cs="Arial"/>
          <w:b/>
          <w:bCs/>
          <w:i w:val="0"/>
          <w:iCs w:val="0"/>
          <w:color w:val="auto"/>
          <w:sz w:val="20"/>
          <w:szCs w:val="20"/>
          <w:lang w:val="en-US"/>
        </w:rPr>
        <w:t>3</w:t>
      </w:r>
      <w:r w:rsidRPr="00976E92">
        <w:rPr>
          <w:rFonts w:ascii="Arial" w:hAnsi="Arial" w:cs="Arial"/>
          <w:b/>
          <w:bCs/>
          <w:i w:val="0"/>
          <w:iCs w:val="0"/>
          <w:color w:val="auto"/>
          <w:sz w:val="20"/>
          <w:szCs w:val="20"/>
          <w:lang w:val="en-US"/>
        </w:rPr>
        <w:t>.</w:t>
      </w:r>
      <w:r w:rsidRPr="00976E92">
        <w:rPr>
          <w:rFonts w:ascii="Arial" w:hAnsi="Arial" w:cs="Arial"/>
          <w:i w:val="0"/>
          <w:iCs w:val="0"/>
          <w:color w:val="auto"/>
          <w:sz w:val="20"/>
          <w:szCs w:val="20"/>
          <w:lang w:val="en-US"/>
        </w:rPr>
        <w:t xml:space="preserve"> Transient optical birefringence of maximum salt concentrations of a) strong anions and b) strong cations. The tail (above 0.5ps) is fitted with a single exponential function and the resulting fitted curve is shown in each figure (magenta line). The time constants returned from the fitting routine are mentioned in each figure. Note that each time trace has been normalized to the value of the corresponding water amplitude in the day of measurement, to avoid errors from the THz power fluctuations.   </w:t>
      </w:r>
    </w:p>
    <w:p w14:paraId="3CF2BBD0" w14:textId="471BEBB6" w:rsidR="00863EA7" w:rsidRPr="00976E92" w:rsidRDefault="00863EA7" w:rsidP="00863EA7">
      <w:pPr>
        <w:rPr>
          <w:lang w:val="en-US"/>
        </w:rPr>
      </w:pPr>
    </w:p>
    <w:p w14:paraId="152E7418" w14:textId="3228816E" w:rsidR="00863EA7" w:rsidRPr="00976E92" w:rsidRDefault="00863EA7" w:rsidP="00863EA7">
      <w:pPr>
        <w:rPr>
          <w:lang w:val="en-US"/>
        </w:rPr>
      </w:pPr>
    </w:p>
    <w:p w14:paraId="56FA2217" w14:textId="54FAB0FC" w:rsidR="00863EA7" w:rsidRPr="00976E92" w:rsidRDefault="00863EA7" w:rsidP="00863EA7">
      <w:pPr>
        <w:rPr>
          <w:lang w:val="en-US"/>
        </w:rPr>
      </w:pPr>
    </w:p>
    <w:p w14:paraId="1C3D8464" w14:textId="77777777" w:rsidR="00863EA7" w:rsidRPr="00976E92" w:rsidRDefault="00863EA7" w:rsidP="00863EA7">
      <w:pPr>
        <w:pStyle w:val="Caption"/>
        <w:keepNext/>
        <w:jc w:val="center"/>
        <w:rPr>
          <w:lang w:val="en-US"/>
        </w:rPr>
      </w:pPr>
      <w:r w:rsidRPr="00976E92">
        <w:rPr>
          <w:noProof/>
          <w:lang w:eastAsia="de-DE"/>
        </w:rPr>
        <w:lastRenderedPageBreak/>
        <w:drawing>
          <wp:inline distT="0" distB="0" distL="0" distR="0" wp14:anchorId="238D40A8" wp14:editId="7CF62BE5">
            <wp:extent cx="5906555" cy="255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16724" cy="2557095"/>
                    </a:xfrm>
                    <a:prstGeom prst="rect">
                      <a:avLst/>
                    </a:prstGeom>
                    <a:noFill/>
                    <a:ln>
                      <a:noFill/>
                    </a:ln>
                  </pic:spPr>
                </pic:pic>
              </a:graphicData>
            </a:graphic>
          </wp:inline>
        </w:drawing>
      </w:r>
    </w:p>
    <w:p w14:paraId="7F0CA7C6" w14:textId="6DE0EC79" w:rsidR="00863EA7" w:rsidRPr="00976E92" w:rsidRDefault="00863EA7" w:rsidP="00863EA7">
      <w:pPr>
        <w:pStyle w:val="Caption"/>
        <w:jc w:val="both"/>
        <w:rPr>
          <w:rFonts w:ascii="Arial" w:hAnsi="Arial" w:cs="Arial"/>
          <w:i w:val="0"/>
          <w:iCs w:val="0"/>
          <w:color w:val="auto"/>
          <w:sz w:val="20"/>
          <w:szCs w:val="20"/>
          <w:lang w:val="en-US"/>
        </w:rPr>
      </w:pPr>
      <w:r w:rsidRPr="00976E92">
        <w:rPr>
          <w:rFonts w:ascii="Arial" w:hAnsi="Arial" w:cs="Arial"/>
          <w:b/>
          <w:bCs/>
          <w:i w:val="0"/>
          <w:iCs w:val="0"/>
          <w:color w:val="auto"/>
          <w:sz w:val="20"/>
          <w:szCs w:val="20"/>
          <w:lang w:val="en-US"/>
        </w:rPr>
        <w:t>Figure S4.</w:t>
      </w:r>
      <w:r w:rsidRPr="00976E92">
        <w:rPr>
          <w:rFonts w:ascii="Arial" w:hAnsi="Arial" w:cs="Arial"/>
          <w:i w:val="0"/>
          <w:iCs w:val="0"/>
          <w:color w:val="auto"/>
          <w:sz w:val="20"/>
          <w:szCs w:val="20"/>
          <w:lang w:val="en-US"/>
        </w:rPr>
        <w:t xml:space="preserve"> Transient optical birefringence of intermediate concentrations (values stated at the legend) of: a) strong cations: KCl (green line), NaCl (purple line), LiCl (orange line), MgCl</w:t>
      </w:r>
      <w:r w:rsidRPr="00976E92">
        <w:rPr>
          <w:rFonts w:ascii="Arial" w:hAnsi="Arial" w:cs="Arial"/>
          <w:i w:val="0"/>
          <w:iCs w:val="0"/>
          <w:color w:val="auto"/>
          <w:sz w:val="20"/>
          <w:szCs w:val="20"/>
          <w:vertAlign w:val="subscript"/>
          <w:lang w:val="en-US"/>
        </w:rPr>
        <w:t>2</w:t>
      </w:r>
      <w:r w:rsidRPr="00976E92">
        <w:rPr>
          <w:rFonts w:ascii="Arial" w:hAnsi="Arial" w:cs="Arial"/>
          <w:i w:val="0"/>
          <w:iCs w:val="0"/>
          <w:color w:val="auto"/>
          <w:sz w:val="20"/>
          <w:szCs w:val="20"/>
          <w:lang w:val="en-US"/>
        </w:rPr>
        <w:t xml:space="preserve"> (cyan line) and b) strong anions: KF (blue line), Na</w:t>
      </w:r>
      <w:r w:rsidRPr="00976E92">
        <w:rPr>
          <w:rFonts w:ascii="Arial" w:hAnsi="Arial" w:cs="Arial"/>
          <w:i w:val="0"/>
          <w:iCs w:val="0"/>
          <w:color w:val="auto"/>
          <w:sz w:val="20"/>
          <w:szCs w:val="20"/>
          <w:vertAlign w:val="subscript"/>
          <w:lang w:val="en-US"/>
        </w:rPr>
        <w:t>2</w:t>
      </w:r>
      <w:r w:rsidRPr="00976E92">
        <w:rPr>
          <w:rFonts w:ascii="Arial" w:hAnsi="Arial" w:cs="Arial"/>
          <w:i w:val="0"/>
          <w:iCs w:val="0"/>
          <w:color w:val="auto"/>
          <w:sz w:val="20"/>
          <w:szCs w:val="20"/>
          <w:lang w:val="en-US"/>
        </w:rPr>
        <w:t>SO</w:t>
      </w:r>
      <w:r w:rsidRPr="00976E92">
        <w:rPr>
          <w:rFonts w:ascii="Arial" w:hAnsi="Arial" w:cs="Arial"/>
          <w:i w:val="0"/>
          <w:iCs w:val="0"/>
          <w:color w:val="auto"/>
          <w:sz w:val="20"/>
          <w:szCs w:val="20"/>
          <w:vertAlign w:val="subscript"/>
          <w:lang w:val="en-US"/>
        </w:rPr>
        <w:t>4</w:t>
      </w:r>
      <w:r w:rsidRPr="00976E92">
        <w:rPr>
          <w:rFonts w:ascii="Arial" w:hAnsi="Arial" w:cs="Arial"/>
          <w:i w:val="0"/>
          <w:iCs w:val="0"/>
          <w:color w:val="auto"/>
          <w:sz w:val="20"/>
          <w:szCs w:val="20"/>
          <w:lang w:val="en-US"/>
        </w:rPr>
        <w:t xml:space="preserve"> (red line), Na</w:t>
      </w:r>
      <w:r w:rsidRPr="00976E92">
        <w:rPr>
          <w:rFonts w:ascii="Arial" w:hAnsi="Arial" w:cs="Arial"/>
          <w:i w:val="0"/>
          <w:iCs w:val="0"/>
          <w:color w:val="auto"/>
          <w:sz w:val="20"/>
          <w:szCs w:val="20"/>
          <w:vertAlign w:val="subscript"/>
          <w:lang w:val="en-US"/>
        </w:rPr>
        <w:t>2</w:t>
      </w:r>
      <w:r w:rsidRPr="00976E92">
        <w:rPr>
          <w:rFonts w:ascii="Arial" w:hAnsi="Arial" w:cs="Arial"/>
          <w:i w:val="0"/>
          <w:iCs w:val="0"/>
          <w:color w:val="auto"/>
          <w:sz w:val="20"/>
          <w:szCs w:val="20"/>
          <w:lang w:val="en-US"/>
        </w:rPr>
        <w:t>CO</w:t>
      </w:r>
      <w:r w:rsidRPr="00976E92">
        <w:rPr>
          <w:rFonts w:ascii="Arial" w:hAnsi="Arial" w:cs="Arial"/>
          <w:i w:val="0"/>
          <w:iCs w:val="0"/>
          <w:color w:val="auto"/>
          <w:sz w:val="20"/>
          <w:szCs w:val="20"/>
          <w:vertAlign w:val="subscript"/>
          <w:lang w:val="en-US"/>
        </w:rPr>
        <w:t>3</w:t>
      </w:r>
      <w:r w:rsidRPr="00976E92">
        <w:rPr>
          <w:rFonts w:ascii="Arial" w:hAnsi="Arial" w:cs="Arial"/>
          <w:i w:val="0"/>
          <w:iCs w:val="0"/>
          <w:color w:val="auto"/>
          <w:sz w:val="20"/>
          <w:szCs w:val="20"/>
          <w:lang w:val="en-US"/>
        </w:rPr>
        <w:t xml:space="preserve"> (brown line), compared to pure liquid water (black line). The amplitude of the TKE signal drastically changes in the presence of highly charged electrolytes and the change is ion specific. The red arrows indicate the increase in the SCD of the ions. Note that each time trace has been normalized to the value of the corresponding water amplitude in the day of measurement, to avoid errors from the THz power fluctuations.   </w:t>
      </w:r>
    </w:p>
    <w:p w14:paraId="30648B37" w14:textId="77777777" w:rsidR="00863EA7" w:rsidRPr="00976E92" w:rsidRDefault="00863EA7" w:rsidP="00863EA7">
      <w:pPr>
        <w:rPr>
          <w:lang w:val="en-US"/>
        </w:rPr>
      </w:pPr>
    </w:p>
    <w:p w14:paraId="1C451104" w14:textId="77777777" w:rsidR="00CB1F1B" w:rsidRPr="00976E92" w:rsidRDefault="00CB1F1B" w:rsidP="00CB1F1B">
      <w:pPr>
        <w:pStyle w:val="Caption"/>
        <w:keepNext/>
        <w:jc w:val="center"/>
      </w:pPr>
      <w:r w:rsidRPr="00976E92">
        <w:rPr>
          <w:rFonts w:ascii="Arial" w:hAnsi="Arial" w:cs="Arial"/>
          <w:i w:val="0"/>
          <w:iCs w:val="0"/>
          <w:noProof/>
          <w:sz w:val="20"/>
          <w:szCs w:val="20"/>
          <w:lang w:eastAsia="de-DE"/>
        </w:rPr>
        <w:drawing>
          <wp:inline distT="0" distB="0" distL="0" distR="0" wp14:anchorId="5A658D2A" wp14:editId="04E56452">
            <wp:extent cx="3368040" cy="28956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68040" cy="2895600"/>
                    </a:xfrm>
                    <a:prstGeom prst="rect">
                      <a:avLst/>
                    </a:prstGeom>
                    <a:noFill/>
                    <a:ln>
                      <a:noFill/>
                    </a:ln>
                  </pic:spPr>
                </pic:pic>
              </a:graphicData>
            </a:graphic>
          </wp:inline>
        </w:drawing>
      </w:r>
    </w:p>
    <w:p w14:paraId="20AA99ED" w14:textId="3C21C43A" w:rsidR="00CB1F1B" w:rsidRPr="00976E92" w:rsidRDefault="00CB1F1B" w:rsidP="002D493F">
      <w:pPr>
        <w:pStyle w:val="Caption"/>
        <w:jc w:val="both"/>
        <w:rPr>
          <w:rFonts w:ascii="Arial" w:hAnsi="Arial" w:cs="Arial"/>
          <w:i w:val="0"/>
          <w:iCs w:val="0"/>
          <w:color w:val="auto"/>
          <w:sz w:val="20"/>
          <w:szCs w:val="20"/>
          <w:lang w:val="en-US"/>
        </w:rPr>
      </w:pPr>
      <w:r w:rsidRPr="00976E92">
        <w:rPr>
          <w:rFonts w:ascii="Arial" w:hAnsi="Arial" w:cs="Arial"/>
          <w:b/>
          <w:bCs/>
          <w:i w:val="0"/>
          <w:iCs w:val="0"/>
          <w:color w:val="auto"/>
          <w:sz w:val="20"/>
          <w:szCs w:val="20"/>
          <w:lang w:val="en-US"/>
        </w:rPr>
        <w:t>Fig</w:t>
      </w:r>
      <w:r w:rsidR="002D493F" w:rsidRPr="00976E92">
        <w:rPr>
          <w:rFonts w:ascii="Arial" w:hAnsi="Arial" w:cs="Arial"/>
          <w:b/>
          <w:bCs/>
          <w:i w:val="0"/>
          <w:iCs w:val="0"/>
          <w:color w:val="auto"/>
          <w:sz w:val="20"/>
          <w:szCs w:val="20"/>
          <w:lang w:val="en-US"/>
        </w:rPr>
        <w:t>.</w:t>
      </w:r>
      <w:r w:rsidRPr="00976E92">
        <w:rPr>
          <w:rFonts w:ascii="Arial" w:hAnsi="Arial" w:cs="Arial"/>
          <w:b/>
          <w:bCs/>
          <w:i w:val="0"/>
          <w:iCs w:val="0"/>
          <w:color w:val="auto"/>
          <w:sz w:val="20"/>
          <w:szCs w:val="20"/>
          <w:lang w:val="en-US"/>
        </w:rPr>
        <w:t xml:space="preserve"> S</w:t>
      </w:r>
      <w:r w:rsidR="002D493F" w:rsidRPr="00976E92">
        <w:rPr>
          <w:rFonts w:ascii="Arial" w:hAnsi="Arial" w:cs="Arial"/>
          <w:b/>
          <w:bCs/>
          <w:i w:val="0"/>
          <w:iCs w:val="0"/>
          <w:color w:val="auto"/>
          <w:sz w:val="20"/>
          <w:szCs w:val="20"/>
          <w:lang w:val="en-US"/>
        </w:rPr>
        <w:t>5</w:t>
      </w:r>
      <w:r w:rsidRPr="00976E92">
        <w:rPr>
          <w:rFonts w:ascii="Arial" w:hAnsi="Arial" w:cs="Arial"/>
          <w:b/>
          <w:bCs/>
          <w:i w:val="0"/>
          <w:iCs w:val="0"/>
          <w:color w:val="auto"/>
          <w:sz w:val="20"/>
          <w:szCs w:val="20"/>
          <w:lang w:val="en-US"/>
        </w:rPr>
        <w:t>.</w:t>
      </w:r>
      <w:r w:rsidRPr="00976E92">
        <w:rPr>
          <w:rFonts w:ascii="Arial" w:hAnsi="Arial" w:cs="Arial"/>
          <w:i w:val="0"/>
          <w:iCs w:val="0"/>
          <w:color w:val="auto"/>
          <w:sz w:val="20"/>
          <w:szCs w:val="20"/>
          <w:lang w:val="en-US"/>
        </w:rPr>
        <w:t xml:space="preserve"> Time constant values of Na</w:t>
      </w:r>
      <w:r w:rsidRPr="00976E92">
        <w:rPr>
          <w:rFonts w:ascii="Arial" w:hAnsi="Arial" w:cs="Arial"/>
          <w:i w:val="0"/>
          <w:iCs w:val="0"/>
          <w:color w:val="auto"/>
          <w:sz w:val="20"/>
          <w:szCs w:val="20"/>
          <w:vertAlign w:val="subscript"/>
          <w:lang w:val="en-US"/>
        </w:rPr>
        <w:t>2</w:t>
      </w:r>
      <w:r w:rsidRPr="00976E92">
        <w:rPr>
          <w:rFonts w:ascii="Arial" w:hAnsi="Arial" w:cs="Arial"/>
          <w:i w:val="0"/>
          <w:iCs w:val="0"/>
          <w:color w:val="auto"/>
          <w:sz w:val="20"/>
          <w:szCs w:val="20"/>
          <w:lang w:val="en-US"/>
        </w:rPr>
        <w:t>CO</w:t>
      </w:r>
      <w:r w:rsidRPr="00976E92">
        <w:rPr>
          <w:rFonts w:ascii="Arial" w:hAnsi="Arial" w:cs="Arial"/>
          <w:i w:val="0"/>
          <w:iCs w:val="0"/>
          <w:color w:val="auto"/>
          <w:sz w:val="20"/>
          <w:szCs w:val="20"/>
          <w:vertAlign w:val="subscript"/>
          <w:lang w:val="en-US"/>
        </w:rPr>
        <w:t>3</w:t>
      </w:r>
      <w:r w:rsidRPr="00976E92">
        <w:rPr>
          <w:rFonts w:ascii="Arial" w:hAnsi="Arial" w:cs="Arial"/>
          <w:i w:val="0"/>
          <w:iCs w:val="0"/>
          <w:color w:val="auto"/>
          <w:sz w:val="20"/>
          <w:szCs w:val="20"/>
          <w:lang w:val="en-US"/>
        </w:rPr>
        <w:t xml:space="preserve"> (brown squares), Na</w:t>
      </w:r>
      <w:r w:rsidRPr="00976E92">
        <w:rPr>
          <w:rFonts w:ascii="Arial" w:hAnsi="Arial" w:cs="Arial"/>
          <w:i w:val="0"/>
          <w:iCs w:val="0"/>
          <w:color w:val="auto"/>
          <w:sz w:val="20"/>
          <w:szCs w:val="20"/>
          <w:vertAlign w:val="subscript"/>
          <w:lang w:val="en-US"/>
        </w:rPr>
        <w:t>2</w:t>
      </w:r>
      <w:r w:rsidRPr="00976E92">
        <w:rPr>
          <w:rFonts w:ascii="Arial" w:hAnsi="Arial" w:cs="Arial"/>
          <w:i w:val="0"/>
          <w:iCs w:val="0"/>
          <w:color w:val="auto"/>
          <w:sz w:val="20"/>
          <w:szCs w:val="20"/>
          <w:lang w:val="en-US"/>
        </w:rPr>
        <w:t>SO</w:t>
      </w:r>
      <w:r w:rsidRPr="00976E92">
        <w:rPr>
          <w:rFonts w:ascii="Arial" w:hAnsi="Arial" w:cs="Arial"/>
          <w:i w:val="0"/>
          <w:iCs w:val="0"/>
          <w:color w:val="auto"/>
          <w:sz w:val="20"/>
          <w:szCs w:val="20"/>
          <w:vertAlign w:val="subscript"/>
          <w:lang w:val="en-US"/>
        </w:rPr>
        <w:t>4</w:t>
      </w:r>
      <w:r w:rsidRPr="00976E92">
        <w:rPr>
          <w:rFonts w:ascii="Arial" w:hAnsi="Arial" w:cs="Arial"/>
          <w:i w:val="0"/>
          <w:iCs w:val="0"/>
          <w:color w:val="auto"/>
          <w:sz w:val="20"/>
          <w:szCs w:val="20"/>
          <w:lang w:val="en-US"/>
        </w:rPr>
        <w:t xml:space="preserve"> (red circles), KF (blue up-triangles), KCl (green down-triangles), NaCl (purple diamond), LiCl (orange left-triangles), MgCl</w:t>
      </w:r>
      <w:r w:rsidRPr="00976E92">
        <w:rPr>
          <w:rFonts w:ascii="Arial" w:hAnsi="Arial" w:cs="Arial"/>
          <w:i w:val="0"/>
          <w:iCs w:val="0"/>
          <w:color w:val="auto"/>
          <w:sz w:val="20"/>
          <w:szCs w:val="20"/>
          <w:vertAlign w:val="subscript"/>
          <w:lang w:val="en-US"/>
        </w:rPr>
        <w:t>2</w:t>
      </w:r>
      <w:r w:rsidRPr="00976E92">
        <w:rPr>
          <w:rFonts w:ascii="Arial" w:hAnsi="Arial" w:cs="Arial"/>
          <w:i w:val="0"/>
          <w:iCs w:val="0"/>
          <w:color w:val="auto"/>
          <w:sz w:val="20"/>
          <w:szCs w:val="20"/>
          <w:lang w:val="en-US"/>
        </w:rPr>
        <w:t xml:space="preserve"> (cyan right-triangles) and H</w:t>
      </w:r>
      <w:r w:rsidRPr="00976E92">
        <w:rPr>
          <w:rFonts w:ascii="Arial" w:hAnsi="Arial" w:cs="Arial"/>
          <w:i w:val="0"/>
          <w:iCs w:val="0"/>
          <w:color w:val="auto"/>
          <w:sz w:val="20"/>
          <w:szCs w:val="20"/>
          <w:vertAlign w:val="subscript"/>
          <w:lang w:val="en-US"/>
        </w:rPr>
        <w:t>2</w:t>
      </w:r>
      <w:r w:rsidRPr="00976E92">
        <w:rPr>
          <w:rFonts w:ascii="Arial" w:hAnsi="Arial" w:cs="Arial"/>
          <w:i w:val="0"/>
          <w:iCs w:val="0"/>
          <w:color w:val="auto"/>
          <w:sz w:val="20"/>
          <w:szCs w:val="20"/>
          <w:lang w:val="en-US"/>
        </w:rPr>
        <w:t>O (black star), returned from the fitting of the tail (above 0.5ps) of the TKE signal with a single exponential function, versus salt concentration. Error bars correspond to the individual coefficient of determination (R</w:t>
      </w:r>
      <w:r w:rsidRPr="00976E92">
        <w:rPr>
          <w:rFonts w:ascii="Arial" w:hAnsi="Arial" w:cs="Arial"/>
          <w:i w:val="0"/>
          <w:iCs w:val="0"/>
          <w:color w:val="auto"/>
          <w:sz w:val="20"/>
          <w:szCs w:val="20"/>
          <w:vertAlign w:val="superscript"/>
          <w:lang w:val="en-US"/>
        </w:rPr>
        <w:t>2</w:t>
      </w:r>
      <w:r w:rsidRPr="00976E92">
        <w:rPr>
          <w:rFonts w:ascii="Arial" w:hAnsi="Arial" w:cs="Arial"/>
          <w:i w:val="0"/>
          <w:iCs w:val="0"/>
          <w:color w:val="auto"/>
          <w:sz w:val="20"/>
          <w:szCs w:val="20"/>
          <w:lang w:val="en-US"/>
        </w:rPr>
        <w:t xml:space="preserve">) of each fit. </w:t>
      </w:r>
    </w:p>
    <w:p w14:paraId="4BDFD9E9" w14:textId="1FC7102B" w:rsidR="00CB1F1B" w:rsidRPr="00976E92" w:rsidRDefault="00CB1F1B" w:rsidP="007160E0">
      <w:pPr>
        <w:keepNext/>
        <w:jc w:val="center"/>
      </w:pPr>
      <w:r w:rsidRPr="00976E92">
        <w:rPr>
          <w:noProof/>
          <w:lang w:eastAsia="de-DE"/>
        </w:rPr>
        <w:lastRenderedPageBreak/>
        <w:drawing>
          <wp:inline distT="0" distB="0" distL="0" distR="0" wp14:anchorId="6F464C04" wp14:editId="25DA6C83">
            <wp:extent cx="3305175" cy="28304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2757" cy="2845552"/>
                    </a:xfrm>
                    <a:prstGeom prst="rect">
                      <a:avLst/>
                    </a:prstGeom>
                    <a:noFill/>
                    <a:ln>
                      <a:noFill/>
                    </a:ln>
                  </pic:spPr>
                </pic:pic>
              </a:graphicData>
            </a:graphic>
          </wp:inline>
        </w:drawing>
      </w:r>
    </w:p>
    <w:p w14:paraId="65B79E0D" w14:textId="7E398093" w:rsidR="00CB1F1B" w:rsidRPr="00976E92" w:rsidRDefault="00CB1F1B" w:rsidP="002D493F">
      <w:pPr>
        <w:pStyle w:val="Caption"/>
        <w:jc w:val="both"/>
        <w:rPr>
          <w:rFonts w:ascii="Arial" w:hAnsi="Arial" w:cs="Arial"/>
          <w:i w:val="0"/>
          <w:iCs w:val="0"/>
          <w:color w:val="auto"/>
          <w:sz w:val="20"/>
          <w:szCs w:val="20"/>
          <w:lang w:val="en-US"/>
        </w:rPr>
      </w:pPr>
      <w:r w:rsidRPr="00976E92">
        <w:rPr>
          <w:rFonts w:ascii="Arial" w:hAnsi="Arial" w:cs="Arial"/>
          <w:b/>
          <w:bCs/>
          <w:i w:val="0"/>
          <w:iCs w:val="0"/>
          <w:color w:val="auto"/>
          <w:sz w:val="20"/>
          <w:szCs w:val="20"/>
          <w:lang w:val="en-US"/>
        </w:rPr>
        <w:t>Fig</w:t>
      </w:r>
      <w:r w:rsidR="007160E0" w:rsidRPr="00976E92">
        <w:rPr>
          <w:rFonts w:ascii="Arial" w:hAnsi="Arial" w:cs="Arial"/>
          <w:b/>
          <w:bCs/>
          <w:i w:val="0"/>
          <w:iCs w:val="0"/>
          <w:color w:val="auto"/>
          <w:sz w:val="20"/>
          <w:szCs w:val="20"/>
          <w:lang w:val="en-US"/>
        </w:rPr>
        <w:t>.</w:t>
      </w:r>
      <w:r w:rsidRPr="00976E92">
        <w:rPr>
          <w:rFonts w:ascii="Arial" w:hAnsi="Arial" w:cs="Arial"/>
          <w:b/>
          <w:bCs/>
          <w:i w:val="0"/>
          <w:iCs w:val="0"/>
          <w:color w:val="auto"/>
          <w:sz w:val="20"/>
          <w:szCs w:val="20"/>
          <w:lang w:val="en-US"/>
        </w:rPr>
        <w:t xml:space="preserve"> S</w:t>
      </w:r>
      <w:r w:rsidR="002D493F" w:rsidRPr="00976E92">
        <w:rPr>
          <w:rFonts w:ascii="Arial" w:hAnsi="Arial" w:cs="Arial"/>
          <w:b/>
          <w:bCs/>
          <w:i w:val="0"/>
          <w:iCs w:val="0"/>
          <w:color w:val="auto"/>
          <w:sz w:val="20"/>
          <w:szCs w:val="20"/>
          <w:lang w:val="en-US"/>
        </w:rPr>
        <w:t>6</w:t>
      </w:r>
      <w:r w:rsidRPr="00976E92">
        <w:rPr>
          <w:rFonts w:ascii="Arial" w:hAnsi="Arial" w:cs="Arial"/>
          <w:b/>
          <w:bCs/>
          <w:i w:val="0"/>
          <w:iCs w:val="0"/>
          <w:color w:val="auto"/>
          <w:sz w:val="20"/>
          <w:szCs w:val="20"/>
          <w:lang w:val="en-US"/>
        </w:rPr>
        <w:t>.</w:t>
      </w:r>
      <w:r w:rsidRPr="00976E92">
        <w:rPr>
          <w:rFonts w:ascii="Arial" w:hAnsi="Arial" w:cs="Arial"/>
          <w:i w:val="0"/>
          <w:iCs w:val="0"/>
          <w:color w:val="auto"/>
          <w:sz w:val="20"/>
          <w:szCs w:val="20"/>
          <w:lang w:val="en-US"/>
        </w:rPr>
        <w:t xml:space="preserve"> Transient optical birefringence of aqueous MgSO</w:t>
      </w:r>
      <w:r w:rsidRPr="00976E92">
        <w:rPr>
          <w:rFonts w:ascii="Arial" w:hAnsi="Arial" w:cs="Arial"/>
          <w:i w:val="0"/>
          <w:iCs w:val="0"/>
          <w:color w:val="auto"/>
          <w:sz w:val="20"/>
          <w:szCs w:val="20"/>
          <w:vertAlign w:val="subscript"/>
          <w:lang w:val="en-US"/>
        </w:rPr>
        <w:t>4</w:t>
      </w:r>
      <w:r w:rsidRPr="00976E92">
        <w:rPr>
          <w:rFonts w:ascii="Arial" w:hAnsi="Arial" w:cs="Arial"/>
          <w:i w:val="0"/>
          <w:iCs w:val="0"/>
          <w:color w:val="auto"/>
          <w:sz w:val="20"/>
          <w:szCs w:val="20"/>
          <w:lang w:val="en-US"/>
        </w:rPr>
        <w:t xml:space="preserve"> solutions at 1M (light purple line) and 2M (pink line) concentrations, compared with liquid water (black line). Note that increasing salt concentration (red arrow) leads to a subtle increase in the TKE signal (negative lobe), compared to that of liquid water.</w:t>
      </w:r>
    </w:p>
    <w:p w14:paraId="632D6E7B" w14:textId="5360CF7F" w:rsidR="00627670" w:rsidRPr="00976E92" w:rsidRDefault="00976E92" w:rsidP="00D87825">
      <w:pPr>
        <w:spacing w:before="120" w:after="120"/>
        <w:jc w:val="both"/>
        <w:rPr>
          <w:rFonts w:asciiTheme="majorBidi" w:hAnsiTheme="majorBidi" w:cstheme="majorBidi"/>
          <w:lang w:val="en-US"/>
        </w:rPr>
      </w:pPr>
      <w:r w:rsidRPr="00976E92">
        <w:rPr>
          <w:rFonts w:asciiTheme="majorBidi" w:hAnsiTheme="majorBidi" w:cstheme="majorBidi"/>
          <w:b/>
          <w:bCs/>
          <w:noProof/>
          <w:sz w:val="24"/>
          <w:szCs w:val="24"/>
          <w:lang w:eastAsia="de-DE"/>
        </w:rPr>
        <w:drawing>
          <wp:anchor distT="0" distB="0" distL="114300" distR="114300" simplePos="0" relativeHeight="251659264" behindDoc="0" locked="0" layoutInCell="1" allowOverlap="1" wp14:anchorId="443AAF42" wp14:editId="44052EFA">
            <wp:simplePos x="0" y="0"/>
            <wp:positionH relativeFrom="margin">
              <wp:align>center</wp:align>
            </wp:positionH>
            <wp:positionV relativeFrom="paragraph">
              <wp:posOffset>286385</wp:posOffset>
            </wp:positionV>
            <wp:extent cx="2733675" cy="4436110"/>
            <wp:effectExtent l="0" t="0" r="9525" b="254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3675" cy="4436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E3B48C" w14:textId="66C94B76" w:rsidR="00E914B5" w:rsidRPr="00976E92" w:rsidRDefault="00E914B5" w:rsidP="00D87825">
      <w:pPr>
        <w:spacing w:before="120" w:after="120"/>
        <w:jc w:val="both"/>
        <w:rPr>
          <w:rFonts w:asciiTheme="majorBidi" w:hAnsiTheme="majorBidi" w:cstheme="majorBidi"/>
          <w:b/>
          <w:bCs/>
          <w:sz w:val="24"/>
          <w:szCs w:val="24"/>
          <w:lang w:val="en-US"/>
        </w:rPr>
      </w:pPr>
    </w:p>
    <w:p w14:paraId="41CB49B1" w14:textId="731CE025" w:rsidR="004C0081" w:rsidRPr="00976E92" w:rsidRDefault="00DA37C2" w:rsidP="00DA37C2">
      <w:pPr>
        <w:pStyle w:val="Caption"/>
        <w:jc w:val="both"/>
        <w:rPr>
          <w:rFonts w:ascii="Arial" w:hAnsi="Arial" w:cs="Arial"/>
          <w:i w:val="0"/>
          <w:iCs w:val="0"/>
          <w:color w:val="auto"/>
          <w:sz w:val="20"/>
          <w:szCs w:val="20"/>
          <w:lang w:val="en-US"/>
        </w:rPr>
      </w:pPr>
      <w:r w:rsidRPr="00976E92">
        <w:rPr>
          <w:rFonts w:ascii="Arial" w:hAnsi="Arial" w:cs="Arial"/>
          <w:b/>
          <w:bCs/>
          <w:i w:val="0"/>
          <w:iCs w:val="0"/>
          <w:color w:val="auto"/>
          <w:sz w:val="20"/>
          <w:szCs w:val="20"/>
          <w:lang w:val="en-US"/>
        </w:rPr>
        <w:t>Fig. S7.</w:t>
      </w:r>
      <w:r w:rsidRPr="00976E92">
        <w:rPr>
          <w:rFonts w:ascii="Arial" w:hAnsi="Arial" w:cs="Arial"/>
          <w:i w:val="0"/>
          <w:iCs w:val="0"/>
          <w:color w:val="auto"/>
          <w:sz w:val="20"/>
          <w:szCs w:val="20"/>
          <w:lang w:val="en-US"/>
        </w:rPr>
        <w:t xml:space="preserve"> Transient optical birefringence of aqueous MgSO</w:t>
      </w:r>
      <w:r w:rsidRPr="00976E92">
        <w:rPr>
          <w:rFonts w:ascii="Arial" w:hAnsi="Arial" w:cs="Arial"/>
          <w:i w:val="0"/>
          <w:iCs w:val="0"/>
          <w:color w:val="auto"/>
          <w:sz w:val="20"/>
          <w:szCs w:val="20"/>
          <w:vertAlign w:val="subscript"/>
          <w:lang w:val="en-US"/>
        </w:rPr>
        <w:t>4</w:t>
      </w:r>
      <w:r w:rsidRPr="00976E92">
        <w:rPr>
          <w:rFonts w:ascii="Arial" w:hAnsi="Arial" w:cs="Arial"/>
          <w:i w:val="0"/>
          <w:iCs w:val="0"/>
          <w:color w:val="auto"/>
          <w:sz w:val="20"/>
          <w:szCs w:val="20"/>
          <w:lang w:val="en-US"/>
        </w:rPr>
        <w:t xml:space="preserve"> solutions at 1M (light purple line) and 2M (pink line) concentrations, compared with liquid water (black line). Note that increasing salt concentration (red arrow) leads to a subtle increase in the TKE signal (negative lobe), compared to that of liquid water.</w:t>
      </w:r>
    </w:p>
    <w:p w14:paraId="7907E32C" w14:textId="25560DFC" w:rsidR="004C0081" w:rsidRPr="00976E92" w:rsidRDefault="005D3F60" w:rsidP="005D3F60">
      <w:pPr>
        <w:jc w:val="center"/>
        <w:rPr>
          <w:lang w:val="en-US"/>
        </w:rPr>
      </w:pPr>
      <w:r w:rsidRPr="00976E92">
        <w:rPr>
          <w:noProof/>
          <w:lang w:eastAsia="de-DE"/>
        </w:rPr>
        <w:lastRenderedPageBreak/>
        <w:drawing>
          <wp:inline distT="0" distB="0" distL="0" distR="0" wp14:anchorId="716336C3" wp14:editId="74A7BD12">
            <wp:extent cx="4023360" cy="40115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S8.em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32260" cy="4020402"/>
                    </a:xfrm>
                    <a:prstGeom prst="rect">
                      <a:avLst/>
                    </a:prstGeom>
                  </pic:spPr>
                </pic:pic>
              </a:graphicData>
            </a:graphic>
          </wp:inline>
        </w:drawing>
      </w:r>
    </w:p>
    <w:p w14:paraId="01A56AA3" w14:textId="114DB13B" w:rsidR="004C0081" w:rsidRPr="00976E92" w:rsidRDefault="009E7BE0" w:rsidP="004639A0">
      <w:pPr>
        <w:pStyle w:val="Caption"/>
        <w:jc w:val="both"/>
        <w:rPr>
          <w:rFonts w:asciiTheme="minorBidi" w:hAnsiTheme="minorBidi"/>
          <w:i w:val="0"/>
          <w:iCs w:val="0"/>
          <w:color w:val="auto"/>
          <w:sz w:val="20"/>
          <w:szCs w:val="20"/>
          <w:lang w:val="en-US"/>
        </w:rPr>
      </w:pPr>
      <w:r w:rsidRPr="00976E92">
        <w:rPr>
          <w:rFonts w:asciiTheme="minorBidi" w:hAnsiTheme="minorBidi"/>
          <w:b/>
          <w:bCs/>
          <w:i w:val="0"/>
          <w:iCs w:val="0"/>
          <w:color w:val="auto"/>
          <w:sz w:val="20"/>
          <w:szCs w:val="20"/>
          <w:lang w:val="en-US"/>
        </w:rPr>
        <w:t>Fig. S8.</w:t>
      </w:r>
      <w:r w:rsidRPr="00976E92">
        <w:rPr>
          <w:rFonts w:asciiTheme="minorBidi" w:hAnsiTheme="minorBidi"/>
          <w:i w:val="0"/>
          <w:iCs w:val="0"/>
          <w:color w:val="auto"/>
          <w:sz w:val="20"/>
          <w:szCs w:val="20"/>
          <w:lang w:val="en-US"/>
        </w:rPr>
        <w:t xml:space="preserve"> Transient optical biref. of aq. MgCl</w:t>
      </w:r>
      <w:r w:rsidRPr="00976E92">
        <w:rPr>
          <w:rFonts w:asciiTheme="minorBidi" w:hAnsiTheme="minorBidi"/>
          <w:i w:val="0"/>
          <w:iCs w:val="0"/>
          <w:color w:val="auto"/>
          <w:sz w:val="20"/>
          <w:szCs w:val="20"/>
          <w:vertAlign w:val="subscript"/>
          <w:lang w:val="en-US"/>
        </w:rPr>
        <w:t>2</w:t>
      </w:r>
      <w:r w:rsidRPr="00976E92">
        <w:rPr>
          <w:rFonts w:asciiTheme="minorBidi" w:hAnsiTheme="minorBidi"/>
          <w:i w:val="0"/>
          <w:iCs w:val="0"/>
          <w:color w:val="auto"/>
          <w:sz w:val="20"/>
          <w:szCs w:val="20"/>
          <w:lang w:val="en-US"/>
        </w:rPr>
        <w:t xml:space="preserve"> solutions at 1M, 2M, and 4M concentrations, using simple point charge (non-polarizable) force field MD simulations. For each concentration the plot is an average of 250000 trajectories. The simulation box setup was the same as with the polarizable FFMD, the SPC water model</w:t>
      </w:r>
      <w:r w:rsidR="00713045" w:rsidRPr="00976E92">
        <w:rPr>
          <w:rFonts w:asciiTheme="minorBidi" w:hAnsiTheme="minorBidi"/>
          <w:i w:val="0"/>
          <w:iCs w:val="0"/>
          <w:color w:val="auto"/>
          <w:sz w:val="20"/>
          <w:szCs w:val="20"/>
          <w:lang w:val="en-US"/>
        </w:rPr>
        <w:fldChar w:fldCharType="begin" w:fldLock="1"/>
      </w:r>
      <w:r w:rsidR="00713045" w:rsidRPr="00976E92">
        <w:rPr>
          <w:rFonts w:asciiTheme="minorBidi" w:hAnsiTheme="minorBidi"/>
          <w:i w:val="0"/>
          <w:iCs w:val="0"/>
          <w:color w:val="auto"/>
          <w:sz w:val="20"/>
          <w:szCs w:val="20"/>
          <w:lang w:val="en-US"/>
        </w:rPr>
        <w:instrText>ADDIN CSL_CITATION {"citationItems":[{"id":"ITEM-1","itemData":{"DOI":"10.1021/j100308a038","ISSN":"00223654","abstract":"Effective pair potentials used for simulations of polar liquids include the average effects of polarization. Such potentials are generally adjusted to produce the experimental heat of vaporization. It has not been recognized before that the self-energy term inherent in any polarizable model should be included in effective pair potentials as well. Inclusion of the self-energy correction with a consequent reparametrization of the SPC (simple point charge) model of water yields an improvement of the effective pair potential for water, as exemplified by density, radial distribution functions, and diffusion constant. © 1987 American Chemical Society.","author":[{"dropping-particle":"","family":"Berendsen","given":"H. J.C.","non-dropping-particle":"","parse-names":false,"suffix":""},{"dropping-particle":"","family":"Grigera","given":"J. R.","non-dropping-particle":"","parse-names":false,"suffix":""},{"dropping-particle":"","family":"Straatsma","given":"T. P.","non-dropping-particle":"","parse-names":false,"suffix":""}],"container-title":"Journal of Physical Chemistry","id":"ITEM-1","issue":"24","issued":{"date-parts":[["1987"]]},"page":"6269-6271","title":"The missing term in effective pair potentials","type":"article-journal","volume":"91"},"uris":["http://www.mendeley.com/documents/?uuid=8bcaafda-8cf8-4012-a4f6-f0d6597126a6"]}],"mendeley":{"formattedCitation":"&lt;sup&gt;2&lt;/sup&gt;","plainTextFormattedCitation":"2","previouslyFormattedCitation":"&lt;sup&gt;2&lt;/sup&gt;"},"properties":{"noteIndex":0},"schema":"https://github.com/citation-style-language/schema/raw/master/csl-citation.json"}</w:instrText>
      </w:r>
      <w:r w:rsidR="00713045" w:rsidRPr="00976E92">
        <w:rPr>
          <w:rFonts w:asciiTheme="minorBidi" w:hAnsiTheme="minorBidi"/>
          <w:i w:val="0"/>
          <w:iCs w:val="0"/>
          <w:color w:val="auto"/>
          <w:sz w:val="20"/>
          <w:szCs w:val="20"/>
          <w:lang w:val="en-US"/>
        </w:rPr>
        <w:fldChar w:fldCharType="separate"/>
      </w:r>
      <w:r w:rsidR="00713045" w:rsidRPr="00976E92">
        <w:rPr>
          <w:rFonts w:asciiTheme="minorBidi" w:hAnsiTheme="minorBidi"/>
          <w:i w:val="0"/>
          <w:iCs w:val="0"/>
          <w:noProof/>
          <w:color w:val="auto"/>
          <w:sz w:val="20"/>
          <w:szCs w:val="20"/>
          <w:vertAlign w:val="superscript"/>
          <w:lang w:val="en-US"/>
        </w:rPr>
        <w:t>2</w:t>
      </w:r>
      <w:r w:rsidR="00713045" w:rsidRPr="00976E92">
        <w:rPr>
          <w:rFonts w:asciiTheme="minorBidi" w:hAnsiTheme="minorBidi"/>
          <w:i w:val="0"/>
          <w:iCs w:val="0"/>
          <w:color w:val="auto"/>
          <w:sz w:val="20"/>
          <w:szCs w:val="20"/>
          <w:lang w:val="en-US"/>
        </w:rPr>
        <w:fldChar w:fldCharType="end"/>
      </w:r>
      <w:r w:rsidRPr="00976E92">
        <w:rPr>
          <w:rFonts w:asciiTheme="minorBidi" w:hAnsiTheme="minorBidi"/>
          <w:i w:val="0"/>
          <w:iCs w:val="0"/>
          <w:color w:val="auto"/>
          <w:sz w:val="20"/>
          <w:szCs w:val="20"/>
          <w:lang w:val="en-US"/>
        </w:rPr>
        <w:t xml:space="preserve"> was used togeth</w:t>
      </w:r>
      <w:r w:rsidR="004639A0">
        <w:rPr>
          <w:rFonts w:asciiTheme="minorBidi" w:hAnsiTheme="minorBidi"/>
          <w:i w:val="0"/>
          <w:iCs w:val="0"/>
          <w:color w:val="auto"/>
          <w:sz w:val="20"/>
          <w:szCs w:val="20"/>
          <w:lang w:val="en-US"/>
        </w:rPr>
        <w:t>er with Amber parameters for ions</w:t>
      </w:r>
      <w:bookmarkStart w:id="0" w:name="_GoBack"/>
      <w:bookmarkEnd w:id="0"/>
      <w:r w:rsidR="00713045" w:rsidRPr="00976E92">
        <w:rPr>
          <w:rFonts w:asciiTheme="minorBidi" w:hAnsiTheme="minorBidi"/>
          <w:i w:val="0"/>
          <w:iCs w:val="0"/>
          <w:color w:val="auto"/>
          <w:sz w:val="20"/>
          <w:szCs w:val="20"/>
          <w:lang w:val="en-US"/>
        </w:rPr>
        <w:t>.</w:t>
      </w:r>
      <w:r w:rsidR="00713045" w:rsidRPr="00976E92">
        <w:rPr>
          <w:rFonts w:asciiTheme="minorBidi" w:hAnsiTheme="minorBidi"/>
          <w:i w:val="0"/>
          <w:iCs w:val="0"/>
          <w:color w:val="auto"/>
          <w:sz w:val="20"/>
          <w:szCs w:val="20"/>
          <w:lang w:val="en-US"/>
        </w:rPr>
        <w:fldChar w:fldCharType="begin" w:fldLock="1"/>
      </w:r>
      <w:r w:rsidR="00713045" w:rsidRPr="00976E92">
        <w:rPr>
          <w:rFonts w:asciiTheme="minorBidi" w:hAnsiTheme="minorBidi"/>
          <w:i w:val="0"/>
          <w:iCs w:val="0"/>
          <w:color w:val="auto"/>
          <w:sz w:val="20"/>
          <w:szCs w:val="20"/>
          <w:lang w:val="en-US"/>
        </w:rPr>
        <w:instrText>ADDIN CSL_CITATION {"citationItems":[{"id":"ITEM-1","itemData":{"DOI":"10.1021/ja00124a002","ISSN":"15205126","abstract":"We present the derivation of a new molecular mechanical force field for simulating the structures, conformational energies, and interaction energies of proteins, nucleic acids, and many related organic molecules in condensed phases. This effective two-body force field is the successor to the Weiner et al. force field and was developed with some of the same philosophies, such as the use of a simple diagonal potential function and electrostatic potential fit atom centered charges. The need for a 10–12 function for representing hydrogen bonds is no longer necessary due to the improved performance of the new charge model and new van der Waals parameters. These new charges are determined using a 6-31G* basis set and restrained electrostatic potential (RESP) fitting and have been shown to reproduce interaction energies, free energies of solvation, and conformational energies of simple small molecules to a good degree of accuracy. Furthermore, the new RESP charges exhibit less variability as a function of the molecular conformation used in the charge determination. The new van der Waals parameters have been derived from liquid simulations and include hydrogen parameters which take into account the effects of any geminal electronegative atoms. The bonded parameters developed by Weiner et al. were modified as necessary to reproduce experimental vibrational frequencies and structures. Most of the simple dihedral parameters have been retained from Weiner et al. but a complex set of ϕ and ψ parameters which do a good job of reproducing the energies of the low-energy conformations of glycyl and alanyl dipeptides has been developed for the peptide backbone. © 1995, American Chemical Society. All rights reserved.","author":[{"dropping-particle":"","family":"Cornell","given":"Wendy D.","non-dropping-particle":"","parse-names":false,"suffix":""},{"dropping-particle":"","family":"Cieplak","given":"Piotr","non-dropping-particle":"","parse-names":false,"suffix":""},{"dropping-particle":"","family":"Bayly","given":"Christopher I.","non-dropping-particle":"","parse-names":false,"suffix":""},{"dropping-particle":"","family":"Gould","given":"Ian R.","non-dropping-particle":"","parse-names":false,"suffix":""},{"dropping-particle":"","family":"Merz","given":"Kenneth M.","non-dropping-particle":"","parse-names":false,"suffix":""},{"dropping-particle":"","family":"Ferguson","given":"David M.","non-dropping-particle":"","parse-names":false,"suffix":""},{"dropping-particle":"","family":"Spellmeyer","given":"David C.","non-dropping-particle":"","parse-names":false,"suffix":""},{"dropping-particle":"","family":"Fox","given":"Thomas","non-dropping-particle":"","parse-names":false,"suffix":""},{"dropping-particle":"","family":"Caldwell","given":"James W.","non-dropping-particle":"","parse-names":false,"suffix":""},{"dropping-particle":"","family":"Kollman","given":"Peter A.","non-dropping-particle":"","parse-names":false,"suffix":""}],"container-title":"Journal of the American Chemical Society","id":"ITEM-1","issue":"19","issued":{"date-parts":[["1995"]]},"page":"5179-5197","title":"A Second Generation Force Field for the Simulation of Proteins, Nucleic Acids, and Organic Molecules","type":"article-journal","volume":"117"},"uris":["http://www.mendeley.com/documents/?uuid=888699bd-1260-4edb-845d-6201ac0b20e2"]},{"id":"ITEM-2","itemData":{"DOI":"10.1039/c7cp02557b","ISSN":"14639076","PMID":"28731091","abstract":"We present a set of Lennard-Jones parameters for classical, all-atom models of acetate and various alkylated and non-alkylated forms of sulfate, sulfonate and phosphate ions, optimized to reproduce their interactions with water and with the physiologically relevant sodium, ammonium and methylammonium cations. The parameters are internally consistent and are fully compatible with the Generalized Amber Force Field (GAFF), the AMBER force field for proteins, the accompanying TIP3P water model and the sodium model of Joung and Cheatham. The parameters were developed primarily relying on experimental information-hydration free energies and solution activity derivatives at 0.5 m concentration-with ab initio, gas phase calculations being used for the cases where experimental information is missing. The ab initio parameterization scheme presented here is distinct from other approaches because it explicitly connects gas phase binding energies to intermolecular interactions in solution. We demonstrate that the original GAFF/AMBER parameters often overestimate anion-cation interactions, leading to an excessive number of contact ion pairs in solutions of carboxylate ions, and to aggregation in solutions of divalent ions. GAFF/AMBER parameters lead to excessive numbers of salt bridges in proteins and of contact ion pairs between sodium and acidic protein groups, issues that are resolved by using the optimized parameters presented here.","author":[{"dropping-particle":"","family":"Kashefolgheta","given":"Sadra","non-dropping-particle":"","parse-names":false,"suffix":""},{"dropping-particle":"","family":"Vila Verde","given":"Ana","non-dropping-particle":"","parse-names":false,"suffix":""}],"container-title":"Physical Chemistry Chemical Physics","id":"ITEM-2","issue":"31","issued":{"date-parts":[["2017"]]},"page":"20593-20607","publisher":"Royal Society of Chemistry","title":"Developing force fields when experimental data is sparse: AMBER/GAFF-compatible parameters for inorganic and alkyl oxoanions","type":"article-journal","volume":"19"},"uris":["http://www.mendeley.com/documents/?uuid=8a0f980e-4e20-4ddd-9533-d791ead73b84"]},{"id":"ITEM-3","itemData":{"DOI":"10.1039/c8cp91863e","ISSN":"14639076","PMID":"30383057","abstract":"Table 4: In the second order perturbation theory analysis of Fock matrix in NBO basis presented in the published version of Table 4, obtained with Gaussian NBO Version 3.1, the stabilization energies for Donor(BD</w:instrText>
      </w:r>
      <w:r w:rsidR="00713045" w:rsidRPr="00976E92">
        <w:rPr>
          <w:rFonts w:ascii="Cambria Math" w:hAnsi="Cambria Math" w:cs="Cambria Math"/>
          <w:i w:val="0"/>
          <w:iCs w:val="0"/>
          <w:color w:val="auto"/>
          <w:sz w:val="20"/>
          <w:szCs w:val="20"/>
          <w:lang w:val="en-US"/>
        </w:rPr>
        <w:instrText>∗</w:instrText>
      </w:r>
      <w:r w:rsidR="00713045" w:rsidRPr="00976E92">
        <w:rPr>
          <w:rFonts w:asciiTheme="minorBidi" w:hAnsiTheme="minorBidi"/>
          <w:i w:val="0"/>
          <w:iCs w:val="0"/>
          <w:color w:val="auto"/>
          <w:sz w:val="20"/>
          <w:szCs w:val="20"/>
          <w:lang w:val="en-US"/>
        </w:rPr>
        <w:instrText>S-O) Acceptor(BD</w:instrText>
      </w:r>
      <w:r w:rsidR="00713045" w:rsidRPr="00976E92">
        <w:rPr>
          <w:rFonts w:ascii="Cambria Math" w:hAnsi="Cambria Math" w:cs="Cambria Math"/>
          <w:i w:val="0"/>
          <w:iCs w:val="0"/>
          <w:color w:val="auto"/>
          <w:sz w:val="20"/>
          <w:szCs w:val="20"/>
          <w:lang w:val="en-US"/>
        </w:rPr>
        <w:instrText>∗</w:instrText>
      </w:r>
      <w:r w:rsidR="00713045" w:rsidRPr="00976E92">
        <w:rPr>
          <w:rFonts w:asciiTheme="minorBidi" w:hAnsiTheme="minorBidi"/>
          <w:i w:val="0"/>
          <w:iCs w:val="0"/>
          <w:color w:val="auto"/>
          <w:sz w:val="20"/>
          <w:szCs w:val="20"/>
          <w:lang w:val="en-US"/>
        </w:rPr>
        <w:instrText>H-N) and Donor(BD</w:instrText>
      </w:r>
      <w:r w:rsidR="00713045" w:rsidRPr="00976E92">
        <w:rPr>
          <w:rFonts w:ascii="Cambria Math" w:hAnsi="Cambria Math" w:cs="Cambria Math"/>
          <w:i w:val="0"/>
          <w:iCs w:val="0"/>
          <w:color w:val="auto"/>
          <w:sz w:val="20"/>
          <w:szCs w:val="20"/>
          <w:lang w:val="en-US"/>
        </w:rPr>
        <w:instrText>∗</w:instrText>
      </w:r>
      <w:r w:rsidR="00713045" w:rsidRPr="00976E92">
        <w:rPr>
          <w:rFonts w:asciiTheme="minorBidi" w:hAnsiTheme="minorBidi"/>
          <w:i w:val="0"/>
          <w:iCs w:val="0"/>
          <w:color w:val="auto"/>
          <w:sz w:val="20"/>
          <w:szCs w:val="20"/>
          <w:lang w:val="en-US"/>
        </w:rPr>
        <w:instrText>P-O)1 Acceptor(BD</w:instrText>
      </w:r>
      <w:r w:rsidR="00713045" w:rsidRPr="00976E92">
        <w:rPr>
          <w:rFonts w:ascii="Cambria Math" w:hAnsi="Cambria Math" w:cs="Cambria Math"/>
          <w:i w:val="0"/>
          <w:iCs w:val="0"/>
          <w:color w:val="auto"/>
          <w:sz w:val="20"/>
          <w:szCs w:val="20"/>
          <w:lang w:val="en-US"/>
        </w:rPr>
        <w:instrText>∗</w:instrText>
      </w:r>
      <w:r w:rsidR="00713045" w:rsidRPr="00976E92">
        <w:rPr>
          <w:rFonts w:asciiTheme="minorBidi" w:hAnsiTheme="minorBidi"/>
          <w:i w:val="0"/>
          <w:iCs w:val="0"/>
          <w:color w:val="auto"/>
          <w:sz w:val="20"/>
          <w:szCs w:val="20"/>
          <w:lang w:val="en-US"/>
        </w:rPr>
        <w:instrText>H-N) should not be considered. Those energies were calculated with expression E(2), which is not valid because the BD</w:instrText>
      </w:r>
      <w:r w:rsidR="00713045" w:rsidRPr="00976E92">
        <w:rPr>
          <w:rFonts w:ascii="Cambria Math" w:hAnsi="Cambria Math" w:cs="Cambria Math"/>
          <w:i w:val="0"/>
          <w:iCs w:val="0"/>
          <w:color w:val="auto"/>
          <w:sz w:val="20"/>
          <w:szCs w:val="20"/>
          <w:lang w:val="en-US"/>
        </w:rPr>
        <w:instrText>∗</w:instrText>
      </w:r>
      <w:r w:rsidR="00713045" w:rsidRPr="00976E92">
        <w:rPr>
          <w:rFonts w:asciiTheme="minorBidi" w:hAnsiTheme="minorBidi"/>
          <w:i w:val="0"/>
          <w:iCs w:val="0"/>
          <w:color w:val="auto"/>
          <w:sz w:val="20"/>
          <w:szCs w:val="20"/>
          <w:lang w:val="en-US"/>
        </w:rPr>
        <w:instrText xml:space="preserve"> orbitals have very similar energies: when such energy degeneracy occurs, it invalidates the perturbative analysis and the small value of the denominator results in excessively high estimates of the stabilization energy. We communicated with the developers of the NBO6 program, who clarified that the only interactions that matter are those involving CR, LP, and BD donors. BD</w:instrText>
      </w:r>
      <w:r w:rsidR="00713045" w:rsidRPr="00976E92">
        <w:rPr>
          <w:rFonts w:ascii="Cambria Math" w:hAnsi="Cambria Math" w:cs="Cambria Math"/>
          <w:i w:val="0"/>
          <w:iCs w:val="0"/>
          <w:color w:val="auto"/>
          <w:sz w:val="20"/>
          <w:szCs w:val="20"/>
          <w:lang w:val="en-US"/>
        </w:rPr>
        <w:instrText>∗</w:instrText>
      </w:r>
      <w:r w:rsidR="00713045" w:rsidRPr="00976E92">
        <w:rPr>
          <w:rFonts w:asciiTheme="minorBidi" w:hAnsiTheme="minorBidi"/>
          <w:i w:val="0"/>
          <w:iCs w:val="0"/>
          <w:color w:val="auto"/>
          <w:sz w:val="20"/>
          <w:szCs w:val="20"/>
          <w:lang w:val="en-US"/>
        </w:rPr>
        <w:instrText xml:space="preserve"> donors should be ignored as is already done in newer versions of NBO, where second order perturbation analysis is performed for CR, LP, and BD donors only. Therefore we removed the entries for BD</w:instrText>
      </w:r>
      <w:r w:rsidR="00713045" w:rsidRPr="00976E92">
        <w:rPr>
          <w:rFonts w:ascii="Cambria Math" w:hAnsi="Cambria Math" w:cs="Cambria Math"/>
          <w:i w:val="0"/>
          <w:iCs w:val="0"/>
          <w:color w:val="auto"/>
          <w:sz w:val="20"/>
          <w:szCs w:val="20"/>
          <w:lang w:val="en-US"/>
        </w:rPr>
        <w:instrText>∗</w:instrText>
      </w:r>
      <w:r w:rsidR="00713045" w:rsidRPr="00976E92">
        <w:rPr>
          <w:rFonts w:asciiTheme="minorBidi" w:hAnsiTheme="minorBidi"/>
          <w:i w:val="0"/>
          <w:iCs w:val="0"/>
          <w:color w:val="auto"/>
          <w:sz w:val="20"/>
          <w:szCs w:val="20"/>
          <w:lang w:val="en-US"/>
        </w:rPr>
        <w:instrText xml:space="preserve"> donors from the revised version of Table 4 (below). We thank an anonymous reviewer for drawing our attention to this issue. We also modified the contributions to the stabilization energy arising from the interactions between Donor(LP(1-3)O) and Acceptor(BD</w:instrText>
      </w:r>
      <w:r w:rsidR="00713045" w:rsidRPr="00976E92">
        <w:rPr>
          <w:rFonts w:ascii="Cambria Math" w:hAnsi="Cambria Math" w:cs="Cambria Math"/>
          <w:i w:val="0"/>
          <w:iCs w:val="0"/>
          <w:color w:val="auto"/>
          <w:sz w:val="20"/>
          <w:szCs w:val="20"/>
          <w:lang w:val="en-US"/>
        </w:rPr>
        <w:instrText>∗</w:instrText>
      </w:r>
      <w:r w:rsidR="00713045" w:rsidRPr="00976E92">
        <w:rPr>
          <w:rFonts w:asciiTheme="minorBidi" w:hAnsiTheme="minorBidi"/>
          <w:i w:val="0"/>
          <w:iCs w:val="0"/>
          <w:color w:val="auto"/>
          <w:sz w:val="20"/>
          <w:szCs w:val="20"/>
          <w:lang w:val="en-US"/>
        </w:rPr>
        <w:instrText>H-N) in orientation I: whereas previously we had calculated these contributions2 by considering the lone pair with largest stabilization energy, now we consider each of the three lone pairs of oxygen as a donor, and the anti-bondings of nitrogen with each of the hydrogens as acceptors, as described in the footnote of the revised version of Table 4, to account for all the stabilization contributions. To allow readers to re-evaluate any quantities of interest from scratch, we now provide the full output from the NBO analysis we performed (NBO-output.tar) as ESI. The changes we now submit in the revised version of Table 4 alter the values of the stabilization energies in orientation I, but do not alter the main conclusions to be drawn from them: the new values remain very high. Because high stabilization energies are not expected between two ions in solution, this orientation should not be used to develop ion parameters for the solution phase following our methodology as we indicated in the paper. Fig. 8 and Table S5 (ESI): In this figure and table, the correct formula for the sodium acetate salt is NaCH3COO instead of NaCH3COOH.","author":[{"dropping-particle":"","family":"Kashefolgheta","given":"Sadra","non-dropping-particle":"","parse-names":false,"suffix":""},{"dropping-particle":"","family":"Vila Verde","given":"Ana","non-dropping-particle":"","parse-names":false,"suffix":""}],"container-title":"Physical Chemistry Chemical Physics","id":"ITEM-3","issue":"44","issued":{"date-parts":[["2018"]]},"page":"28346-28347","publisher":"Royal Society of Chemistry","title":"Correction: Developing force fields when experimental data is sparse: AMBER/GAFF-compatible parameters for inorganic and alkyl oxoanions (Physical Chemistry Chemical Physics (2017) 19 (20593-20607) DOI: 10.1039/C7CP02557B)","type":"article-journal","volume":"20"},"uris":["http://www.mendeley.com/documents/?uuid=78044aab-dd9d-4e14-af58-231bdbdc4349"]}],"mendeley":{"formattedCitation":"&lt;sup&gt;3–5&lt;/sup&gt;","plainTextFormattedCitation":"3–5","previouslyFormattedCitation":"&lt;sup&gt;3–5&lt;/sup&gt;"},"properties":{"noteIndex":0},"schema":"https://github.com/citation-style-language/schema/raw/master/csl-citation.json"}</w:instrText>
      </w:r>
      <w:r w:rsidR="00713045" w:rsidRPr="00976E92">
        <w:rPr>
          <w:rFonts w:asciiTheme="minorBidi" w:hAnsiTheme="minorBidi"/>
          <w:i w:val="0"/>
          <w:iCs w:val="0"/>
          <w:color w:val="auto"/>
          <w:sz w:val="20"/>
          <w:szCs w:val="20"/>
          <w:lang w:val="en-US"/>
        </w:rPr>
        <w:fldChar w:fldCharType="separate"/>
      </w:r>
      <w:r w:rsidR="00713045" w:rsidRPr="00976E92">
        <w:rPr>
          <w:rFonts w:asciiTheme="minorBidi" w:hAnsiTheme="minorBidi"/>
          <w:i w:val="0"/>
          <w:iCs w:val="0"/>
          <w:noProof/>
          <w:color w:val="auto"/>
          <w:sz w:val="20"/>
          <w:szCs w:val="20"/>
          <w:vertAlign w:val="superscript"/>
          <w:lang w:val="en-US"/>
        </w:rPr>
        <w:t>3–5</w:t>
      </w:r>
      <w:r w:rsidR="00713045" w:rsidRPr="00976E92">
        <w:rPr>
          <w:rFonts w:asciiTheme="minorBidi" w:hAnsiTheme="minorBidi"/>
          <w:i w:val="0"/>
          <w:iCs w:val="0"/>
          <w:color w:val="auto"/>
          <w:sz w:val="20"/>
          <w:szCs w:val="20"/>
          <w:lang w:val="en-US"/>
        </w:rPr>
        <w:fldChar w:fldCharType="end"/>
      </w:r>
    </w:p>
    <w:p w14:paraId="6537E48C" w14:textId="77777777" w:rsidR="004C0081" w:rsidRPr="00976E92" w:rsidRDefault="004C0081" w:rsidP="004C0081">
      <w:pPr>
        <w:spacing w:before="120" w:after="120"/>
        <w:jc w:val="both"/>
        <w:rPr>
          <w:lang w:val="en-US"/>
        </w:rPr>
      </w:pPr>
      <w:r w:rsidRPr="00976E92">
        <w:rPr>
          <w:rFonts w:asciiTheme="majorBidi" w:hAnsiTheme="majorBidi" w:cstheme="majorBidi"/>
          <w:b/>
          <w:bCs/>
          <w:sz w:val="24"/>
          <w:szCs w:val="24"/>
          <w:lang w:val="en-US"/>
        </w:rPr>
        <w:t>Molecular Dynamics simulations.</w:t>
      </w:r>
    </w:p>
    <w:p w14:paraId="2C47AD6C" w14:textId="19B65060" w:rsidR="004C0081" w:rsidRPr="00976E92" w:rsidRDefault="004C0081" w:rsidP="00727147">
      <w:pPr>
        <w:spacing w:before="120" w:after="120"/>
        <w:jc w:val="both"/>
        <w:rPr>
          <w:rFonts w:ascii="Times New Roman" w:hAnsi="Times New Roman"/>
          <w:color w:val="000000"/>
          <w:lang w:val="en-US"/>
        </w:rPr>
      </w:pPr>
      <w:r w:rsidRPr="00976E92">
        <w:rPr>
          <w:rFonts w:ascii="Times New Roman" w:hAnsi="Times New Roman" w:cstheme="majorBidi"/>
          <w:b/>
          <w:bCs/>
          <w:color w:val="000000"/>
          <w:lang w:val="en-US"/>
        </w:rPr>
        <w:t>Polarizable force field MD:</w:t>
      </w:r>
      <w:r w:rsidRPr="00976E92">
        <w:rPr>
          <w:rFonts w:ascii="Times New Roman" w:hAnsi="Times New Roman" w:cstheme="majorBidi"/>
          <w:color w:val="000000"/>
          <w:lang w:val="en-US"/>
        </w:rPr>
        <w:t xml:space="preserve">  We performed polarizable force field molecular dynamics simulations on three different aqueous systems: pure liquid water (as reference), MgCl</w:t>
      </w:r>
      <w:r w:rsidRPr="00976E92">
        <w:rPr>
          <w:rFonts w:ascii="Times New Roman" w:hAnsi="Times New Roman" w:cstheme="majorBidi"/>
          <w:color w:val="000000"/>
          <w:vertAlign w:val="subscript"/>
          <w:lang w:val="en-US"/>
        </w:rPr>
        <w:t>2</w:t>
      </w:r>
      <w:r w:rsidRPr="00976E92">
        <w:rPr>
          <w:rFonts w:ascii="Times New Roman" w:hAnsi="Times New Roman" w:cstheme="majorBidi"/>
          <w:color w:val="000000"/>
          <w:lang w:val="en-US"/>
        </w:rPr>
        <w:t xml:space="preserve"> (1M, 2M and 4M) and Na</w:t>
      </w:r>
      <w:r w:rsidRPr="00976E92">
        <w:rPr>
          <w:rFonts w:ascii="Times New Roman" w:hAnsi="Times New Roman" w:cstheme="majorBidi"/>
          <w:color w:val="000000"/>
          <w:vertAlign w:val="subscript"/>
          <w:lang w:val="en-US"/>
        </w:rPr>
        <w:t>2</w:t>
      </w:r>
      <w:r w:rsidRPr="00976E92">
        <w:rPr>
          <w:rFonts w:ascii="Times New Roman" w:hAnsi="Times New Roman" w:cstheme="majorBidi"/>
          <w:color w:val="000000"/>
          <w:lang w:val="en-US"/>
        </w:rPr>
        <w:t>SO</w:t>
      </w:r>
      <w:r w:rsidRPr="00976E92">
        <w:rPr>
          <w:rFonts w:ascii="Times New Roman" w:hAnsi="Times New Roman" w:cstheme="majorBidi"/>
          <w:color w:val="000000"/>
          <w:vertAlign w:val="subscript"/>
          <w:lang w:val="en-US"/>
        </w:rPr>
        <w:t>4</w:t>
      </w:r>
      <w:r w:rsidRPr="00976E92">
        <w:rPr>
          <w:rFonts w:ascii="Times New Roman" w:hAnsi="Times New Roman" w:cstheme="majorBidi"/>
          <w:color w:val="000000"/>
          <w:lang w:val="en-US"/>
        </w:rPr>
        <w:t xml:space="preserve"> (1M).  Table I lists the details of the simulated systems. Simulations were performed under fully periodic boundary conditions and a time step of 0.4 fs. Initial configurations were uniformly sampled from equilibrated canonical ensemble MD simulations. All simulations were initially performed under the microcanonical ensemble, and then a THz electric field pulse identical to the one used in our experiment was applied in the x-direction after </w:t>
      </w:r>
      <w:r w:rsidR="00727147" w:rsidRPr="00976E92">
        <w:rPr>
          <w:rFonts w:ascii="Times New Roman" w:hAnsi="Times New Roman" w:cstheme="majorBidi"/>
          <w:color w:val="000000"/>
          <w:lang w:val="en-US"/>
        </w:rPr>
        <w:t>0.1</w:t>
      </w:r>
      <w:r w:rsidRPr="00976E92">
        <w:rPr>
          <w:rFonts w:ascii="Times New Roman" w:hAnsi="Times New Roman" w:cstheme="majorBidi"/>
          <w:color w:val="000000"/>
          <w:lang w:val="en-US"/>
        </w:rPr>
        <w:t xml:space="preserve"> ps. In order to improve the signal-to-noise ratio we have used a pulse amplitude that is eight times stronger than the experimental one. </w:t>
      </w:r>
    </w:p>
    <w:p w14:paraId="54D4C48D" w14:textId="0FBE90BB" w:rsidR="004C0081" w:rsidRPr="00976E92" w:rsidRDefault="004C0081" w:rsidP="00512374">
      <w:pPr>
        <w:spacing w:before="120" w:after="120"/>
        <w:jc w:val="both"/>
        <w:rPr>
          <w:rFonts w:ascii="Times New Roman" w:hAnsi="Times New Roman"/>
          <w:color w:val="000000"/>
          <w:lang w:val="en-US"/>
        </w:rPr>
      </w:pPr>
      <w:r w:rsidRPr="00976E92">
        <w:rPr>
          <w:rFonts w:ascii="Times New Roman" w:hAnsi="Times New Roman" w:cstheme="majorBidi"/>
          <w:color w:val="000000"/>
          <w:lang w:val="en-US"/>
        </w:rPr>
        <w:t>Simulations were performed using the TINKER software</w:t>
      </w:r>
      <w:r w:rsidR="0037648F" w:rsidRPr="00976E92">
        <w:rPr>
          <w:rFonts w:ascii="Times New Roman" w:hAnsi="Times New Roman" w:cstheme="majorBidi"/>
          <w:color w:val="000000"/>
          <w:lang w:val="en-US"/>
        </w:rPr>
        <w:fldChar w:fldCharType="begin" w:fldLock="1"/>
      </w:r>
      <w:r w:rsidR="0037648F" w:rsidRPr="00976E92">
        <w:rPr>
          <w:rFonts w:ascii="Times New Roman" w:hAnsi="Times New Roman" w:cstheme="majorBidi"/>
          <w:color w:val="000000"/>
          <w:lang w:val="en-US"/>
        </w:rPr>
        <w:instrText>ADDIN CSL_CITATION {"citationItems":[{"id":"ITEM-1","itemData":{"DOI":"10.1021/acs.jctc.8b00529","ISSN":"15499626","PMID":"30176213","abstract":"The Tinker software, currently released as version 8, is a modular molecular mechanics and dynamics package written primarily in a standard, easily portable dialect of Fortran 95 with OpenMP extensions. It supports a wide variety of force fields, including polarizable models such as the Atomic Multipole Optimized Energetics for Biomolecular Applications (AMOEBA) force field. The package runs on Linux, macOS, and Windows systems. In addition to canonical Tinker, there are branches, Tinker-HP and Tinker-OpenMM, designed for use on message passing interface (MPI) parallel distributed memory supercomputers and state-of-the-art graphical processing units (GPUs), respectively. The Tinker suite also includes a tightly integrated Java-based graphical user interface called Force Field Explorer (FFE), which provides molecular visualization capabilities as well as the ability to launch and control Tinker calculations.","author":[{"dropping-particle":"","family":"Rackers","given":"Joshua A.","non-dropping-particle":"","parse-names":false,"suffix":""},{"dropping-particle":"","family":"Wang","given":"Zhi","non-dropping-particle":"","parse-names":false,"suffix":""},{"dropping-particle":"","family":"Lu","given":"Chao","non-dropping-particle":"","parse-names":false,"suffix":""},{"dropping-particle":"","family":"Laury","given":"Marie L.","non-dropping-particle":"","parse-names":false,"suffix":""},{"dropping-particle":"","family":"Lagardère","given":"Louis","non-dropping-particle":"","parse-names":false,"suffix":""},{"dropping-particle":"","family":"Schnieders","given":"Michael J.","non-dropping-particle":"","parse-names":false,"suffix":""},{"dropping-particle":"","family":"Piquemal","given":"Jean Philip","non-dropping-particle":"","parse-names":false,"suffix":""},{"dropping-particle":"","family":"Ren","given":"Pengyu","non-dropping-particle":"","parse-names":false,"suffix":""},{"dropping-particle":"","family":"Ponder","given":"Jay W.","non-dropping-particle":"","parse-names":false,"suffix":""}],"container-title":"Journal of Chemical Theory and Computation","id":"ITEM-1","issue":"10","issued":{"date-parts":[["2018"]]},"page":"5273-5289","title":"Tinker 8: Software Tools for Molecular Design","type":"article-journal","volume":"14"},"uris":["http://www.mendeley.com/documents/?uuid=b387f714-61db-4368-b1e0-d796afee791d"]},{"id":"ITEM-2","itemData":{"URL":"https://github.com/TinkerTools/Tinker","author":[{"dropping-particle":"","family":"Tinker","given":"","non-dropping-particle":"","parse-names":false,"suffix":""}],"id":"ITEM-2","issued":{"date-parts":[["0"]]},"title":"No Title","type":"webpage"},"uris":["http://www.mendeley.com/documents/?uuid=94ee79eb-450a-45fa-b831-10c698763f21"]}],"mendeley":{"formattedCitation":"&lt;sup&gt;6,7&lt;/sup&gt;","plainTextFormattedCitation":"6,7","previouslyFormattedCitation":"&lt;sup&gt;6,7&lt;/sup&gt;"},"properties":{"noteIndex":0},"schema":"https://github.com/citation-style-language/schema/raw/master/csl-citation.json"}</w:instrText>
      </w:r>
      <w:r w:rsidR="0037648F" w:rsidRPr="00976E92">
        <w:rPr>
          <w:rFonts w:ascii="Times New Roman" w:hAnsi="Times New Roman" w:cstheme="majorBidi"/>
          <w:color w:val="000000"/>
          <w:lang w:val="en-US"/>
        </w:rPr>
        <w:fldChar w:fldCharType="separate"/>
      </w:r>
      <w:r w:rsidR="0037648F" w:rsidRPr="00976E92">
        <w:rPr>
          <w:rFonts w:ascii="Times New Roman" w:hAnsi="Times New Roman" w:cstheme="majorBidi"/>
          <w:noProof/>
          <w:color w:val="000000"/>
          <w:vertAlign w:val="superscript"/>
          <w:lang w:val="en-US"/>
        </w:rPr>
        <w:t>6,7</w:t>
      </w:r>
      <w:r w:rsidR="0037648F" w:rsidRPr="00976E92">
        <w:rPr>
          <w:rFonts w:ascii="Times New Roman" w:hAnsi="Times New Roman" w:cstheme="majorBidi"/>
          <w:color w:val="000000"/>
          <w:lang w:val="en-US"/>
        </w:rPr>
        <w:fldChar w:fldCharType="end"/>
      </w:r>
      <w:r w:rsidRPr="00976E92">
        <w:rPr>
          <w:rFonts w:ascii="Times New Roman" w:hAnsi="Times New Roman" w:cstheme="majorBidi"/>
          <w:color w:val="000000"/>
          <w:lang w:val="en-US"/>
        </w:rPr>
        <w:t xml:space="preserve"> using double precision floating point precision. The velocity-verlet algorithm was employed to time-propagate the positions and velocities of atoms. The amoeba force field parameter set ‘amoebanuc17’ was used.</w:t>
      </w:r>
      <w:r w:rsidR="0037648F" w:rsidRPr="00976E92">
        <w:rPr>
          <w:rFonts w:ascii="Times New Roman" w:hAnsi="Times New Roman" w:cstheme="majorBidi"/>
          <w:color w:val="000000"/>
          <w:lang w:val="en-US"/>
        </w:rPr>
        <w:fldChar w:fldCharType="begin" w:fldLock="1"/>
      </w:r>
      <w:r w:rsidR="0037648F" w:rsidRPr="00976E92">
        <w:rPr>
          <w:rFonts w:ascii="Times New Roman" w:hAnsi="Times New Roman" w:cstheme="majorBidi"/>
          <w:color w:val="000000"/>
          <w:lang w:val="en-US"/>
        </w:rPr>
        <w:instrText>ADDIN CSL_CITATION {"citationItems":[{"id":"ITEM-1","itemData":{"DOI":"10.1021/jp910674d","ISSN":"15205207","abstract":"Molecular force fields have been approaching a generational transition over the past several years, moving away from well-established and well-tuned, but intrinsically limited, fixed point charge models toward more intricate and expensive polarizable models that should allow more accurate description of molecular properties. The recently introduced AMOEBA force field is a leading publicly available example of this next generation of theoretical model, but to date, it has only received relatively limited validation, which we address here. We show that the AMOEBA force field is in fact a significant improvement over fixed charge models for small molecule structural and thermodynamic observables in particular, although further fine-tuning is necessary to describe solvation free energies of drug-like small molecules, dynamical properties away from ambient conditions, and possible improvements in aromatic interactions. State of the art electronic structure calculations reveal generally very good agreement with AMOEBA for demanding problems such as relative conformational energies of the alanine tetrapeptide and isomers of water sulfate complexes. AMOEBA is shown to be especially successful on protein-ligand binding and computational X-ray crystallography where polarization and accurate electrostatics are critical. © 2010 American Chemical Society.","author":[{"dropping-particle":"","family":"Ponder","given":"Jay W.","non-dropping-particle":"","parse-names":false,"suffix":""},{"dropping-particle":"","family":"Wu","given":"Chuanjie","non-dropping-particle":"","parse-names":false,"suffix":""},{"dropping-particle":"","family":"Ren","given":"Pengyu","non-dropping-particle":"","parse-names":false,"suffix":""},{"dropping-particle":"","family":"Pande","given":"Vijay S.","non-dropping-particle":"","parse-names":false,"suffix":""},{"dropping-particle":"","family":"Chodera","given":"John D.","non-dropping-particle":"","parse-names":false,"suffix":""},{"dropping-particle":"","family":"Schnieders","given":"Michael J.","non-dropping-particle":"","parse-names":false,"suffix":""},{"dropping-particle":"","family":"Haque","given":"Imran","non-dropping-particle":"","parse-names":false,"suffix":""},{"dropping-particle":"","family":"Mobley","given":"David L.","non-dropping-particle":"","parse-names":false,"suffix":""},{"dropping-particle":"","family":"Lambrecht","given":"Daniel S.","non-dropping-particle":"","parse-names":false,"suffix":""},{"dropping-particle":"","family":"Distasio","given":"Robert A.","non-dropping-particle":"","parse-names":false,"suffix":""},{"dropping-particle":"","family":"Head-Gordon","given":"Martin","non-dropping-particle":"","parse-names":false,"suffix":""},{"dropping-particle":"","family":"Clark","given":"Gary N.I.","non-dropping-particle":"","parse-names":false,"suffix":""},{"dropping-particle":"","family":"Johnson","given":"Margaret E.","non-dropping-particle":"","parse-names":false,"suffix":""},{"dropping-particle":"","family":"Head-Gordon","given":"Teresa","non-dropping-particle":"","parse-names":false,"suffix":""}],"container-title":"Journal of Physical Chemistry B","id":"ITEM-1","issue":"8","issued":{"date-parts":[["2010"]]},"page":"2549-2564","title":"Current status of the AMOEBA polarizable force field","type":"article-journal","volume":"114"},"uris":["http://www.mendeley.com/documents/?uuid=6911e00d-632a-42f7-a6d2-c34e7f848acc"]},{"id":"ITEM-2","itemData":{"DOI":"10.1021/ja037005r","ISSN":"00027863","PMID":"14664617","abstract":"Thermodynamic measurements of the solvation of salts and electrolytes are relatively straight-forward, but it is not possible to separate total solvation free energies into distinct cation and anion contributions without reference to an additional extrathermodynamic assumption. The present work attempts to resolve this difficulty using molecular dynamics simulations with the AMOEBA polarizable force field and perturbation techniques to directly compute absolute solvation free energies for potassium, sodium, and chloride ions in liquid water and formamide. Corresponding calculations are also performed with two widely used nonpolarizable force fields. The simulations with the polarizable force field accurately reproduce in vacuo quantum mechanical results, experimental ion-cluster solvation enthalpies, and experimental solvation free energies for whole salts, while the other force fields do not. The results indicate that calculations with a polarizable force field can capture the thermodynamics of ion solvation and that the solvation free energies of the individual ions differ by several kilocalories from commonly cited values.","author":[{"dropping-particle":"","family":"Grossfield","given":"Alan","non-dropping-particle":"","parse-names":false,"suffix":""},{"dropping-particle":"","family":"Ren","given":"Pengyu","non-dropping-particle":"","parse-names":false,"suffix":""},{"dropping-particle":"","family":"Ponder","given":"Jay W.","non-dropping-particle":"","parse-names":false,"suffix":""}],"container-title":"Journal of the American Chemical Society","id":"ITEM-2","issue":"50","issued":{"date-parts":[["2003"]]},"page":"15671-15682","title":"Ion Solvation Thermodynamics from Simulation with a Polarizable Force Field","type":"article-journal","volume":"125"},"uris":["http://www.mendeley.com/documents/?uuid=c19cd60f-8f7d-4c17-833c-52d382e2045d"]},{"id":"ITEM-3","itemData":{"DOI":"10.1063/1.4923338","ISSN":"00219606","PMID":"26156485","author":[{"dropping-particle":"","family":"Ren","given":"Pengyu","non-dropping-particle":"","parse-names":false,"suffix":""},{"dropping-particle":"","family":"Ponder","given":"Jay. W.","non-dropping-particle":"","parse-names":false,"suffix":""}],"container-title":"Journal of Physical Chemistry B","id":"ITEM-3","issued":{"date-parts":[["2003"]]},"page":"5933-5947","title":"Polarizable Atomic Multipole Water Model for Molecular Mechanics Simulation","type":"article-journal","volume":"107"},"uris":["http://www.mendeley.com/documents/?uuid=1af85eaa-9c74-4e06-8cce-dd8075304719"]},{"id":"ITEM-4","itemData":{"DOI":"10.1021/ct4003702","ISSN":"15499618","abstract":"Development of the AMOEBA (atomic multipole optimized energetics for biomolecular simulation) force field for proteins is presented. The current version (AMOEBA-2013) utilizes permanent electrostatic multipole moments through the quadrupole at each atom, and explicitly treats polarization effects in various chemical and physical environments. The atomic multipole electrostatic parameters for each amino acid residue type are derived from high-level gas phase quantum mechanical calculations via a consistent and extensible protocol. Molecular polarizability is modeled via a Thole-style damped interactive induction model based upon distributed atomic polarizabilities. Inter- and intramolecular polarization is treated in a consistent fashion via the Thole model. The intramolecular polarization model ensures transferability of electrostatic parameters among different conformations, as demonstrated by the agreement between QM and AMOEBA electrostatic potentials, and dipole moments of dipeptides. The backbone and side chain torsional parameters were determined by comparing to gas-phase QM (RI-TRIM MP2/CBS) conformational energies of dipeptides and to statistical distributions from the Protein Data Bank. Molecular dynamics simulations are reported for short peptides in explicit water to examine their conformational properties in solution. Overall the calculated conformational free energies and J-coupling constants are consistent with PDB statistics and experimental NMR results, respectively. In addition, the experimental crystal structures of a number of proteins are well maintained during molecular dynamics (MD) simulation. While further calculations are necessary to fully validate the force field, initial results suggest the AMOEBA polarizable multipole force field is able to describe the structure and energetics of peptides and proteins, in both gas-phase and solution environments. © 2013 American Chemical Society.","author":[{"dropping-particle":"","family":"Shi","given":"Yue","non-dropping-particle":"","parse-names":false,"suffix":""},{"dropping-particle":"","family":"Xia","given":"Zhen","non-dropping-particle":"","parse-names":false,"suffix":""},{"dropping-particle":"","family":"Zhang","given":"Jiajing","non-dropping-particle":"","parse-names":false,"suffix":""},{"dropping-particle":"","family":"Best","given":"Robert","non-dropping-particle":"","parse-names":false,"suffix":""},{"dropping-particle":"","family":"Wu","given":"Chuanjie","non-dropping-particle":"","parse-names":false,"suffix":""},{"dropping-particle":"","family":"Ponder","given":"Jay W.","non-dropping-particle":"","parse-names":false,"suffix":""},{"dropping-particle":"","family":"Ren","given":"Pengyu","non-dropping-particle":"","parse-names":false,"suffix":""}],"container-title":"Journal of Chemical Theory and Computation","id":"ITEM-4","issue":"9","issued":{"date-parts":[["2013"]]},"page":"4046-4063","title":"Polarizable atomic multipole-based AMOEBA force field for proteins","type":"article-journal","volume":"9"},"uris":["http://www.mendeley.com/documents/?uuid=df8b738c-891a-4746-a5c6-84eab01d7abb"]}],"mendeley":{"formattedCitation":"&lt;sup&gt;8–11&lt;/sup&gt;","plainTextFormattedCitation":"8–11","previouslyFormattedCitation":"&lt;sup&gt;8–11&lt;/sup&gt;"},"properties":{"noteIndex":0},"schema":"https://github.com/citation-style-language/schema/raw/master/csl-citation.json"}</w:instrText>
      </w:r>
      <w:r w:rsidR="0037648F" w:rsidRPr="00976E92">
        <w:rPr>
          <w:rFonts w:ascii="Times New Roman" w:hAnsi="Times New Roman" w:cstheme="majorBidi"/>
          <w:color w:val="000000"/>
          <w:lang w:val="en-US"/>
        </w:rPr>
        <w:fldChar w:fldCharType="separate"/>
      </w:r>
      <w:r w:rsidR="0037648F" w:rsidRPr="00976E92">
        <w:rPr>
          <w:rFonts w:ascii="Times New Roman" w:hAnsi="Times New Roman" w:cstheme="majorBidi"/>
          <w:noProof/>
          <w:color w:val="000000"/>
          <w:vertAlign w:val="superscript"/>
          <w:lang w:val="en-US"/>
        </w:rPr>
        <w:t>8–11</w:t>
      </w:r>
      <w:r w:rsidR="0037648F" w:rsidRPr="00976E92">
        <w:rPr>
          <w:rFonts w:ascii="Times New Roman" w:hAnsi="Times New Roman" w:cstheme="majorBidi"/>
          <w:color w:val="000000"/>
          <w:lang w:val="en-US"/>
        </w:rPr>
        <w:fldChar w:fldCharType="end"/>
      </w:r>
      <w:r w:rsidRPr="00976E92">
        <w:rPr>
          <w:rFonts w:ascii="Times New Roman" w:hAnsi="Times New Roman" w:cstheme="majorBidi"/>
          <w:color w:val="000000"/>
          <w:lang w:val="en-US"/>
        </w:rPr>
        <w:t xml:space="preserve"> For the sulphate ion, the parameters were taken from ref.</w:t>
      </w:r>
      <w:r w:rsidR="0037648F" w:rsidRPr="00976E92">
        <w:rPr>
          <w:rFonts w:ascii="Times New Roman" w:hAnsi="Times New Roman" w:cstheme="majorBidi"/>
          <w:color w:val="000000"/>
          <w:lang w:val="en-US"/>
        </w:rPr>
        <w:fldChar w:fldCharType="begin" w:fldLock="1"/>
      </w:r>
      <w:r w:rsidR="0037648F" w:rsidRPr="00976E92">
        <w:rPr>
          <w:rFonts w:ascii="Times New Roman" w:hAnsi="Times New Roman" w:cstheme="majorBidi"/>
          <w:color w:val="000000"/>
          <w:lang w:val="en-US"/>
        </w:rPr>
        <w:instrText>ADDIN CSL_CITATION {"citationItems":[{"id":"ITEM-1","itemData":{"DOI":"10.1021/jp206064n","ISSN":"10895639","PMID":"21888323","abstract":"We present a reinvestigation of sulfate-water clusters SO4 2- (H 2O) n=3-7, which involves several new aspects. Using a joint molecular mechanics/first principles approach, we perform exhaustive searches for stable cluster geometries, showing that the sulfate-water landscape is much richer than anticipated previously. We check the compatibility of the new structures with experiment by comparing vertical detachment energies (VDEs) calculated at the B3LYP/6-311++G* level of theory and determine the energetic ordering of the isomers at the RI-MP2/aug-cc-pVTZ level. Our results are benchmarked carefully against reference energies of estimated CCSD(T)/aug-cc-VTZ quality and VDEs of CCSD(T)/aug-cc-pVDZ quality. Furthermore, we calculate anharmonic vibrational corrections for up to the n = 6 clusters, which are shown to be significant for isomer energy ordering. We use energy decomposition analysis (EDA) based on the absolutely localized fragment (ALMO) expansion to gain chemical insight into the binding motifs. © 2011 American Chemical Society.","author":[{"dropping-particle":"","family":"Lambrecht","given":"Daniel S.","non-dropping-particle":"","parse-names":false,"suffix":""},{"dropping-particle":"","family":"Clark","given":"Gary N.I.","non-dropping-particle":"","parse-names":false,"suffix":""},{"dropping-particle":"","family":"Head-Gordon","given":"Teresa","non-dropping-particle":"","parse-names":false,"suffix":""},{"dropping-particle":"","family":"Head-Gordon","given":"Martin","non-dropping-particle":"","parse-names":false,"suffix":""}],"container-title":"Journal of Physical Chemistry A","id":"ITEM-1","issue":"41","issued":{"date-parts":[["2011"]]},"page":"11438-11454","title":"Exploring the rich energy landscape of sulfate-water clusters SO 42- (H 2O) n=3-7: An electronic structure approach","type":"article-journal","volume":"115"},"uris":["http://www.mendeley.com/documents/?uuid=2e452f3f-7585-40d5-8c3c-aeb27049da45"]}],"mendeley":{"formattedCitation":"&lt;sup&gt;12&lt;/sup&gt;","plainTextFormattedCitation":"12","previouslyFormattedCitation":"&lt;sup&gt;12&lt;/sup&gt;"},"properties":{"noteIndex":0},"schema":"https://github.com/citation-style-language/schema/raw/master/csl-citation.json"}</w:instrText>
      </w:r>
      <w:r w:rsidR="0037648F" w:rsidRPr="00976E92">
        <w:rPr>
          <w:rFonts w:ascii="Times New Roman" w:hAnsi="Times New Roman" w:cstheme="majorBidi"/>
          <w:color w:val="000000"/>
          <w:lang w:val="en-US"/>
        </w:rPr>
        <w:fldChar w:fldCharType="separate"/>
      </w:r>
      <w:r w:rsidR="0037648F" w:rsidRPr="00976E92">
        <w:rPr>
          <w:rFonts w:ascii="Times New Roman" w:hAnsi="Times New Roman" w:cstheme="majorBidi"/>
          <w:noProof/>
          <w:color w:val="000000"/>
          <w:vertAlign w:val="superscript"/>
          <w:lang w:val="en-US"/>
        </w:rPr>
        <w:t>12</w:t>
      </w:r>
      <w:r w:rsidR="0037648F" w:rsidRPr="00976E92">
        <w:rPr>
          <w:rFonts w:ascii="Times New Roman" w:hAnsi="Times New Roman" w:cstheme="majorBidi"/>
          <w:color w:val="000000"/>
          <w:lang w:val="en-US"/>
        </w:rPr>
        <w:fldChar w:fldCharType="end"/>
      </w:r>
      <w:r w:rsidRPr="00976E92">
        <w:rPr>
          <w:rFonts w:ascii="Times New Roman" w:hAnsi="Times New Roman" w:cstheme="majorBidi"/>
          <w:color w:val="000000"/>
          <w:lang w:val="en-US"/>
        </w:rPr>
        <w:t xml:space="preserve"> A buffered 14-7 potential</w:t>
      </w:r>
      <w:r w:rsidR="0037648F" w:rsidRPr="00976E92">
        <w:rPr>
          <w:rFonts w:ascii="Times New Roman" w:hAnsi="Times New Roman" w:cstheme="majorBidi"/>
          <w:color w:val="000000"/>
          <w:lang w:val="en-US"/>
        </w:rPr>
        <w:fldChar w:fldCharType="begin" w:fldLock="1"/>
      </w:r>
      <w:r w:rsidR="0037648F" w:rsidRPr="00976E92">
        <w:rPr>
          <w:rFonts w:ascii="Times New Roman" w:hAnsi="Times New Roman" w:cstheme="majorBidi"/>
          <w:color w:val="000000"/>
          <w:lang w:val="en-US"/>
        </w:rPr>
        <w:instrText>ADDIN CSL_CITATION {"citationItems":[{"id":"ITEM-1","itemData":{"author":[{"dropping-particle":"","family":"Halgren","given":"Thomas A","non-dropping-particle":"","parse-names":false,"suffix":""}],"id":"ITEM-1","issued":{"date-parts":[["1992"]]},"page":"7827-7843","title":"Representation of van der Waals (vdW) Interactions in Molecular Mechanics Force Fields: Potential Form, Combination Rules, and vdW Parameters","type":"article-journal","volume":"114"},"uris":["http://www.mendeley.com/documents/?uuid=61cf5ac1-5f0d-4a05-ace4-eb8224700cbd"]}],"mendeley":{"formattedCitation":"&lt;sup&gt;13&lt;/sup&gt;","plainTextFormattedCitation":"13","previouslyFormattedCitation":"&lt;sup&gt;13&lt;/sup&gt;"},"properties":{"noteIndex":0},"schema":"https://github.com/citation-style-language/schema/raw/master/csl-citation.json"}</w:instrText>
      </w:r>
      <w:r w:rsidR="0037648F" w:rsidRPr="00976E92">
        <w:rPr>
          <w:rFonts w:ascii="Times New Roman" w:hAnsi="Times New Roman" w:cstheme="majorBidi"/>
          <w:color w:val="000000"/>
          <w:lang w:val="en-US"/>
        </w:rPr>
        <w:fldChar w:fldCharType="separate"/>
      </w:r>
      <w:r w:rsidR="0037648F" w:rsidRPr="00976E92">
        <w:rPr>
          <w:rFonts w:ascii="Times New Roman" w:hAnsi="Times New Roman" w:cstheme="majorBidi"/>
          <w:noProof/>
          <w:color w:val="000000"/>
          <w:vertAlign w:val="superscript"/>
          <w:lang w:val="en-US"/>
        </w:rPr>
        <w:t>13</w:t>
      </w:r>
      <w:r w:rsidR="0037648F" w:rsidRPr="00976E92">
        <w:rPr>
          <w:rFonts w:ascii="Times New Roman" w:hAnsi="Times New Roman" w:cstheme="majorBidi"/>
          <w:color w:val="000000"/>
          <w:lang w:val="en-US"/>
        </w:rPr>
        <w:fldChar w:fldCharType="end"/>
      </w:r>
      <w:r w:rsidR="0037648F" w:rsidRPr="00976E92">
        <w:rPr>
          <w:rFonts w:ascii="Times New Roman" w:hAnsi="Times New Roman" w:cstheme="majorBidi"/>
          <w:color w:val="000000"/>
          <w:lang w:val="en-US"/>
        </w:rPr>
        <w:t xml:space="preserve"> </w:t>
      </w:r>
      <w:r w:rsidRPr="00976E92">
        <w:rPr>
          <w:rFonts w:ascii="Times New Roman" w:hAnsi="Times New Roman" w:cstheme="majorBidi"/>
          <w:color w:val="000000"/>
          <w:lang w:val="en-US"/>
        </w:rPr>
        <w:t>was used to include the effects of short-range repulsion-dispersion interaction. Short-range interactions were truncated at 9 Å, whereas the smooth particle mesh Ewald</w:t>
      </w:r>
      <w:r w:rsidR="0037648F" w:rsidRPr="00976E92">
        <w:rPr>
          <w:rFonts w:ascii="Times New Roman" w:hAnsi="Times New Roman" w:cstheme="majorBidi"/>
          <w:color w:val="000000"/>
          <w:lang w:val="en-US"/>
        </w:rPr>
        <w:fldChar w:fldCharType="begin" w:fldLock="1"/>
      </w:r>
      <w:r w:rsidR="0037648F" w:rsidRPr="00976E92">
        <w:rPr>
          <w:rFonts w:ascii="Times New Roman" w:hAnsi="Times New Roman" w:cstheme="majorBidi"/>
          <w:color w:val="000000"/>
          <w:lang w:val="en-US"/>
        </w:rPr>
        <w:instrText>ADDIN CSL_CITATION {"citationItems":[{"id":"ITEM-1","itemData":{"DOI":"10.1063/1.470117","ISSN":"00219606","abstract":"The previously developed particle mesh Ewald method is reformulated in terms of efficient B-spline interpolation of the structure factors. This reformulation allows a natural extension of the method to potentials of the form 1/rp with p≥1. Furthermore, efficient calculation of the virial tensor follows. Use of B-splines in place of Lagrange interpolation leads to analytic gradients as well as a significant improvement in the accuracy. We demonstrate that arbitrary accuracy can be achieved, independent of system size N, at a cost that scales as N log(N). For biomolecular systems with many thousands of atoms this method permits the use of Ewald summation at a computational cost comparable to that of a simple truncation method of 10 Å or less. © 1995 American Institute of Physics.","author":[{"dropping-particle":"","family":"Essmann","given":"Ulrich","non-dropping-particle":"","parse-names":false,"suffix":""},{"dropping-particle":"","family":"Perera","given":"Lalith","non-dropping-particle":"","parse-names":false,"suffix":""},{"dropping-particle":"","family":"Berkowitz","given":"Max L.","non-dropping-particle":"","parse-names":false,"suffix":""},{"dropping-particle":"","family":"Darden","given":"Tom","non-dropping-particle":"","parse-names":false,"suffix":""},{"dropping-particle":"","family":"Lee","given":"Hsing","non-dropping-particle":"","parse-names":false,"suffix":""},{"dropping-particle":"","family":"Pedersen","given":"Lee G.","non-dropping-particle":"","parse-names":false,"suffix":""}],"container-title":"The Journal of Chemical Physics","id":"ITEM-1","issue":"19","issued":{"date-parts":[["1995"]]},"page":"8577-8593","title":"A smooth particle mesh Ewald method","type":"article-journal","volume":"103"},"uris":["http://www.mendeley.com/documents/?uuid=8a9de941-f3ce-460b-b7c8-f3805e103b4c"]}],"mendeley":{"formattedCitation":"&lt;sup&gt;14&lt;/sup&gt;","plainTextFormattedCitation":"14","previouslyFormattedCitation":"&lt;sup&gt;14&lt;/sup&gt;"},"properties":{"noteIndex":0},"schema":"https://github.com/citation-style-language/schema/raw/master/csl-citation.json"}</w:instrText>
      </w:r>
      <w:r w:rsidR="0037648F" w:rsidRPr="00976E92">
        <w:rPr>
          <w:rFonts w:ascii="Times New Roman" w:hAnsi="Times New Roman" w:cstheme="majorBidi"/>
          <w:color w:val="000000"/>
          <w:lang w:val="en-US"/>
        </w:rPr>
        <w:fldChar w:fldCharType="separate"/>
      </w:r>
      <w:r w:rsidR="0037648F" w:rsidRPr="00976E92">
        <w:rPr>
          <w:rFonts w:ascii="Times New Roman" w:hAnsi="Times New Roman" w:cstheme="majorBidi"/>
          <w:noProof/>
          <w:color w:val="000000"/>
          <w:vertAlign w:val="superscript"/>
          <w:lang w:val="en-US"/>
        </w:rPr>
        <w:t>14</w:t>
      </w:r>
      <w:r w:rsidR="0037648F" w:rsidRPr="00976E92">
        <w:rPr>
          <w:rFonts w:ascii="Times New Roman" w:hAnsi="Times New Roman" w:cstheme="majorBidi"/>
          <w:color w:val="000000"/>
          <w:lang w:val="en-US"/>
        </w:rPr>
        <w:fldChar w:fldCharType="end"/>
      </w:r>
      <w:r w:rsidRPr="00976E92">
        <w:rPr>
          <w:rFonts w:ascii="Times New Roman" w:hAnsi="Times New Roman" w:cstheme="majorBidi"/>
          <w:color w:val="000000"/>
          <w:lang w:val="en-US"/>
        </w:rPr>
        <w:t xml:space="preserve"> was employed to treat the long-range electrostatic interactions. The mutual induced dipoles were computed using the conjugate gradients method</w:t>
      </w:r>
      <w:r w:rsidR="0037648F" w:rsidRPr="00976E92">
        <w:rPr>
          <w:rFonts w:ascii="Times New Roman" w:hAnsi="Times New Roman" w:cstheme="majorBidi"/>
          <w:color w:val="000000"/>
          <w:lang w:val="en-US"/>
        </w:rPr>
        <w:fldChar w:fldCharType="begin" w:fldLock="1"/>
      </w:r>
      <w:r w:rsidR="0037648F" w:rsidRPr="00976E92">
        <w:rPr>
          <w:rFonts w:ascii="Times New Roman" w:hAnsi="Times New Roman" w:cstheme="majorBidi"/>
          <w:color w:val="000000"/>
          <w:lang w:val="en-US"/>
        </w:rPr>
        <w:instrText>ADDIN CSL_CITATION {"citationItems":[{"id":"ITEM-1","itemData":{"DOI":"10.1021/acs.jctc.6b00981","ISSN":"15499626","PMID":"28068773","abstract":"We introduce a new class of methods, denoted as Truncated Conjugate Gradient(TCG), to solve the many-body polarization energy and its associated forces in molecular simulations (i.e. molecular dynamics (MD) and Monte Carlo). The method consists in a fixed number of Conjugate Gradient (CG) iterations. TCG approaches provide a scalable solution to the polarization problem at a user-chosen cost and a corresponding optimal accuracy. The optimality of the CG-method guarantees that the number of the required matrix-vector products are reduced to a minimum compared to other iterative methods. This family of methods is non-empirical, fully adaptive, and provides analytical gradients, avoiding therefore any energy drift in MD as compared to popular iterative solvers. Besides speed, one great advantage of this class of approximate methods is that their accuracy is systematically improvable. Indeed, as the CG-method is a Krylov subspace method, the associated error is monotonically reduced at each iteration. On top of that, two improvements can be proposed at virtually no cost: (i) the use of preconditioners can be employed, which leads to the Truncated Preconditioned Conjugate Gradient (TPCG); (ii) since the residual of the final step of the CG-method is available, one additional Picard fixed point iteration (\"peek\"), equivalent to one step of Jacobi Over Relaxation (JOR) with relaxation parameter ω, can be made at almost no cost. This method is denoted by TCG-n(ω). Black-box adaptive methods to find good choices of ω are provided and discussed. Results show that TPCG-3(ω) is converged to high accuracy (a few kcal/ mol) for various types of systems including proteins and highly charged systems at the fixed cost of four matrix-vector products: three CG iterations plus the initial CG descent direction. Alternatively, T(P)CG-2(ω) provides robust results at a reduced cost (three matrix-vector products) and offers new perspectives for long polarizable MD as a production algorithm. The T(P)CG- 1(ω) level provides less accurate solutions for inhomogeneous systems, but its applicability to well-conditioned problems such as water is remarkable, with only two matrix-vector product evaluations.","author":[{"dropping-particle":"","family":"Aviat","given":"Félix","non-dropping-particle":"","parse-names":false,"suffix":""},{"dropping-particle":"","family":"Levitt","given":"Antoine","non-dropping-particle":"","parse-names":false,"suffix":""},{"dropping-particle":"","family":"Stamm","given":"Benjamin","non-dropping-particle":"","parse-names":false,"suffix":""},{"dropping-particle":"","family":"Maday","given":"Yvon","non-dropping-particle":"","parse-names":false,"suffix":""},{"dropping-particle":"","family":"Ren","given":"Pengyu","non-dropping-particle":"","parse-names":false,"suffix":""},{"dropping-particle":"","family":"Ponder","given":"Jay W.","non-dropping-particle":"","parse-names":false,"suffix":""},{"dropping-particle":"","family":"Lagardère","given":"Louis","non-dropping-particle":"","parse-names":false,"suffix":""},{"dropping-particle":"","family":"Piquemal","given":"Jean Philip","non-dropping-particle":"","parse-names":false,"suffix":""}],"container-title":"Journal of Chemical Theory and Computation","id":"ITEM-1","issue":"1","issued":{"date-parts":[["2017"]]},"page":"180-190","title":"Truncated conjugate gradient: An optimal strategy for the analytical evaluation of the many-body polarization energy and forces in molecular simulations","type":"article-journal","volume":"13"},"uris":["http://www.mendeley.com/documents/?uuid=3d79525c-1888-448b-a737-3b42666f8371"]},{"id":"ITEM-2","itemData":{"DOI":"10.1063/1.2056544","ISSN":"00219606","PMID":"16268681","abstract":"Polarizability is considered to be the single most significant development in the next generation of force fields for biomolecular simulations. However, the self-consistent computation of induced atomic dipoles in a polarizable force field is expensive due to the cost of solving a large dense linear system at each step of a simulation. This article introduces methods that reduce the cost of computing the electrostatic energy and force of a polarizable model from about 7.5 times the cost of computing those of a nonpolarizable model to less than twice the cost. This is probably sufficient for the routine use of polarizable forces in biomolecular simulations. The reduction in computing time is achieved by an efficient implementation of the particle-mesh Ewald method, an accurate and robust predictor based on least-squares fitting, and non-stationary iterative methods whose fast convergence is accelerated by a simple preconditioner. Furthermore, with these methods, the self-consistent approach with a larger timestep is shown to be faster than the extended Lagrangian approach. The use of dipole moments from previous timesteps to calculate an accurate initial guess for iterative methods leads to an energy drift, which can be made acceptably small. The use of a zero initial guess does not lead to perceptible energy drift if a reasonably strict convergence criterion for the iteration is imposed. © 2005 American Institute of Physics.","author":[{"dropping-particle":"","family":"Wang","given":"Wei","non-dropping-particle":"","parse-names":false,"suffix":""},{"dropping-particle":"","family":"Skeel","given":"Robert D.","non-dropping-particle":"","parse-names":false,"suffix":""}],"container-title":"Journal of Chemical Physics","id":"ITEM-2","issue":"16","issued":{"date-parts":[["2005"]]},"title":"Fast evaluation of polarizable forces","type":"article-journal","volume":"123"},"uris":["http://www.mendeley.com/documents/?uuid=d8760962-5a37-456b-8cb3-d2bea3b68e20"]}],"mendeley":{"formattedCitation":"&lt;sup&gt;15,16&lt;/sup&gt;","plainTextFormattedCitation":"15,16","previouslyFormattedCitation":"&lt;sup&gt;15,16&lt;/sup&gt;"},"properties":{"noteIndex":0},"schema":"https://github.com/citation-style-language/schema/raw/master/csl-citation.json"}</w:instrText>
      </w:r>
      <w:r w:rsidR="0037648F" w:rsidRPr="00976E92">
        <w:rPr>
          <w:rFonts w:ascii="Times New Roman" w:hAnsi="Times New Roman" w:cstheme="majorBidi"/>
          <w:color w:val="000000"/>
          <w:lang w:val="en-US"/>
        </w:rPr>
        <w:fldChar w:fldCharType="separate"/>
      </w:r>
      <w:r w:rsidR="0037648F" w:rsidRPr="00976E92">
        <w:rPr>
          <w:rFonts w:ascii="Times New Roman" w:hAnsi="Times New Roman" w:cstheme="majorBidi"/>
          <w:noProof/>
          <w:color w:val="000000"/>
          <w:vertAlign w:val="superscript"/>
          <w:lang w:val="en-US"/>
        </w:rPr>
        <w:t>15,16</w:t>
      </w:r>
      <w:r w:rsidR="0037648F" w:rsidRPr="00976E92">
        <w:rPr>
          <w:rFonts w:ascii="Times New Roman" w:hAnsi="Times New Roman" w:cstheme="majorBidi"/>
          <w:color w:val="000000"/>
          <w:lang w:val="en-US"/>
        </w:rPr>
        <w:fldChar w:fldCharType="end"/>
      </w:r>
      <w:r w:rsidRPr="00976E92">
        <w:rPr>
          <w:rFonts w:ascii="Times New Roman" w:hAnsi="Times New Roman" w:cstheme="majorBidi"/>
          <w:color w:val="000000"/>
          <w:lang w:val="en-US"/>
        </w:rPr>
        <w:t xml:space="preserve"> with a tolerance of 0.00001 Debye.</w:t>
      </w:r>
      <w:r w:rsidR="0037648F" w:rsidRPr="00976E92">
        <w:rPr>
          <w:rFonts w:ascii="Times New Roman" w:hAnsi="Times New Roman" w:cstheme="majorBidi"/>
          <w:color w:val="000000"/>
          <w:lang w:val="en-US"/>
        </w:rPr>
        <w:t xml:space="preserve"> </w:t>
      </w:r>
      <w:r w:rsidRPr="00976E92">
        <w:rPr>
          <w:rFonts w:ascii="Times New Roman" w:hAnsi="Times New Roman" w:cstheme="majorBidi"/>
          <w:color w:val="000000"/>
          <w:lang w:val="en-US"/>
        </w:rPr>
        <w:t xml:space="preserve">For inclusion of the external electric field E in energy and force calculations in TINKER, we have </w:t>
      </w:r>
      <w:r w:rsidRPr="00976E92">
        <w:rPr>
          <w:rFonts w:ascii="Times New Roman" w:eastAsia="Calibri" w:hAnsi="Times New Roman" w:cstheme="majorBidi"/>
          <w:color w:val="000000"/>
          <w:lang w:val="en-US"/>
        </w:rPr>
        <w:t>introduced</w:t>
      </w:r>
      <w:r w:rsidRPr="00976E92">
        <w:rPr>
          <w:rFonts w:ascii="Times New Roman" w:hAnsi="Times New Roman" w:cstheme="majorBidi"/>
          <w:color w:val="000000"/>
          <w:lang w:val="en-US"/>
        </w:rPr>
        <w:t xml:space="preserve"> the electric force term </w:t>
      </w:r>
      <m:oMath>
        <m:r>
          <w:rPr>
            <w:rFonts w:ascii="Cambria Math" w:hAnsi="Cambria Math"/>
          </w:rPr>
          <m:t>F</m:t>
        </m:r>
        <m:r>
          <w:rPr>
            <w:rFonts w:ascii="Cambria Math" w:hAnsi="Cambria Math"/>
            <w:lang w:val="en-US"/>
          </w:rPr>
          <m:t>=</m:t>
        </m:r>
        <m:sSub>
          <m:sSubPr>
            <m:ctrlPr>
              <w:rPr>
                <w:rFonts w:ascii="Cambria Math" w:hAnsi="Cambria Math"/>
              </w:rPr>
            </m:ctrlPr>
          </m:sSubPr>
          <m:e>
            <m:r>
              <w:rPr>
                <w:rFonts w:ascii="Cambria Math" w:hAnsi="Cambria Math"/>
              </w:rPr>
              <m:t>k</m:t>
            </m:r>
          </m:e>
          <m:sub>
            <m:r>
              <w:rPr>
                <w:rFonts w:ascii="Cambria Math" w:hAnsi="Cambria Math"/>
                <w:lang w:val="en-US"/>
              </w:rPr>
              <m:t>1</m:t>
            </m:r>
          </m:sub>
        </m:sSub>
        <m:r>
          <w:rPr>
            <w:rFonts w:ascii="Cambria Math" w:hAnsi="Cambria Math"/>
          </w:rPr>
          <m:t>qE</m:t>
        </m:r>
      </m:oMath>
      <w:r w:rsidRPr="00976E92">
        <w:rPr>
          <w:rFonts w:ascii="Times New Roman" w:hAnsi="Times New Roman" w:cstheme="majorBidi"/>
          <w:color w:val="000000"/>
          <w:lang w:val="en-US"/>
        </w:rPr>
        <w:t xml:space="preserve">  and induced dipole term </w:t>
      </w:r>
      <m:oMath>
        <m:r>
          <w:rPr>
            <w:rFonts w:ascii="Cambria Math" w:hAnsi="Cambria Math"/>
          </w:rPr>
          <m:t>μ</m:t>
        </m:r>
        <m:r>
          <w:rPr>
            <w:rFonts w:ascii="Cambria Math" w:hAnsi="Cambria Math"/>
            <w:lang w:val="en-US"/>
          </w:rPr>
          <m:t>=</m:t>
        </m:r>
        <m:sSub>
          <m:sSubPr>
            <m:ctrlPr>
              <w:rPr>
                <w:rFonts w:ascii="Cambria Math" w:hAnsi="Cambria Math"/>
              </w:rPr>
            </m:ctrlPr>
          </m:sSubPr>
          <m:e>
            <m:r>
              <w:rPr>
                <w:rFonts w:ascii="Cambria Math" w:hAnsi="Cambria Math"/>
              </w:rPr>
              <m:t>k</m:t>
            </m:r>
          </m:e>
          <m:sub>
            <m:r>
              <w:rPr>
                <w:rFonts w:ascii="Cambria Math" w:hAnsi="Cambria Math"/>
                <w:lang w:val="en-US"/>
              </w:rPr>
              <m:t>2</m:t>
            </m:r>
          </m:sub>
        </m:sSub>
        <m:r>
          <w:rPr>
            <w:rFonts w:ascii="Cambria Math" w:hAnsi="Cambria Math"/>
          </w:rPr>
          <m:t>αE</m:t>
        </m:r>
      </m:oMath>
      <w:r w:rsidRPr="00976E92">
        <w:rPr>
          <w:rFonts w:ascii="Times New Roman" w:hAnsi="Times New Roman" w:cstheme="majorBidi"/>
          <w:color w:val="000000"/>
          <w:lang w:val="en-US"/>
        </w:rPr>
        <w:t xml:space="preserve">. The constants </w:t>
      </w:r>
      <m:oMath>
        <m:sSub>
          <m:sSubPr>
            <m:ctrlPr>
              <w:rPr>
                <w:rFonts w:ascii="Cambria Math" w:hAnsi="Cambria Math"/>
              </w:rPr>
            </m:ctrlPr>
          </m:sSubPr>
          <m:e>
            <m:r>
              <w:rPr>
                <w:rFonts w:ascii="Cambria Math" w:hAnsi="Cambria Math"/>
              </w:rPr>
              <m:t>k</m:t>
            </m:r>
          </m:e>
          <m:sub>
            <m:r>
              <w:rPr>
                <w:rFonts w:ascii="Cambria Math" w:hAnsi="Cambria Math"/>
                <w:lang w:val="en-US"/>
              </w:rPr>
              <m:t>1</m:t>
            </m:r>
          </m:sub>
        </m:sSub>
      </m:oMath>
      <w:r w:rsidRPr="00976E92">
        <w:rPr>
          <w:rFonts w:ascii="Times New Roman" w:hAnsi="Times New Roman" w:cstheme="majorBidi"/>
          <w:color w:val="000000"/>
          <w:lang w:val="en-US"/>
        </w:rPr>
        <w:t xml:space="preserve"> = 1185.85 and </w:t>
      </w:r>
      <m:oMath>
        <m:sSub>
          <m:sSubPr>
            <m:ctrlPr>
              <w:rPr>
                <w:rFonts w:ascii="Cambria Math" w:hAnsi="Cambria Math"/>
              </w:rPr>
            </m:ctrlPr>
          </m:sSubPr>
          <m:e>
            <m:r>
              <w:rPr>
                <w:rFonts w:ascii="Cambria Math" w:hAnsi="Cambria Math"/>
              </w:rPr>
              <m:t>k</m:t>
            </m:r>
          </m:e>
          <m:sub>
            <m:r>
              <w:rPr>
                <w:rFonts w:ascii="Cambria Math" w:hAnsi="Cambria Math"/>
                <w:lang w:val="en-US"/>
              </w:rPr>
              <m:t>2</m:t>
            </m:r>
          </m:sub>
        </m:sSub>
      </m:oMath>
      <w:r w:rsidRPr="00976E92">
        <w:rPr>
          <w:rFonts w:ascii="Times New Roman" w:hAnsi="Times New Roman" w:cstheme="majorBidi"/>
          <w:color w:val="000000"/>
          <w:lang w:val="en-US"/>
        </w:rPr>
        <w:t xml:space="preserve"> = 3.567 give the forces and dipoles in kcal per angstrom per mol and Å</w:t>
      </w:r>
      <w:r w:rsidRPr="00976E92">
        <w:rPr>
          <w:rFonts w:ascii="Times New Roman" w:hAnsi="Times New Roman" w:cstheme="majorBidi"/>
          <w:color w:val="000000"/>
          <w:vertAlign w:val="superscript"/>
          <w:lang w:val="en-US"/>
        </w:rPr>
        <w:t>2</w:t>
      </w:r>
      <w:r w:rsidRPr="00976E92">
        <w:rPr>
          <w:rFonts w:ascii="Times New Roman" w:hAnsi="Times New Roman" w:cstheme="majorBidi"/>
          <w:color w:val="000000"/>
          <w:lang w:val="en-US"/>
        </w:rPr>
        <w:t xml:space="preserve">, when the electric field E and polarizability </w:t>
      </w:r>
      <m:oMath>
        <m:r>
          <w:rPr>
            <w:rFonts w:ascii="Cambria Math" w:hAnsi="Cambria Math"/>
          </w:rPr>
          <m:t>α</m:t>
        </m:r>
      </m:oMath>
      <w:r w:rsidRPr="00976E92">
        <w:rPr>
          <w:rFonts w:ascii="Times New Roman" w:hAnsi="Times New Roman" w:cstheme="majorBidi"/>
          <w:color w:val="000000"/>
          <w:lang w:val="en-US"/>
        </w:rPr>
        <w:t xml:space="preserve"> are in atomic unit and Å</w:t>
      </w:r>
      <w:r w:rsidRPr="00976E92">
        <w:rPr>
          <w:rFonts w:ascii="Times New Roman" w:hAnsi="Times New Roman" w:cstheme="majorBidi"/>
          <w:color w:val="000000"/>
          <w:vertAlign w:val="superscript"/>
          <w:lang w:val="en-US"/>
        </w:rPr>
        <w:t>3</w:t>
      </w:r>
      <w:r w:rsidRPr="00976E92">
        <w:rPr>
          <w:rFonts w:ascii="Times New Roman" w:hAnsi="Times New Roman" w:cstheme="majorBidi"/>
          <w:color w:val="000000"/>
          <w:lang w:val="en-US"/>
        </w:rPr>
        <w:t>. The existing implementation of conjugate gradients minimization in TINKER was utilized to compute the mutual induced dipoles that produce the local field at each molecule.</w:t>
      </w:r>
    </w:p>
    <w:p w14:paraId="01853788" w14:textId="04E8B865" w:rsidR="004C0081" w:rsidRPr="00976E92" w:rsidRDefault="004C0081" w:rsidP="004C0081">
      <w:pPr>
        <w:spacing w:before="120" w:after="120"/>
        <w:jc w:val="both"/>
        <w:rPr>
          <w:rFonts w:cstheme="majorBidi"/>
          <w:lang w:val="en-US"/>
        </w:rPr>
      </w:pPr>
      <w:r w:rsidRPr="00976E92">
        <w:rPr>
          <w:rFonts w:ascii="Times New Roman" w:hAnsi="Times New Roman" w:cstheme="majorBidi"/>
          <w:color w:val="000000"/>
          <w:lang w:val="en-US"/>
        </w:rPr>
        <w:lastRenderedPageBreak/>
        <w:t>The time-dependent polarizability anisotropy results reported in this work were averaged over 25000 trajectories. For all our analyses involving hydrogen bonds, we have used a standard hydrogen bond definition  (O-O distance &lt; 3.5 Å and an hydrogen bond angle &lt; 30 Degree).</w:t>
      </w:r>
      <w:r w:rsidR="0037648F" w:rsidRPr="00976E92">
        <w:rPr>
          <w:rFonts w:ascii="Times New Roman" w:hAnsi="Times New Roman" w:cstheme="majorBidi"/>
          <w:color w:val="000000"/>
          <w:lang w:val="en-US"/>
        </w:rPr>
        <w:fldChar w:fldCharType="begin" w:fldLock="1"/>
      </w:r>
      <w:r w:rsidR="0037648F" w:rsidRPr="00976E92">
        <w:rPr>
          <w:rFonts w:ascii="Times New Roman" w:hAnsi="Times New Roman" w:cstheme="majorBidi"/>
          <w:color w:val="000000"/>
          <w:lang w:val="en-US"/>
        </w:rPr>
        <w:instrText>ADDIN CSL_CITATION {"citationItems":[{"id":"ITEM-1","itemData":{"author":[{"dropping-particle":"","family":"Luzar","given":"Alenka","non-dropping-particle":"","parse-names":false,"suffix":""},{"dropping-particle":"","family":"Chandler","given":"David","non-dropping-particle":"","parse-names":false,"suffix":""}],"container-title":"Nature","id":"ITEM-1","issued":{"date-parts":[["1996"]]},"page":"55-57","title":"Hydrogen-bond kinetics in liquid water","type":"article-journal","volume":"379"},"uris":["http://www.mendeley.com/documents/?uuid=b938b23e-0335-4293-aba1-7a15c9434219"]}],"mendeley":{"formattedCitation":"&lt;sup&gt;17&lt;/sup&gt;","plainTextFormattedCitation":"17","previouslyFormattedCitation":"&lt;sup&gt;17&lt;/sup&gt;"},"properties":{"noteIndex":0},"schema":"https://github.com/citation-style-language/schema/raw/master/csl-citation.json"}</w:instrText>
      </w:r>
      <w:r w:rsidR="0037648F" w:rsidRPr="00976E92">
        <w:rPr>
          <w:rFonts w:ascii="Times New Roman" w:hAnsi="Times New Roman" w:cstheme="majorBidi"/>
          <w:color w:val="000000"/>
          <w:lang w:val="en-US"/>
        </w:rPr>
        <w:fldChar w:fldCharType="separate"/>
      </w:r>
      <w:r w:rsidR="0037648F" w:rsidRPr="00976E92">
        <w:rPr>
          <w:rFonts w:ascii="Times New Roman" w:hAnsi="Times New Roman" w:cstheme="majorBidi"/>
          <w:noProof/>
          <w:color w:val="000000"/>
          <w:vertAlign w:val="superscript"/>
          <w:lang w:val="en-US"/>
        </w:rPr>
        <w:t>17</w:t>
      </w:r>
      <w:r w:rsidR="0037648F" w:rsidRPr="00976E92">
        <w:rPr>
          <w:rFonts w:ascii="Times New Roman" w:hAnsi="Times New Roman" w:cstheme="majorBidi"/>
          <w:color w:val="000000"/>
          <w:lang w:val="en-US"/>
        </w:rPr>
        <w:fldChar w:fldCharType="end"/>
      </w:r>
    </w:p>
    <w:p w14:paraId="6EB01BDE" w14:textId="77777777" w:rsidR="004C0081" w:rsidRPr="00976E92" w:rsidRDefault="004C0081" w:rsidP="004C0081">
      <w:pPr>
        <w:jc w:val="both"/>
        <w:rPr>
          <w:rFonts w:ascii="Times New Roman" w:hAnsi="Times New Roman"/>
          <w:color w:val="000000"/>
          <w:lang w:val="en-US"/>
        </w:rPr>
      </w:pPr>
      <w:r w:rsidRPr="00976E92">
        <w:rPr>
          <w:rFonts w:ascii="Times New Roman" w:eastAsia="Calibri" w:hAnsi="Times New Roman" w:cs="Times New Roman"/>
          <w:color w:val="000000"/>
          <w:lang w:val="en-US"/>
        </w:rPr>
        <w:t>Table I: Simulated systems with their concentration, proportion and box length. PFFMD=polarizable force field MD. The number of simulated trajectories of each solution is given between brackets.</w:t>
      </w:r>
    </w:p>
    <w:tbl>
      <w:tblPr>
        <w:tblW w:w="0" w:type="dxa"/>
        <w:tblInd w:w="-110" w:type="dxa"/>
        <w:tblLayout w:type="fixed"/>
        <w:tblCellMar>
          <w:top w:w="55" w:type="dxa"/>
          <w:left w:w="55" w:type="dxa"/>
          <w:bottom w:w="55" w:type="dxa"/>
          <w:right w:w="55" w:type="dxa"/>
        </w:tblCellMar>
        <w:tblLook w:val="04A0" w:firstRow="1" w:lastRow="0" w:firstColumn="1" w:lastColumn="0" w:noHBand="0" w:noVBand="1"/>
      </w:tblPr>
      <w:tblGrid>
        <w:gridCol w:w="1499"/>
        <w:gridCol w:w="1523"/>
        <w:gridCol w:w="1507"/>
        <w:gridCol w:w="1514"/>
        <w:gridCol w:w="1516"/>
        <w:gridCol w:w="2136"/>
      </w:tblGrid>
      <w:tr w:rsidR="004C0081" w:rsidRPr="004639A0" w14:paraId="643C438C" w14:textId="77777777" w:rsidTr="004C0081">
        <w:tc>
          <w:tcPr>
            <w:tcW w:w="1499" w:type="dxa"/>
            <w:tcBorders>
              <w:top w:val="single" w:sz="4" w:space="0" w:color="000000"/>
              <w:left w:val="single" w:sz="4" w:space="0" w:color="000000"/>
              <w:bottom w:val="single" w:sz="4" w:space="0" w:color="000000"/>
              <w:right w:val="nil"/>
            </w:tcBorders>
            <w:hideMark/>
          </w:tcPr>
          <w:p w14:paraId="752A0E14"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Ionic solution</w:t>
            </w:r>
          </w:p>
        </w:tc>
        <w:tc>
          <w:tcPr>
            <w:tcW w:w="1523" w:type="dxa"/>
            <w:tcBorders>
              <w:top w:val="single" w:sz="4" w:space="0" w:color="000000"/>
              <w:left w:val="single" w:sz="4" w:space="0" w:color="000000"/>
              <w:bottom w:val="single" w:sz="4" w:space="0" w:color="000000"/>
              <w:right w:val="nil"/>
            </w:tcBorders>
            <w:hideMark/>
          </w:tcPr>
          <w:p w14:paraId="696B195D"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Concentration (mol/L)</w:t>
            </w:r>
          </w:p>
        </w:tc>
        <w:tc>
          <w:tcPr>
            <w:tcW w:w="1507" w:type="dxa"/>
            <w:tcBorders>
              <w:top w:val="single" w:sz="4" w:space="0" w:color="000000"/>
              <w:left w:val="single" w:sz="4" w:space="0" w:color="000000"/>
              <w:bottom w:val="single" w:sz="4" w:space="0" w:color="000000"/>
              <w:right w:val="nil"/>
            </w:tcBorders>
            <w:hideMark/>
          </w:tcPr>
          <w:p w14:paraId="4CB8E79D"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No of ions</w:t>
            </w:r>
          </w:p>
        </w:tc>
        <w:tc>
          <w:tcPr>
            <w:tcW w:w="1514" w:type="dxa"/>
            <w:tcBorders>
              <w:top w:val="single" w:sz="4" w:space="0" w:color="000000"/>
              <w:left w:val="single" w:sz="4" w:space="0" w:color="000000"/>
              <w:bottom w:val="single" w:sz="4" w:space="0" w:color="000000"/>
              <w:right w:val="nil"/>
            </w:tcBorders>
            <w:hideMark/>
          </w:tcPr>
          <w:p w14:paraId="6C9A6246"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No of H</w:t>
            </w:r>
            <w:r w:rsidRPr="00976E92">
              <w:rPr>
                <w:rFonts w:ascii="Times New Roman" w:hAnsi="Times New Roman"/>
                <w:color w:val="000000"/>
                <w:vertAlign w:val="subscript"/>
              </w:rPr>
              <w:t>2</w:t>
            </w:r>
            <w:r w:rsidRPr="00976E92">
              <w:rPr>
                <w:rFonts w:ascii="Times New Roman" w:hAnsi="Times New Roman"/>
                <w:color w:val="000000"/>
              </w:rPr>
              <w:t>O</w:t>
            </w:r>
          </w:p>
        </w:tc>
        <w:tc>
          <w:tcPr>
            <w:tcW w:w="1516" w:type="dxa"/>
            <w:tcBorders>
              <w:top w:val="single" w:sz="4" w:space="0" w:color="000000"/>
              <w:left w:val="single" w:sz="4" w:space="0" w:color="000000"/>
              <w:bottom w:val="single" w:sz="4" w:space="0" w:color="000000"/>
              <w:right w:val="nil"/>
            </w:tcBorders>
            <w:hideMark/>
          </w:tcPr>
          <w:p w14:paraId="79B91B60" w14:textId="77777777" w:rsidR="004C0081" w:rsidRPr="00976E92" w:rsidRDefault="004C0081">
            <w:pPr>
              <w:pStyle w:val="TableContents"/>
              <w:widowControl w:val="0"/>
              <w:jc w:val="center"/>
              <w:rPr>
                <w:rFonts w:ascii="Times New Roman" w:hAnsi="Times New Roman"/>
                <w:color w:val="000000"/>
                <w:lang w:val="en-US"/>
              </w:rPr>
            </w:pPr>
            <w:r w:rsidRPr="00976E92">
              <w:rPr>
                <w:rFonts w:ascii="Times New Roman" w:hAnsi="Times New Roman"/>
                <w:color w:val="000000"/>
                <w:lang w:val="en-US"/>
              </w:rPr>
              <w:t>Cubic box side length in angstrom</w:t>
            </w:r>
          </w:p>
        </w:tc>
        <w:tc>
          <w:tcPr>
            <w:tcW w:w="2136" w:type="dxa"/>
            <w:tcBorders>
              <w:top w:val="single" w:sz="4" w:space="0" w:color="000000"/>
              <w:left w:val="single" w:sz="4" w:space="0" w:color="000000"/>
              <w:bottom w:val="single" w:sz="4" w:space="0" w:color="000000"/>
              <w:right w:val="single" w:sz="4" w:space="0" w:color="000000"/>
            </w:tcBorders>
            <w:hideMark/>
          </w:tcPr>
          <w:p w14:paraId="4D5C2D22" w14:textId="77777777" w:rsidR="004C0081" w:rsidRPr="00976E92" w:rsidRDefault="004C0081">
            <w:pPr>
              <w:pStyle w:val="TableContents"/>
              <w:widowControl w:val="0"/>
              <w:jc w:val="center"/>
              <w:rPr>
                <w:rFonts w:ascii="Times New Roman" w:hAnsi="Times New Roman"/>
                <w:color w:val="000000"/>
                <w:lang w:val="en-US"/>
              </w:rPr>
            </w:pPr>
            <w:r w:rsidRPr="00976E92">
              <w:rPr>
                <w:rFonts w:ascii="Times New Roman" w:hAnsi="Times New Roman"/>
                <w:color w:val="000000"/>
                <w:lang w:val="en-US"/>
              </w:rPr>
              <w:t>MD type [no of trajectories]</w:t>
            </w:r>
          </w:p>
        </w:tc>
      </w:tr>
      <w:tr w:rsidR="004C0081" w:rsidRPr="00976E92" w14:paraId="3DF868A3" w14:textId="77777777" w:rsidTr="004C0081">
        <w:tc>
          <w:tcPr>
            <w:tcW w:w="1499" w:type="dxa"/>
            <w:tcBorders>
              <w:top w:val="single" w:sz="4" w:space="0" w:color="000000"/>
              <w:left w:val="single" w:sz="4" w:space="0" w:color="000000"/>
              <w:bottom w:val="single" w:sz="4" w:space="0" w:color="000000"/>
              <w:right w:val="nil"/>
            </w:tcBorders>
            <w:hideMark/>
          </w:tcPr>
          <w:p w14:paraId="76F835A9"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Liquid water</w:t>
            </w:r>
          </w:p>
        </w:tc>
        <w:tc>
          <w:tcPr>
            <w:tcW w:w="1523" w:type="dxa"/>
            <w:tcBorders>
              <w:top w:val="single" w:sz="4" w:space="0" w:color="000000"/>
              <w:left w:val="single" w:sz="4" w:space="0" w:color="000000"/>
              <w:bottom w:val="single" w:sz="4" w:space="0" w:color="000000"/>
              <w:right w:val="nil"/>
            </w:tcBorders>
            <w:hideMark/>
          </w:tcPr>
          <w:p w14:paraId="2B2F9280"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w:t>
            </w:r>
          </w:p>
        </w:tc>
        <w:tc>
          <w:tcPr>
            <w:tcW w:w="1507" w:type="dxa"/>
            <w:tcBorders>
              <w:top w:val="single" w:sz="4" w:space="0" w:color="000000"/>
              <w:left w:val="single" w:sz="4" w:space="0" w:color="000000"/>
              <w:bottom w:val="single" w:sz="4" w:space="0" w:color="000000"/>
              <w:right w:val="nil"/>
            </w:tcBorders>
            <w:hideMark/>
          </w:tcPr>
          <w:p w14:paraId="5B1406F3"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w:t>
            </w:r>
          </w:p>
        </w:tc>
        <w:tc>
          <w:tcPr>
            <w:tcW w:w="1514" w:type="dxa"/>
            <w:tcBorders>
              <w:top w:val="single" w:sz="4" w:space="0" w:color="000000"/>
              <w:left w:val="single" w:sz="4" w:space="0" w:color="000000"/>
              <w:bottom w:val="single" w:sz="4" w:space="0" w:color="000000"/>
              <w:right w:val="nil"/>
            </w:tcBorders>
            <w:hideMark/>
          </w:tcPr>
          <w:p w14:paraId="2A5B78F0"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128</w:t>
            </w:r>
          </w:p>
        </w:tc>
        <w:tc>
          <w:tcPr>
            <w:tcW w:w="1516" w:type="dxa"/>
            <w:tcBorders>
              <w:top w:val="single" w:sz="4" w:space="0" w:color="000000"/>
              <w:left w:val="single" w:sz="4" w:space="0" w:color="000000"/>
              <w:bottom w:val="single" w:sz="4" w:space="0" w:color="000000"/>
              <w:right w:val="nil"/>
            </w:tcBorders>
            <w:hideMark/>
          </w:tcPr>
          <w:p w14:paraId="123B4ECE"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15.6404</w:t>
            </w:r>
          </w:p>
        </w:tc>
        <w:tc>
          <w:tcPr>
            <w:tcW w:w="2136" w:type="dxa"/>
            <w:tcBorders>
              <w:top w:val="single" w:sz="4" w:space="0" w:color="000000"/>
              <w:left w:val="single" w:sz="4" w:space="0" w:color="000000"/>
              <w:bottom w:val="single" w:sz="4" w:space="0" w:color="000000"/>
              <w:right w:val="single" w:sz="4" w:space="0" w:color="000000"/>
            </w:tcBorders>
            <w:hideMark/>
          </w:tcPr>
          <w:p w14:paraId="084AF07C"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 xml:space="preserve"> PFFMD [25000]</w:t>
            </w:r>
          </w:p>
        </w:tc>
      </w:tr>
      <w:tr w:rsidR="004C0081" w:rsidRPr="00976E92" w14:paraId="33290E12" w14:textId="77777777" w:rsidTr="004C0081">
        <w:tc>
          <w:tcPr>
            <w:tcW w:w="1499" w:type="dxa"/>
            <w:tcBorders>
              <w:top w:val="single" w:sz="4" w:space="0" w:color="000000"/>
              <w:left w:val="single" w:sz="4" w:space="0" w:color="000000"/>
              <w:bottom w:val="single" w:sz="4" w:space="0" w:color="000000"/>
              <w:right w:val="nil"/>
            </w:tcBorders>
            <w:hideMark/>
          </w:tcPr>
          <w:p w14:paraId="7DD319C4"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Na</w:t>
            </w:r>
            <w:r w:rsidRPr="00976E92">
              <w:rPr>
                <w:rFonts w:ascii="Times New Roman" w:hAnsi="Times New Roman"/>
                <w:color w:val="000000"/>
                <w:vertAlign w:val="subscript"/>
              </w:rPr>
              <w:t>2</w:t>
            </w:r>
            <w:r w:rsidRPr="00976E92">
              <w:rPr>
                <w:rFonts w:ascii="Times New Roman" w:hAnsi="Times New Roman"/>
                <w:color w:val="000000"/>
              </w:rPr>
              <w:t>SO</w:t>
            </w:r>
            <w:r w:rsidRPr="00976E92">
              <w:rPr>
                <w:rFonts w:ascii="Times New Roman" w:hAnsi="Times New Roman"/>
                <w:color w:val="000000"/>
                <w:vertAlign w:val="subscript"/>
              </w:rPr>
              <w:t>4</w:t>
            </w:r>
          </w:p>
        </w:tc>
        <w:tc>
          <w:tcPr>
            <w:tcW w:w="1523" w:type="dxa"/>
            <w:tcBorders>
              <w:top w:val="single" w:sz="4" w:space="0" w:color="000000"/>
              <w:left w:val="single" w:sz="4" w:space="0" w:color="000000"/>
              <w:bottom w:val="single" w:sz="4" w:space="0" w:color="000000"/>
              <w:right w:val="nil"/>
            </w:tcBorders>
            <w:hideMark/>
          </w:tcPr>
          <w:p w14:paraId="26906B44"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1</w:t>
            </w:r>
          </w:p>
        </w:tc>
        <w:tc>
          <w:tcPr>
            <w:tcW w:w="1507" w:type="dxa"/>
            <w:tcBorders>
              <w:top w:val="single" w:sz="4" w:space="0" w:color="000000"/>
              <w:left w:val="single" w:sz="4" w:space="0" w:color="000000"/>
              <w:bottom w:val="single" w:sz="4" w:space="0" w:color="000000"/>
              <w:right w:val="nil"/>
            </w:tcBorders>
            <w:hideMark/>
          </w:tcPr>
          <w:p w14:paraId="0D6FDB4F"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2</w:t>
            </w:r>
          </w:p>
        </w:tc>
        <w:tc>
          <w:tcPr>
            <w:tcW w:w="1514" w:type="dxa"/>
            <w:tcBorders>
              <w:top w:val="single" w:sz="4" w:space="0" w:color="000000"/>
              <w:left w:val="single" w:sz="4" w:space="0" w:color="000000"/>
              <w:bottom w:val="single" w:sz="4" w:space="0" w:color="000000"/>
              <w:right w:val="nil"/>
            </w:tcBorders>
            <w:hideMark/>
          </w:tcPr>
          <w:p w14:paraId="173D23BE"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125</w:t>
            </w:r>
          </w:p>
        </w:tc>
        <w:tc>
          <w:tcPr>
            <w:tcW w:w="1516" w:type="dxa"/>
            <w:tcBorders>
              <w:top w:val="single" w:sz="4" w:space="0" w:color="000000"/>
              <w:left w:val="single" w:sz="4" w:space="0" w:color="000000"/>
              <w:bottom w:val="single" w:sz="4" w:space="0" w:color="000000"/>
              <w:right w:val="nil"/>
            </w:tcBorders>
            <w:hideMark/>
          </w:tcPr>
          <w:p w14:paraId="1F90F2C9"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15.56</w:t>
            </w:r>
          </w:p>
        </w:tc>
        <w:tc>
          <w:tcPr>
            <w:tcW w:w="2136" w:type="dxa"/>
            <w:tcBorders>
              <w:top w:val="single" w:sz="4" w:space="0" w:color="000000"/>
              <w:left w:val="single" w:sz="4" w:space="0" w:color="000000"/>
              <w:bottom w:val="single" w:sz="4" w:space="0" w:color="000000"/>
              <w:right w:val="single" w:sz="4" w:space="0" w:color="000000"/>
            </w:tcBorders>
            <w:hideMark/>
          </w:tcPr>
          <w:p w14:paraId="16BEDCCB"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PFFMD [25000]</w:t>
            </w:r>
          </w:p>
        </w:tc>
      </w:tr>
      <w:tr w:rsidR="004C0081" w:rsidRPr="00976E92" w14:paraId="18985B2A" w14:textId="77777777" w:rsidTr="004C0081">
        <w:tc>
          <w:tcPr>
            <w:tcW w:w="1499" w:type="dxa"/>
            <w:tcBorders>
              <w:top w:val="single" w:sz="4" w:space="0" w:color="000000"/>
              <w:left w:val="single" w:sz="4" w:space="0" w:color="000000"/>
              <w:bottom w:val="single" w:sz="4" w:space="0" w:color="000000"/>
              <w:right w:val="nil"/>
            </w:tcBorders>
            <w:hideMark/>
          </w:tcPr>
          <w:p w14:paraId="490D9677"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MgCl</w:t>
            </w:r>
            <w:r w:rsidRPr="00976E92">
              <w:rPr>
                <w:rFonts w:ascii="Times New Roman" w:hAnsi="Times New Roman"/>
                <w:color w:val="000000"/>
                <w:vertAlign w:val="subscript"/>
              </w:rPr>
              <w:t>2</w:t>
            </w:r>
          </w:p>
        </w:tc>
        <w:tc>
          <w:tcPr>
            <w:tcW w:w="1523" w:type="dxa"/>
            <w:tcBorders>
              <w:top w:val="single" w:sz="4" w:space="0" w:color="000000"/>
              <w:left w:val="single" w:sz="4" w:space="0" w:color="000000"/>
              <w:bottom w:val="single" w:sz="4" w:space="0" w:color="000000"/>
              <w:right w:val="nil"/>
            </w:tcBorders>
            <w:hideMark/>
          </w:tcPr>
          <w:p w14:paraId="2952297A"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1</w:t>
            </w:r>
          </w:p>
        </w:tc>
        <w:tc>
          <w:tcPr>
            <w:tcW w:w="1507" w:type="dxa"/>
            <w:tcBorders>
              <w:top w:val="single" w:sz="4" w:space="0" w:color="000000"/>
              <w:left w:val="single" w:sz="4" w:space="0" w:color="000000"/>
              <w:bottom w:val="single" w:sz="4" w:space="0" w:color="000000"/>
              <w:right w:val="nil"/>
            </w:tcBorders>
            <w:hideMark/>
          </w:tcPr>
          <w:p w14:paraId="500DE36B"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3</w:t>
            </w:r>
          </w:p>
        </w:tc>
        <w:tc>
          <w:tcPr>
            <w:tcW w:w="1514" w:type="dxa"/>
            <w:tcBorders>
              <w:top w:val="single" w:sz="4" w:space="0" w:color="000000"/>
              <w:left w:val="single" w:sz="4" w:space="0" w:color="000000"/>
              <w:bottom w:val="single" w:sz="4" w:space="0" w:color="000000"/>
              <w:right w:val="nil"/>
            </w:tcBorders>
            <w:hideMark/>
          </w:tcPr>
          <w:p w14:paraId="3FDA5F41"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191</w:t>
            </w:r>
          </w:p>
        </w:tc>
        <w:tc>
          <w:tcPr>
            <w:tcW w:w="1516" w:type="dxa"/>
            <w:tcBorders>
              <w:top w:val="single" w:sz="4" w:space="0" w:color="000000"/>
              <w:left w:val="single" w:sz="4" w:space="0" w:color="000000"/>
              <w:bottom w:val="single" w:sz="4" w:space="0" w:color="000000"/>
              <w:right w:val="nil"/>
            </w:tcBorders>
            <w:hideMark/>
          </w:tcPr>
          <w:p w14:paraId="37852338"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17.9772</w:t>
            </w:r>
          </w:p>
        </w:tc>
        <w:tc>
          <w:tcPr>
            <w:tcW w:w="2136" w:type="dxa"/>
            <w:tcBorders>
              <w:top w:val="single" w:sz="4" w:space="0" w:color="000000"/>
              <w:left w:val="single" w:sz="4" w:space="0" w:color="000000"/>
              <w:bottom w:val="single" w:sz="4" w:space="0" w:color="000000"/>
              <w:right w:val="single" w:sz="4" w:space="0" w:color="000000"/>
            </w:tcBorders>
            <w:hideMark/>
          </w:tcPr>
          <w:p w14:paraId="09A4F6AF"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PFFMD [25000]</w:t>
            </w:r>
          </w:p>
        </w:tc>
      </w:tr>
      <w:tr w:rsidR="004C0081" w:rsidRPr="00976E92" w14:paraId="068DE325" w14:textId="77777777" w:rsidTr="004C0081">
        <w:tc>
          <w:tcPr>
            <w:tcW w:w="1499" w:type="dxa"/>
            <w:tcBorders>
              <w:top w:val="single" w:sz="4" w:space="0" w:color="000000"/>
              <w:left w:val="single" w:sz="4" w:space="0" w:color="000000"/>
              <w:bottom w:val="single" w:sz="4" w:space="0" w:color="000000"/>
              <w:right w:val="nil"/>
            </w:tcBorders>
            <w:hideMark/>
          </w:tcPr>
          <w:p w14:paraId="27EE0797"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MgCl</w:t>
            </w:r>
            <w:r w:rsidRPr="00976E92">
              <w:rPr>
                <w:rFonts w:ascii="Times New Roman" w:hAnsi="Times New Roman"/>
                <w:color w:val="000000"/>
                <w:vertAlign w:val="subscript"/>
              </w:rPr>
              <w:t>2</w:t>
            </w:r>
          </w:p>
        </w:tc>
        <w:tc>
          <w:tcPr>
            <w:tcW w:w="1523" w:type="dxa"/>
            <w:tcBorders>
              <w:top w:val="single" w:sz="4" w:space="0" w:color="000000"/>
              <w:left w:val="single" w:sz="4" w:space="0" w:color="000000"/>
              <w:bottom w:val="single" w:sz="4" w:space="0" w:color="000000"/>
              <w:right w:val="nil"/>
            </w:tcBorders>
            <w:hideMark/>
          </w:tcPr>
          <w:p w14:paraId="71A60192"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2</w:t>
            </w:r>
          </w:p>
        </w:tc>
        <w:tc>
          <w:tcPr>
            <w:tcW w:w="1507" w:type="dxa"/>
            <w:tcBorders>
              <w:top w:val="single" w:sz="4" w:space="0" w:color="000000"/>
              <w:left w:val="single" w:sz="4" w:space="0" w:color="000000"/>
              <w:bottom w:val="single" w:sz="4" w:space="0" w:color="000000"/>
              <w:right w:val="nil"/>
            </w:tcBorders>
            <w:hideMark/>
          </w:tcPr>
          <w:p w14:paraId="08973674"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5</w:t>
            </w:r>
          </w:p>
        </w:tc>
        <w:tc>
          <w:tcPr>
            <w:tcW w:w="1514" w:type="dxa"/>
            <w:tcBorders>
              <w:top w:val="single" w:sz="4" w:space="0" w:color="000000"/>
              <w:left w:val="single" w:sz="4" w:space="0" w:color="000000"/>
              <w:bottom w:val="single" w:sz="4" w:space="0" w:color="000000"/>
              <w:right w:val="nil"/>
            </w:tcBorders>
            <w:hideMark/>
          </w:tcPr>
          <w:p w14:paraId="2C10AFB9"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133</w:t>
            </w:r>
          </w:p>
        </w:tc>
        <w:tc>
          <w:tcPr>
            <w:tcW w:w="1516" w:type="dxa"/>
            <w:tcBorders>
              <w:top w:val="single" w:sz="4" w:space="0" w:color="000000"/>
              <w:left w:val="single" w:sz="4" w:space="0" w:color="000000"/>
              <w:bottom w:val="single" w:sz="4" w:space="0" w:color="000000"/>
              <w:right w:val="nil"/>
            </w:tcBorders>
            <w:hideMark/>
          </w:tcPr>
          <w:p w14:paraId="17320CCC"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16.099</w:t>
            </w:r>
          </w:p>
        </w:tc>
        <w:tc>
          <w:tcPr>
            <w:tcW w:w="2136" w:type="dxa"/>
            <w:tcBorders>
              <w:top w:val="single" w:sz="4" w:space="0" w:color="000000"/>
              <w:left w:val="single" w:sz="4" w:space="0" w:color="000000"/>
              <w:bottom w:val="single" w:sz="4" w:space="0" w:color="000000"/>
              <w:right w:val="single" w:sz="4" w:space="0" w:color="000000"/>
            </w:tcBorders>
            <w:hideMark/>
          </w:tcPr>
          <w:p w14:paraId="7621B79C"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PFFMD [25000]</w:t>
            </w:r>
          </w:p>
        </w:tc>
      </w:tr>
      <w:tr w:rsidR="004C0081" w:rsidRPr="00976E92" w14:paraId="6EAA2C86" w14:textId="77777777" w:rsidTr="004C0081">
        <w:tc>
          <w:tcPr>
            <w:tcW w:w="1499" w:type="dxa"/>
            <w:tcBorders>
              <w:top w:val="single" w:sz="4" w:space="0" w:color="000000"/>
              <w:left w:val="single" w:sz="4" w:space="0" w:color="000000"/>
              <w:bottom w:val="single" w:sz="4" w:space="0" w:color="000000"/>
              <w:right w:val="nil"/>
            </w:tcBorders>
            <w:hideMark/>
          </w:tcPr>
          <w:p w14:paraId="0C4FC581"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MgCl</w:t>
            </w:r>
            <w:r w:rsidRPr="00976E92">
              <w:rPr>
                <w:rFonts w:ascii="Times New Roman" w:hAnsi="Times New Roman"/>
                <w:color w:val="000000"/>
                <w:vertAlign w:val="subscript"/>
              </w:rPr>
              <w:t>2</w:t>
            </w:r>
          </w:p>
        </w:tc>
        <w:tc>
          <w:tcPr>
            <w:tcW w:w="1523" w:type="dxa"/>
            <w:tcBorders>
              <w:top w:val="single" w:sz="4" w:space="0" w:color="000000"/>
              <w:left w:val="single" w:sz="4" w:space="0" w:color="000000"/>
              <w:bottom w:val="single" w:sz="4" w:space="0" w:color="000000"/>
              <w:right w:val="nil"/>
            </w:tcBorders>
            <w:hideMark/>
          </w:tcPr>
          <w:p w14:paraId="6B58AF24"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4</w:t>
            </w:r>
          </w:p>
        </w:tc>
        <w:tc>
          <w:tcPr>
            <w:tcW w:w="1507" w:type="dxa"/>
            <w:tcBorders>
              <w:top w:val="single" w:sz="4" w:space="0" w:color="000000"/>
              <w:left w:val="single" w:sz="4" w:space="0" w:color="000000"/>
              <w:bottom w:val="single" w:sz="4" w:space="0" w:color="000000"/>
              <w:right w:val="nil"/>
            </w:tcBorders>
            <w:hideMark/>
          </w:tcPr>
          <w:p w14:paraId="4443EAA5"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19</w:t>
            </w:r>
          </w:p>
        </w:tc>
        <w:tc>
          <w:tcPr>
            <w:tcW w:w="1514" w:type="dxa"/>
            <w:tcBorders>
              <w:top w:val="single" w:sz="4" w:space="0" w:color="000000"/>
              <w:left w:val="single" w:sz="4" w:space="0" w:color="000000"/>
              <w:bottom w:val="single" w:sz="4" w:space="0" w:color="000000"/>
              <w:right w:val="nil"/>
            </w:tcBorders>
            <w:hideMark/>
          </w:tcPr>
          <w:p w14:paraId="7C8D8B70"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236</w:t>
            </w:r>
          </w:p>
        </w:tc>
        <w:tc>
          <w:tcPr>
            <w:tcW w:w="1516" w:type="dxa"/>
            <w:tcBorders>
              <w:top w:val="single" w:sz="4" w:space="0" w:color="000000"/>
              <w:left w:val="single" w:sz="4" w:space="0" w:color="000000"/>
              <w:bottom w:val="single" w:sz="4" w:space="0" w:color="000000"/>
              <w:right w:val="nil"/>
            </w:tcBorders>
            <w:hideMark/>
          </w:tcPr>
          <w:p w14:paraId="5D2B3D2C"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19.9629</w:t>
            </w:r>
          </w:p>
        </w:tc>
        <w:tc>
          <w:tcPr>
            <w:tcW w:w="2136" w:type="dxa"/>
            <w:tcBorders>
              <w:top w:val="single" w:sz="4" w:space="0" w:color="000000"/>
              <w:left w:val="single" w:sz="4" w:space="0" w:color="000000"/>
              <w:bottom w:val="single" w:sz="4" w:space="0" w:color="000000"/>
              <w:right w:val="single" w:sz="4" w:space="0" w:color="000000"/>
            </w:tcBorders>
            <w:hideMark/>
          </w:tcPr>
          <w:p w14:paraId="5ED6B9FE"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PFFMD [25000]</w:t>
            </w:r>
          </w:p>
        </w:tc>
      </w:tr>
    </w:tbl>
    <w:p w14:paraId="117AF610" w14:textId="77777777" w:rsidR="004C0081" w:rsidRPr="00976E92" w:rsidRDefault="004C0081" w:rsidP="004C0081">
      <w:pPr>
        <w:spacing w:before="120" w:after="120"/>
        <w:jc w:val="both"/>
        <w:rPr>
          <w:rFonts w:cstheme="majorBidi"/>
          <w:b/>
          <w:bCs/>
          <w:lang w:val="en-US"/>
        </w:rPr>
      </w:pPr>
    </w:p>
    <w:p w14:paraId="0FEBD519" w14:textId="068A5891" w:rsidR="004C0081" w:rsidRPr="00976E92" w:rsidRDefault="004C0081" w:rsidP="00512374">
      <w:pPr>
        <w:spacing w:before="120" w:after="120"/>
        <w:jc w:val="both"/>
        <w:rPr>
          <w:rFonts w:ascii="Times New Roman" w:hAnsi="Times New Roman"/>
          <w:color w:val="000000"/>
          <w:lang w:val="en-US"/>
        </w:rPr>
      </w:pPr>
      <w:r w:rsidRPr="00976E92">
        <w:rPr>
          <w:rFonts w:ascii="Times New Roman" w:hAnsi="Times New Roman" w:cstheme="majorBidi"/>
          <w:b/>
          <w:bCs/>
          <w:color w:val="000000"/>
          <w:lang w:val="en-US"/>
        </w:rPr>
        <w:t xml:space="preserve">Ab </w:t>
      </w:r>
      <w:r w:rsidRPr="00976E92">
        <w:rPr>
          <w:rFonts w:ascii="Times New Roman" w:hAnsi="Times New Roman" w:cstheme="majorBidi"/>
          <w:b/>
          <w:bCs/>
          <w:i/>
          <w:iCs/>
          <w:color w:val="000000"/>
          <w:lang w:val="en-US"/>
        </w:rPr>
        <w:t>initio</w:t>
      </w:r>
      <w:r w:rsidRPr="00976E92">
        <w:rPr>
          <w:rFonts w:ascii="Times New Roman" w:hAnsi="Times New Roman" w:cstheme="majorBidi"/>
          <w:b/>
          <w:bCs/>
          <w:color w:val="000000"/>
          <w:lang w:val="en-US"/>
        </w:rPr>
        <w:t xml:space="preserve"> MD: </w:t>
      </w:r>
      <w:r w:rsidRPr="00976E92">
        <w:rPr>
          <w:rFonts w:ascii="Times New Roman" w:hAnsi="Times New Roman"/>
          <w:color w:val="000000"/>
          <w:lang w:val="en-US"/>
        </w:rPr>
        <w:t>To study the hydrogen bond strength between water molecules in ionic solutions, we performed ab initio molecular dynamics (AIMD) simulations under field free conditions, for pure liquid water (as reference), and for MgCl</w:t>
      </w:r>
      <w:r w:rsidRPr="00976E92">
        <w:rPr>
          <w:rFonts w:ascii="Times New Roman" w:hAnsi="Times New Roman"/>
          <w:color w:val="000000"/>
          <w:vertAlign w:val="subscript"/>
          <w:lang w:val="en-US"/>
        </w:rPr>
        <w:t>2</w:t>
      </w:r>
      <w:r w:rsidRPr="00976E92">
        <w:rPr>
          <w:rFonts w:ascii="Times New Roman" w:hAnsi="Times New Roman"/>
          <w:color w:val="000000"/>
          <w:lang w:val="en-US"/>
        </w:rPr>
        <w:t xml:space="preserve"> (2M), Na</w:t>
      </w:r>
      <w:r w:rsidRPr="00976E92">
        <w:rPr>
          <w:rFonts w:ascii="Times New Roman" w:hAnsi="Times New Roman"/>
          <w:color w:val="000000"/>
          <w:vertAlign w:val="subscript"/>
          <w:lang w:val="en-US"/>
        </w:rPr>
        <w:t>2</w:t>
      </w:r>
      <w:r w:rsidRPr="00976E92">
        <w:rPr>
          <w:rFonts w:ascii="Times New Roman" w:hAnsi="Times New Roman"/>
          <w:color w:val="000000"/>
          <w:lang w:val="en-US"/>
        </w:rPr>
        <w:t>SO</w:t>
      </w:r>
      <w:r w:rsidRPr="00976E92">
        <w:rPr>
          <w:rFonts w:ascii="Times New Roman" w:hAnsi="Times New Roman"/>
          <w:color w:val="000000"/>
          <w:vertAlign w:val="subscript"/>
          <w:lang w:val="en-US"/>
        </w:rPr>
        <w:t>4</w:t>
      </w:r>
      <w:r w:rsidRPr="00976E92">
        <w:rPr>
          <w:rFonts w:ascii="Times New Roman" w:hAnsi="Times New Roman"/>
          <w:color w:val="000000"/>
          <w:lang w:val="en-US"/>
        </w:rPr>
        <w:t xml:space="preserve"> (1M) and MgSO</w:t>
      </w:r>
      <w:r w:rsidRPr="00976E92">
        <w:rPr>
          <w:rFonts w:ascii="Times New Roman" w:hAnsi="Times New Roman"/>
          <w:color w:val="000000"/>
          <w:vertAlign w:val="subscript"/>
          <w:lang w:val="en-US"/>
        </w:rPr>
        <w:t>4</w:t>
      </w:r>
      <w:r w:rsidRPr="00976E92">
        <w:rPr>
          <w:rFonts w:ascii="Times New Roman" w:hAnsi="Times New Roman"/>
          <w:color w:val="000000"/>
          <w:lang w:val="en-US"/>
        </w:rPr>
        <w:t xml:space="preserve"> (2M). The systems were first equilibrated for 40 ps in the canonical ensemble, followed by a 50 ps microcanonical ensemble production run. </w:t>
      </w:r>
      <w:r w:rsidRPr="00976E92">
        <w:rPr>
          <w:rFonts w:asciiTheme="majorBidi" w:hAnsiTheme="majorBidi" w:cstheme="majorBidi"/>
          <w:color w:val="000000"/>
          <w:lang w:val="en-US"/>
        </w:rPr>
        <w:t xml:space="preserve">The Ab </w:t>
      </w:r>
      <w:r w:rsidRPr="00976E92">
        <w:rPr>
          <w:rFonts w:asciiTheme="majorBidi" w:hAnsiTheme="majorBidi" w:cstheme="majorBidi"/>
          <w:i/>
          <w:iCs/>
          <w:color w:val="000000"/>
          <w:lang w:val="en-US"/>
        </w:rPr>
        <w:t>initio</w:t>
      </w:r>
      <w:r w:rsidRPr="00976E92">
        <w:rPr>
          <w:rFonts w:asciiTheme="majorBidi" w:hAnsiTheme="majorBidi" w:cstheme="majorBidi"/>
          <w:color w:val="000000"/>
          <w:lang w:val="en-US"/>
        </w:rPr>
        <w:t xml:space="preserve"> MD simulations were conducted using the Quickstep module of the CP2K software.</w:t>
      </w:r>
      <w:r w:rsidR="00713045" w:rsidRPr="00976E92">
        <w:rPr>
          <w:rFonts w:asciiTheme="majorBidi" w:hAnsiTheme="majorBidi" w:cstheme="majorBidi"/>
          <w:color w:val="000000"/>
          <w:lang w:val="en-US"/>
        </w:rPr>
        <w:fldChar w:fldCharType="begin" w:fldLock="1"/>
      </w:r>
      <w:r w:rsidR="0037648F" w:rsidRPr="00976E92">
        <w:rPr>
          <w:rFonts w:asciiTheme="majorBidi" w:hAnsiTheme="majorBidi" w:cstheme="majorBidi"/>
          <w:color w:val="000000"/>
          <w:lang w:val="en-US"/>
        </w:rPr>
        <w:instrText>ADDIN CSL_CITATION {"citationItems":[{"id":"ITEM-1","itemData":{"DOI":"10.1063/5.0007045","ISSN":"10897690","PMID":"33687235","abstract":"CP2K is an open source electronic structure and molecular dynamics software package to perform atomistic simulations of solid-state, liquid, molecular, and biological systems. It is especially aimed at massively parallel and linear-scaling electronic structure methods and state-of-theart ab initio molecular dynamics simulations. Excellent performance for electronic structure calculations is achieved using novel algorithms implemented for modern high-performance computing systems. This review revisits the main capabilities of CP2K to perform efficient and accurate electronic structure simulations. The emphasis is put on density functional theory and multiple post-Hartree-Fock methods using the Gaussian and plane wave approach and its augmented all-electron extension.","author":[{"dropping-particle":"","family":"Kühne","given":"Thomas D.","non-dropping-particle":"","parse-names":false,"suffix":""},{"dropping-particle":"","family":"Iannuzzi","given":"Marcella","non-dropping-particle":"","parse-names":false,"suffix":""},{"dropping-particle":"","family":"Ben","given":"Mauro","non-dropping-particle":"Del","parse-names":false,"suffix":""},{"dropping-particle":"V.","family":"Rybkin","given":"Vladimir","non-dropping-particle":"","parse-names":false,"suffix":""},{"dropping-particle":"","family":"Seewald","given":"Patrick","non-dropping-particle":"","parse-names":false,"suffix":""},{"dropping-particle":"","family":"Stein","given":"Frederick","non-dropping-particle":"","parse-names":false,"suffix":""},{"dropping-particle":"","family":"Laino","given":"Teodoro","non-dropping-particle":"","parse-names":false,"suffix":""},{"dropping-particle":"","family":"Khaliullin","given":"Rustam Z.","non-dropping-particle":"","parse-names":false,"suffix":""},{"dropping-particle":"","family":"Schütt","given":"Ole","non-dropping-particle":"","parse-names":false,"suffix":""},{"dropping-particle":"","family":"Schiffmann","given":"Florian","non-dropping-particle":"","parse-names":false,"suffix":""},{"dropping-particle":"","family":"Golze","given":"Dorothea","non-dropping-particle":"","parse-names":false,"suffix":""},{"dropping-particle":"","family":"Wilhelm","given":"Jan","non-dropping-particle":"","parse-names":false,"suffix":""},{"dropping-particle":"","family":"Chulkov","given":"Sergey","non-dropping-particle":"","parse-names":false,"suffix":""},{"dropping-particle":"","family":"Bani-Hashemian","given":"Mohammad Hossein","non-dropping-particle":"","parse-names":false,"suffix":""},{"dropping-particle":"","family":"Weber","given":"Valéry","non-dropping-particle":"","parse-names":false,"suffix":""},{"dropping-particle":"","family":"Borštnik","given":"Urban","non-dropping-particle":"","parse-names":false,"suffix":""},{"dropping-particle":"","family":"Taillefumier","given":"Mathieu","non-dropping-particle":"","parse-names":false,"suffix":""},{"dropping-particle":"","family":"Jakobovits","given":"Alice Shoshana","non-dropping-particle":"","parse-names":false,"suffix":""},{"dropping-particle":"","family":"Lazzaro","given":"Alfio","non-dropping-particle":"","parse-names":false,"suffix":""},{"dropping-particle":"","family":"Pabst","given":"Hans","non-dropping-particle":"","parse-names":false,"suffix":""},{"dropping-particle":"","family":"Müller","given":"Tiziano","non-dropping-particle":"","parse-names":false,"suffix":""},{"dropping-particle":"","family":"Schade","given":"Robert","non-dropping-particle":"","parse-names":false,"suffix":""},{"dropping-particle":"","family":"Guidon","given":"Manuel","non-dropping-particle":"","parse-names":false,"suffix":""},{"dropping-particle":"","family":"Andermatt","given":"Samuel","non-dropping-particle":"","parse-names":false,"suffix":""},{"dropping-particle":"","family":"Holmberg","given":"Nico","non-dropping-particle":"","parse-names":false,"suffix":""},{"dropping-particle":"","family":"Schenter","given":"Gregory K.","non-dropping-particle":"","parse-names":false,"suffix":""},{"dropping-particle":"","family":"Hehn","given":"Anna","non-dropping-particle":"","parse-names":false,"suffix":""},{"dropping-particle":"","family":"Bussy","given":"Augustin","non-dropping-particle":"","parse-names":false,"suffix":""},{"dropping-particle":"","family":"Belleflamme","given":"Fabian","non-dropping-particle":"","parse-names":false,"suffix":""},{"dropping-particle":"","family":"Tabacchi","given":"Gloria","non-dropping-particle":"","parse-names":false,"suffix":""},{"dropping-particle":"","family":"Glöß","given":"Andreas","non-dropping-particle":"","parse-names":false,"suffix":""},{"dropping-particle":"","family":"Lass","given":"Michael","non-dropping-particle":"","parse-names":false,"suffix":""},{"dropping-particle":"","family":"Bethune","given":"Iain","non-dropping-particle":"","parse-names":false,"suffix":""},{"dropping-particle":"","family":"Mundy","given":"Christopher J.","non-dropping-particle":"","parse-names":false,"suffix":""},{"dropping-particle":"","family":"Plessl","given":"Christian","non-dropping-particle":"","parse-names":false,"suffix":""},{"dropping-particle":"","family":"Watkins","given":"Matt","non-dropping-particle":"","parse-names":false,"suffix":""},{"dropping-particle":"","family":"VandeVondele","given":"Joost","non-dropping-particle":"","parse-names":false,"suffix":""},{"dropping-particle":"","family":"Krack","given":"Matthias","non-dropping-particle":"","parse-names":false,"suffix":""},{"dropping-particle":"","family":"Hutter","given":"Jürg","non-dropping-particle":"","parse-names":false,"suffix":""}],"container-title":"Journal of Chemical Physics","id":"ITEM-1","issue":"19","issued":{"date-parts":[["2020"]]},"publisher":"AIP Publishing, LLC","title":"CP2K: An electronic structure and molecular dynamics software package -Quickstep: Efficient and accurate electronic structure calculations","type":"article-journal","volume":"152"},"uris":["http://www.mendeley.com/documents/?uuid=3eae8669-afe6-44f8-a19d-f3924ce99ce9"]}],"mendeley":{"formattedCitation":"&lt;sup&gt;18&lt;/sup&gt;","plainTextFormattedCitation":"18","previouslyFormattedCitation":"&lt;sup&gt;18&lt;/sup&gt;"},"properties":{"noteIndex":0},"schema":"https://github.com/citation-style-language/schema/raw/master/csl-citation.json"}</w:instrText>
      </w:r>
      <w:r w:rsidR="00713045" w:rsidRPr="00976E92">
        <w:rPr>
          <w:rFonts w:asciiTheme="majorBidi" w:hAnsiTheme="majorBidi" w:cstheme="majorBidi"/>
          <w:color w:val="000000"/>
          <w:lang w:val="en-US"/>
        </w:rPr>
        <w:fldChar w:fldCharType="separate"/>
      </w:r>
      <w:r w:rsidR="0037648F" w:rsidRPr="00976E92">
        <w:rPr>
          <w:rFonts w:asciiTheme="majorBidi" w:hAnsiTheme="majorBidi" w:cstheme="majorBidi"/>
          <w:noProof/>
          <w:color w:val="000000"/>
          <w:vertAlign w:val="superscript"/>
          <w:lang w:val="en-US"/>
        </w:rPr>
        <w:t>18</w:t>
      </w:r>
      <w:r w:rsidR="00713045" w:rsidRPr="00976E92">
        <w:rPr>
          <w:rFonts w:asciiTheme="majorBidi" w:hAnsiTheme="majorBidi" w:cstheme="majorBidi"/>
          <w:color w:val="000000"/>
          <w:lang w:val="en-US"/>
        </w:rPr>
        <w:fldChar w:fldCharType="end"/>
      </w:r>
      <w:r w:rsidR="00713045" w:rsidRPr="00976E92">
        <w:rPr>
          <w:rFonts w:asciiTheme="majorBidi" w:hAnsiTheme="majorBidi" w:cstheme="majorBidi"/>
          <w:color w:val="000000"/>
          <w:lang w:val="en-US"/>
        </w:rPr>
        <w:t xml:space="preserve"> </w:t>
      </w:r>
      <w:r w:rsidRPr="00976E92">
        <w:rPr>
          <w:rFonts w:ascii="Times New Roman" w:hAnsi="Times New Roman"/>
          <w:color w:val="000000"/>
          <w:lang w:val="en-US"/>
        </w:rPr>
        <w:t>Throughout, the energies and forces were computed using the mixed Gaussian-plane waves (GPW) approach</w:t>
      </w:r>
      <w:r w:rsidR="00713045" w:rsidRPr="00976E92">
        <w:rPr>
          <w:rFonts w:ascii="Times New Roman" w:hAnsi="Times New Roman"/>
          <w:color w:val="000000"/>
          <w:lang w:val="en-US"/>
        </w:rPr>
        <w:t>,</w:t>
      </w:r>
      <w:r w:rsidR="00713045" w:rsidRPr="00976E92">
        <w:rPr>
          <w:rFonts w:ascii="Times New Roman" w:hAnsi="Times New Roman"/>
          <w:color w:val="000000"/>
          <w:lang w:val="en-US"/>
        </w:rPr>
        <w:fldChar w:fldCharType="begin" w:fldLock="1"/>
      </w:r>
      <w:r w:rsidR="0037648F" w:rsidRPr="00976E92">
        <w:rPr>
          <w:rFonts w:ascii="Times New Roman" w:hAnsi="Times New Roman"/>
          <w:color w:val="000000"/>
          <w:lang w:val="en-US"/>
        </w:rPr>
        <w:instrText>ADDIN CSL_CITATION {"citationItems":[{"id":"ITEM-1","itemData":{"DOI":"10.1080/002689797170220","ISSN":"13623028","abstract":"A density functional theory-based algorithm for periodic and non-periodic ab initio calculations is presented. This scheme uses pseudopotentials in order to integrate out the core electrons from the problem. The valence pseudo-wavefunctions are expanded in Gaussian-type orbitals and the density is represented in a plane wave auxiliary basis. The Gaussian basis functions make it possible to use the efficient analytical integration schemes and screening algorithms of quantum chemistry. Novel recursion relations are developed for the calculation of the matrix elements of the density-dependent Kohn-Sham self-consistent potential. At the same time the use of a plane wave basis for the electron density permits efficient calculation of the Hartree energy using fast Fourier transforms, thus circumventing one of the major bottlenecks of standard Gaussian based calculations. Furthermore, this algorithm avoids the fitting procedures that go along with intermediate basis sets for the charge density. The performance and accuracy of this new scheme are discussed and selected examples are given. © 1997 Taylor &amp; Francis Group, LLC.","author":[{"dropping-particle":"","family":"Lippert","given":"Gerald","non-dropping-particle":"","parse-names":false,"suffix":""},{"dropping-particle":"","family":"Hutter","given":"Jurg","non-dropping-particle":"","parse-names":false,"suffix":""},{"dropping-particle":"","family":"Parrinello","given":"Michele","non-dropping-particle":"","parse-names":false,"suffix":""}],"container-title":"Molecular Physics","id":"ITEM-1","issue":"3","issued":{"date-parts":[["1997"]]},"page":"477-488","title":"A hybrid Gaussian and plane wave density functional scheme","type":"article-journal","volume":"92"},"uris":["http://www.mendeley.com/documents/?uuid=40b5e7a0-b292-458e-ae9d-3d3534054a45"]}],"mendeley":{"formattedCitation":"&lt;sup&gt;19&lt;/sup&gt;","plainTextFormattedCitation":"19","previouslyFormattedCitation":"&lt;sup&gt;19&lt;/sup&gt;"},"properties":{"noteIndex":0},"schema":"https://github.com/citation-style-language/schema/raw/master/csl-citation.json"}</w:instrText>
      </w:r>
      <w:r w:rsidR="00713045" w:rsidRPr="00976E92">
        <w:rPr>
          <w:rFonts w:ascii="Times New Roman" w:hAnsi="Times New Roman"/>
          <w:color w:val="000000"/>
          <w:lang w:val="en-US"/>
        </w:rPr>
        <w:fldChar w:fldCharType="separate"/>
      </w:r>
      <w:r w:rsidR="0037648F" w:rsidRPr="00976E92">
        <w:rPr>
          <w:rFonts w:ascii="Times New Roman" w:hAnsi="Times New Roman"/>
          <w:noProof/>
          <w:color w:val="000000"/>
          <w:vertAlign w:val="superscript"/>
          <w:lang w:val="en-US"/>
        </w:rPr>
        <w:t>19</w:t>
      </w:r>
      <w:r w:rsidR="00713045" w:rsidRPr="00976E92">
        <w:rPr>
          <w:rFonts w:ascii="Times New Roman" w:hAnsi="Times New Roman"/>
          <w:color w:val="000000"/>
          <w:lang w:val="en-US"/>
        </w:rPr>
        <w:fldChar w:fldCharType="end"/>
      </w:r>
      <w:r w:rsidRPr="00976E92">
        <w:rPr>
          <w:rFonts w:ascii="Times New Roman" w:hAnsi="Times New Roman"/>
          <w:color w:val="000000"/>
          <w:lang w:val="en-US"/>
        </w:rPr>
        <w:t xml:space="preserve"> with the Kohn–Sham orbitals represented by an accurate triple-</w:t>
      </w:r>
      <w:r w:rsidRPr="00976E92">
        <w:rPr>
          <w:rFonts w:ascii="Times New Roman" w:hAnsi="Times New Roman"/>
          <w:color w:val="000000"/>
        </w:rPr>
        <w:t>ζ</w:t>
      </w:r>
      <w:r w:rsidRPr="00976E92">
        <w:rPr>
          <w:rFonts w:ascii="Times New Roman" w:hAnsi="Times New Roman"/>
          <w:color w:val="000000"/>
          <w:lang w:val="en-US"/>
        </w:rPr>
        <w:t xml:space="preserve"> basis set with two sets of polarization functions (TZV2P).</w:t>
      </w:r>
      <w:r w:rsidR="00713045" w:rsidRPr="00976E92">
        <w:rPr>
          <w:rFonts w:ascii="Times New Roman" w:hAnsi="Times New Roman"/>
          <w:color w:val="000000"/>
          <w:lang w:val="en-US"/>
        </w:rPr>
        <w:fldChar w:fldCharType="begin" w:fldLock="1"/>
      </w:r>
      <w:r w:rsidR="0037648F" w:rsidRPr="00976E92">
        <w:rPr>
          <w:rFonts w:ascii="Times New Roman" w:hAnsi="Times New Roman"/>
          <w:color w:val="000000"/>
          <w:lang w:val="en-US"/>
        </w:rPr>
        <w:instrText>ADDIN CSL_CITATION {"citationItems":[{"id":"ITEM-1","itemData":{"DOI":"10.1063/1.2770708","ISSN":"00219606","abstract":"We present a library of Gaussian basis sets that has been specifically optimized to perform accurate molecular calculations based on density functional theory. It targets a wide range of chemical environments, including the gas phase, interfaces, and the condensed phase. These generally contracted basis sets, which include diffuse primitives, are obtained minimizing a linear combination of the total energy and the condition number of the overlap matrix for a set of molecules with respect to the exponents and contraction coefficients of the full basis. Typically, for a given accuracy in the total energy, significantly fewer basis functions are needed in this scheme than in the usual split valence scheme, leading to a speedup for systems where the computational cost is dominated by diagonalization. More importantly, binding energies of hydrogen bonded complexes are of similar quality as the ones obtained with augmented basis sets, i.e., have a small (down to 0.2 kcalmol) basis set superposition error, and the monomers have dipoles within 0.1 D of the basis set limit. However, contrary to typical augmented basis sets, there are no near linear dependencies in the basis, so that the overlap matrix is always well conditioned, also, in the condensed phase. The basis can therefore be used in first principles molecular dynamics simulations and is well suited for linear scaling calculations. © 2007 American Institute of Physics.","author":[{"dropping-particle":"","family":"VandeVondele","given":"Joost","non-dropping-particle":"","parse-names":false,"suffix":""},{"dropping-particle":"","family":"Hutter","given":"Jürg","non-dropping-particle":"","parse-names":false,"suffix":""}],"container-title":"Journal of Chemical Physics","id":"ITEM-1","issue":"11","issued":{"date-parts":[["2007"]]},"title":"Gaussian basis sets for accurate calculations on molecular systems in gas and condensed phases","type":"article-journal","volume":"127"},"uris":["http://www.mendeley.com/documents/?uuid=3d838b58-566c-4c6e-8e09-ef6ad66f5eb0"]}],"mendeley":{"formattedCitation":"&lt;sup&gt;20&lt;/sup&gt;","plainTextFormattedCitation":"20","previouslyFormattedCitation":"&lt;sup&gt;20&lt;/sup&gt;"},"properties":{"noteIndex":0},"schema":"https://github.com/citation-style-language/schema/raw/master/csl-citation.json"}</w:instrText>
      </w:r>
      <w:r w:rsidR="00713045" w:rsidRPr="00976E92">
        <w:rPr>
          <w:rFonts w:ascii="Times New Roman" w:hAnsi="Times New Roman"/>
          <w:color w:val="000000"/>
          <w:lang w:val="en-US"/>
        </w:rPr>
        <w:fldChar w:fldCharType="separate"/>
      </w:r>
      <w:r w:rsidR="0037648F" w:rsidRPr="00976E92">
        <w:rPr>
          <w:rFonts w:ascii="Times New Roman" w:hAnsi="Times New Roman"/>
          <w:noProof/>
          <w:color w:val="000000"/>
          <w:vertAlign w:val="superscript"/>
          <w:lang w:val="en-US"/>
        </w:rPr>
        <w:t>20</w:t>
      </w:r>
      <w:r w:rsidR="00713045" w:rsidRPr="00976E92">
        <w:rPr>
          <w:rFonts w:ascii="Times New Roman" w:hAnsi="Times New Roman"/>
          <w:color w:val="000000"/>
          <w:lang w:val="en-US"/>
        </w:rPr>
        <w:fldChar w:fldCharType="end"/>
      </w:r>
      <w:r w:rsidRPr="00976E92">
        <w:rPr>
          <w:rFonts w:ascii="Times New Roman" w:hAnsi="Times New Roman"/>
          <w:color w:val="000000"/>
          <w:lang w:val="en-US"/>
        </w:rPr>
        <w:t xml:space="preserve"> Plane-waves with a cutoff of 400 Ry were used to represent the charge density, whereas the core electrons were described by the Goedecker-Teter-Hutter (GTH) pseudopotentials.</w:t>
      </w:r>
      <w:r w:rsidR="00713045" w:rsidRPr="00976E92">
        <w:rPr>
          <w:rFonts w:ascii="Times New Roman" w:hAnsi="Times New Roman"/>
          <w:color w:val="000000"/>
          <w:lang w:val="en-US"/>
        </w:rPr>
        <w:fldChar w:fldCharType="begin" w:fldLock="1"/>
      </w:r>
      <w:r w:rsidR="0037648F" w:rsidRPr="00976E92">
        <w:rPr>
          <w:rFonts w:ascii="Times New Roman" w:hAnsi="Times New Roman"/>
          <w:color w:val="000000"/>
          <w:lang w:val="en-US"/>
        </w:rPr>
        <w:instrText>ADDIN CSL_CITATION {"citationItems":[{"id":"ITEM-1","itemData":{"DOI":"10.1103/PhysRevB.54.1703","ISSN":"1550235X","PMID":"9986014","abstract":"We present pseudopotential coefficients for the first two rows of the Periodic Table. The pseudopotential is of an analytic form that gives optimal efficiency in numerical calculations using plane waves as a basis set. At most, seven coefficients are necessary to specify its analytic form. It is separable and has optimal decay properties in both real and Fourier space. Because of this property, the application of the nonlocal part of the pseudopotential to a wave function can be done efficiently on a grid in real space. Real space integration is much faster for large systems than ordinary multiplication in Fourier space, since it shows only quadratic scaling with respect to the size of the system. We systematically verify the high accuracy of these pseudopotentials by extensive atomic and molecular test calculations. © 1996 The American Physical Society.","author":[{"dropping-particle":"","family":"Goedecker","given":"S.","non-dropping-particle":"","parse-names":false,"suffix":""},{"dropping-particle":"","family":"Teter","given":"M.","non-dropping-particle":"","parse-names":false,"suffix":""}],"container-title":"Physical Review B - Condensed Matter and Materials Physics","id":"ITEM-1","issue":"3","issued":{"date-parts":[["1996"]]},"page":"1703-1710","title":"Separable dual-space Gaussian pseudopotentials","type":"article-journal","volume":"54"},"uris":["http://www.mendeley.com/documents/?uuid=a43b4541-3f48-4bfb-ba99-037ea84a9725"]},{"id":"ITEM-2","itemData":{"DOI":"10.1007/s00214-005-0655-y","ISSN":"1432881X","abstract":"Pseudopotential parameter sets for the elements from H to Kr using the relativistic, norm-conserving, separable, dual-space Gaussian-type pseudopotentials of Goedecker, Teter, and Hutter (GTH) are presented as optimized for the gradient-corrected exchange-correlation functionals of Becke, Lee, Yang, and Parr (BLYP), Becke and Perdew (BP), and Perdew, Burke, and Ernzerhof (PBE). The accuracy and reliability of the GTH pseudopotentials is shown by calculations for a series of small molecules. © Springer-Verlag 2005.","author":[{"dropping-particle":"","family":"Krack","given":"M.","non-dropping-particle":"","parse-names":false,"suffix":""}],"container-title":"Theoretical Chemistry Accounts","id":"ITEM-2","issue":"1-3","issued":{"date-parts":[["2005"]]},"page":"145-152","title":"Pseudopotentials for H to Kr optimized for gradient-corrected exchange-correlation functionals","type":"article-journal","volume":"114"},"uris":["http://www.mendeley.com/documents/?uuid=6748a4e1-018b-4035-b944-55ea3eb450d8"]}],"mendeley":{"formattedCitation":"&lt;sup&gt;21,22&lt;/sup&gt;","plainTextFormattedCitation":"21,22","previouslyFormattedCitation":"&lt;sup&gt;21,22&lt;/sup&gt;"},"properties":{"noteIndex":0},"schema":"https://github.com/citation-style-language/schema/raw/master/csl-citation.json"}</w:instrText>
      </w:r>
      <w:r w:rsidR="00713045" w:rsidRPr="00976E92">
        <w:rPr>
          <w:rFonts w:ascii="Times New Roman" w:hAnsi="Times New Roman"/>
          <w:color w:val="000000"/>
          <w:lang w:val="en-US"/>
        </w:rPr>
        <w:fldChar w:fldCharType="separate"/>
      </w:r>
      <w:r w:rsidR="0037648F" w:rsidRPr="00976E92">
        <w:rPr>
          <w:rFonts w:ascii="Times New Roman" w:hAnsi="Times New Roman"/>
          <w:noProof/>
          <w:color w:val="000000"/>
          <w:vertAlign w:val="superscript"/>
          <w:lang w:val="en-US"/>
        </w:rPr>
        <w:t>21,22</w:t>
      </w:r>
      <w:r w:rsidR="00713045" w:rsidRPr="00976E92">
        <w:rPr>
          <w:rFonts w:ascii="Times New Roman" w:hAnsi="Times New Roman"/>
          <w:color w:val="000000"/>
          <w:lang w:val="en-US"/>
        </w:rPr>
        <w:fldChar w:fldCharType="end"/>
      </w:r>
      <w:r w:rsidR="00713045" w:rsidRPr="00976E92">
        <w:rPr>
          <w:rFonts w:ascii="Times New Roman" w:hAnsi="Times New Roman"/>
          <w:color w:val="000000"/>
          <w:lang w:val="en-US"/>
        </w:rPr>
        <w:t xml:space="preserve"> </w:t>
      </w:r>
      <w:r w:rsidRPr="00976E92">
        <w:rPr>
          <w:rFonts w:ascii="Times New Roman" w:hAnsi="Times New Roman"/>
          <w:color w:val="000000"/>
          <w:lang w:val="en-US"/>
        </w:rPr>
        <w:t>The BLYP exchange-correlation functional was used together with a damped interatomic potential for dispersion interactions (Grimme-D3).</w:t>
      </w:r>
      <w:r w:rsidR="00713045" w:rsidRPr="00976E92">
        <w:rPr>
          <w:rFonts w:ascii="Times New Roman" w:hAnsi="Times New Roman"/>
          <w:color w:val="000000"/>
          <w:lang w:val="en-US"/>
        </w:rPr>
        <w:fldChar w:fldCharType="begin" w:fldLock="1"/>
      </w:r>
      <w:r w:rsidR="0037648F" w:rsidRPr="00976E92">
        <w:rPr>
          <w:rFonts w:ascii="Times New Roman" w:hAnsi="Times New Roman"/>
          <w:color w:val="000000"/>
          <w:lang w:val="en-US"/>
        </w:rPr>
        <w:instrText>ADDIN CSL_CITATION {"citationItems":[{"id":"ITEM-1","itemData":{"DOI":"10.1063/1.3382344","ISSN":"00219606","PMID":"20423165","abstract":"The method of dispersion correction as an add-on to standard Kohn-Sham density functional theory (DFT-D) has been refined regarding higher accuracy, broader range of applicability, and less empiricism. The main new ingredients are atom-pairwise specific dispersion coefficients and cutoff radii that are both computed from first principles. The coefficients for new eighth-order dispersion terms are computed using established recursion relations. System (geometry) dependent information is used for the first time in a DFT-D type approach by employing the new concept of fractional coordination numbers (CN). They are used to interpolate between dispersion coefficients of atoms in different chemical environments. The method only requires adjustment of two global parameters for each density functional, is asymptotically exact for a gas of weakly interacting neutral atoms, and easily allows the computation of atomic forces. Three-body nonadditivity terms are considered. The method has been assessed on standard benchmark sets for inter- and intramolecular noncovalent interactions with a particular emphasis on a consistent description of light and heavy element systems. The mean absolute deviations for the S22 benchmark set of noncovalent interactions for 11 standard density functionals decrease by 15%-40% compared to the previous (already accurate) DFT-D version. Spectacular improvements are found for a tripeptide-folding model and all tested metallic systems. The rectification of the long-range behavior and the use of more accurate C6 coefficients also lead to a much better description of large (infinite) systems as shown for graphene sheets and the adsorption of benzene on an Ag(111) surface. For graphene it is found that the inclusion of three-body terms substantially (by about 10%) weakens the interlayer binding. We propose the revised DFT-D method as a general tool for the computation of the dispersion energy in molecules and solids of any kind with DFT and related (low-cost) electronic structure methods for large systems. © 2010 American Institute of Physics.","author":[{"dropping-particle":"","family":"Grimme","given":"Stefan","non-dropping-particle":"","parse-names":false,"suffix":""},{"dropping-particle":"","family":"Antony","given":"Jens","non-dropping-particle":"","parse-names":false,"suffix":""},{"dropping-particle":"","family":"Ehrlich","given":"Stephan","non-dropping-particle":"","parse-names":false,"suffix":""},{"dropping-particle":"","family":"Krieg","given":"Helge","non-dropping-particle":"","parse-names":false,"suffix":""}],"container-title":"Journal of Chemical Physics","id":"ITEM-1","issue":"15","issued":{"date-parts":[["2010"]]},"title":"A consistent and accurate ab initio parametrization of density functional dispersion correction (DFT-D) for the 94 elements H-Pu","type":"article-journal","volume":"132"},"uris":["http://www.mendeley.com/documents/?uuid=752e4152-f2d8-40e5-90e1-db5552c8dd8b"]}],"mendeley":{"formattedCitation":"&lt;sup&gt;23&lt;/sup&gt;","plainTextFormattedCitation":"23","previouslyFormattedCitation":"&lt;sup&gt;23&lt;/sup&gt;"},"properties":{"noteIndex":0},"schema":"https://github.com/citation-style-language/schema/raw/master/csl-citation.json"}</w:instrText>
      </w:r>
      <w:r w:rsidR="00713045" w:rsidRPr="00976E92">
        <w:rPr>
          <w:rFonts w:ascii="Times New Roman" w:hAnsi="Times New Roman"/>
          <w:color w:val="000000"/>
          <w:lang w:val="en-US"/>
        </w:rPr>
        <w:fldChar w:fldCharType="separate"/>
      </w:r>
      <w:r w:rsidR="0037648F" w:rsidRPr="00976E92">
        <w:rPr>
          <w:rFonts w:ascii="Times New Roman" w:hAnsi="Times New Roman"/>
          <w:noProof/>
          <w:color w:val="000000"/>
          <w:vertAlign w:val="superscript"/>
          <w:lang w:val="en-US"/>
        </w:rPr>
        <w:t>23</w:t>
      </w:r>
      <w:r w:rsidR="00713045" w:rsidRPr="00976E92">
        <w:rPr>
          <w:rFonts w:ascii="Times New Roman" w:hAnsi="Times New Roman"/>
          <w:color w:val="000000"/>
          <w:lang w:val="en-US"/>
        </w:rPr>
        <w:fldChar w:fldCharType="end"/>
      </w:r>
      <w:r w:rsidRPr="00976E92">
        <w:rPr>
          <w:rFonts w:ascii="Times New Roman" w:hAnsi="Times New Roman"/>
          <w:color w:val="000000"/>
          <w:lang w:val="en-US"/>
        </w:rPr>
        <w:t xml:space="preserve"> Simulations were conducted using a </w:t>
      </w:r>
      <w:r w:rsidR="00512374" w:rsidRPr="00976E92">
        <w:rPr>
          <w:rFonts w:ascii="Times New Roman" w:hAnsi="Times New Roman"/>
          <w:color w:val="000000"/>
          <w:lang w:val="en-US"/>
        </w:rPr>
        <w:t>time step</w:t>
      </w:r>
      <w:r w:rsidRPr="00976E92">
        <w:rPr>
          <w:rFonts w:ascii="Times New Roman" w:hAnsi="Times New Roman"/>
          <w:color w:val="000000"/>
          <w:lang w:val="en-US"/>
        </w:rPr>
        <w:t xml:space="preserve"> of 0.4 fs.</w:t>
      </w:r>
    </w:p>
    <w:p w14:paraId="655AD9ED" w14:textId="41F3D871" w:rsidR="004C0081" w:rsidRPr="00976E92" w:rsidRDefault="004C0081" w:rsidP="004C0081">
      <w:pPr>
        <w:spacing w:before="120" w:after="120"/>
        <w:jc w:val="both"/>
        <w:rPr>
          <w:rFonts w:ascii="Times New Roman" w:hAnsi="Times New Roman"/>
          <w:color w:val="000000"/>
          <w:lang w:val="en-US"/>
        </w:rPr>
      </w:pPr>
      <w:r w:rsidRPr="00976E92">
        <w:rPr>
          <w:rFonts w:ascii="Times New Roman" w:hAnsi="Times New Roman"/>
          <w:color w:val="000000"/>
          <w:lang w:val="en-US"/>
        </w:rPr>
        <w:t>The average hydrogen bond strengths shown in this work were obtained by performing ALMO-EDA for 500 AIMD snapshots uniformly sampled from the 50 ps production trajectories. The technical details behind ALMO are described elsewhere.</w:t>
      </w:r>
      <w:r w:rsidR="00713045" w:rsidRPr="00976E92">
        <w:rPr>
          <w:rFonts w:ascii="Times New Roman" w:hAnsi="Times New Roman"/>
          <w:color w:val="000000"/>
          <w:lang w:val="en-US"/>
        </w:rPr>
        <w:fldChar w:fldCharType="begin" w:fldLock="1"/>
      </w:r>
      <w:r w:rsidR="0037648F" w:rsidRPr="00976E92">
        <w:rPr>
          <w:rFonts w:ascii="Times New Roman" w:hAnsi="Times New Roman"/>
          <w:color w:val="000000"/>
          <w:lang w:val="en-US"/>
        </w:rPr>
        <w:instrText>ADDIN CSL_CITATION {"citationItems":[{"id":"ITEM-1","itemData":{"DOI":"10.1021/jp073685z","ISSN":"10895639","PMID":"17655284","abstract":"An energy decomposition analysis (EDA) method is proposed to isolate physically relevant components of the total intermolecular interaction energies such as the contribution from interacting frozen monomer densities, the energy lowering due to polarization of the densities, and the further energy lowering due to charge-transfer effects. This method is conceptually similar to existing EDA methods such as Morokuma analysis but includes several important new features. The first is a fully self-consistent treatment of the energy lowering due to polarization, which is evaluated by a self-consistent field calculation in which the molecular orbital coefficients are constrained to be block-diagonal (absolutely localized) in the interacting molecules to prohibit charge transfer. The second new feature is the ability to separate forward and back-donation in the charge-transfer energy term using a perturbative approximation starting from the optimized block-diagonal reference. The newly proposed EDA method is used to understand the fundamental aspects of intermolecular interactions such as the degree of covalency in the hydrogen bonding in water and the contributions of forward and back-donation in synergic bonding in metal complexes. Additionally, it is demonstrated that this method can be used to identify the factors controlling the interaction of the molecular hydrogen with open metal centers in potential hydrogen storage materials and the interaction of methane with rhenium complexes. © 2007 American Chemical Society.","author":[{"dropping-particle":"","family":"Khaliullin","given":"Rustam Z.","non-dropping-particle":"","parse-names":false,"suffix":""},{"dropping-particle":"","family":"Cobar","given":"Erika A.","non-dropping-particle":"","parse-names":false,"suffix":""},{"dropping-particle":"","family":"Lochan","given":"Rohini C.","non-dropping-particle":"","parse-names":false,"suffix":""},{"dropping-particle":"","family":"Bell","given":"Alexis T.","non-dropping-particle":"","parse-names":false,"suffix":""},{"dropping-particle":"","family":"Head-Gordon","given":"Martin","non-dropping-particle":"","parse-names":false,"suffix":""}],"container-title":"Journal of Physical Chemistry A","id":"ITEM-1","issue":"36","issued":{"date-parts":[["2007"]]},"page":"8753-8765","title":"Unravelling the origin of intermolecular interactions using absolutely localized molecular orbitals","type":"article-journal","volume":"111"},"uris":["http://www.mendeley.com/documents/?uuid=f6f745cf-11ae-4c19-b8d2-118419f36df9"]}],"mendeley":{"formattedCitation":"&lt;sup&gt;24&lt;/sup&gt;","plainTextFormattedCitation":"24","previouslyFormattedCitation":"&lt;sup&gt;24&lt;/sup&gt;"},"properties":{"noteIndex":0},"schema":"https://github.com/citation-style-language/schema/raw/master/csl-citation.json"}</w:instrText>
      </w:r>
      <w:r w:rsidR="00713045" w:rsidRPr="00976E92">
        <w:rPr>
          <w:rFonts w:ascii="Times New Roman" w:hAnsi="Times New Roman"/>
          <w:color w:val="000000"/>
          <w:lang w:val="en-US"/>
        </w:rPr>
        <w:fldChar w:fldCharType="separate"/>
      </w:r>
      <w:r w:rsidR="0037648F" w:rsidRPr="00976E92">
        <w:rPr>
          <w:rFonts w:ascii="Times New Roman" w:hAnsi="Times New Roman"/>
          <w:noProof/>
          <w:color w:val="000000"/>
          <w:vertAlign w:val="superscript"/>
          <w:lang w:val="en-US"/>
        </w:rPr>
        <w:t>24</w:t>
      </w:r>
      <w:r w:rsidR="00713045" w:rsidRPr="00976E92">
        <w:rPr>
          <w:rFonts w:ascii="Times New Roman" w:hAnsi="Times New Roman"/>
          <w:color w:val="000000"/>
          <w:lang w:val="en-US"/>
        </w:rPr>
        <w:fldChar w:fldCharType="end"/>
      </w:r>
      <w:r w:rsidRPr="00976E92">
        <w:rPr>
          <w:rFonts w:ascii="Times New Roman" w:hAnsi="Times New Roman"/>
          <w:color w:val="000000"/>
          <w:lang w:val="en-US"/>
        </w:rPr>
        <w:t xml:space="preserve"> All ALMO-EDA calculations in this work were performed using the ALMO-EDA implementation in CP2K program</w:t>
      </w:r>
      <w:r w:rsidR="00713045" w:rsidRPr="00976E92">
        <w:rPr>
          <w:rFonts w:ascii="Times New Roman" w:hAnsi="Times New Roman"/>
          <w:color w:val="000000"/>
          <w:lang w:val="en-US"/>
        </w:rPr>
        <w:fldChar w:fldCharType="begin" w:fldLock="1"/>
      </w:r>
      <w:r w:rsidR="0037648F" w:rsidRPr="00976E92">
        <w:rPr>
          <w:rFonts w:ascii="Times New Roman" w:hAnsi="Times New Roman"/>
          <w:color w:val="000000"/>
          <w:lang w:val="en-US"/>
        </w:rPr>
        <w:instrText>ADDIN CSL_CITATION {"citationItems":[{"id":"ITEM-1","itemData":{"DOI":"10.1063/5.0007045","ISSN":"10897690","PMID":"33687235","abstract":"CP2K is an open source electronic structure and molecular dynamics software package to perform atomistic simulations of solid-state, liquid, molecular, and biological systems. It is especially aimed at massively parallel and linear-scaling electronic structure methods and state-of-theart ab initio molecular dynamics simulations. Excellent performance for electronic structure calculations is achieved using novel algorithms implemented for modern high-performance computing systems. This review revisits the main capabilities of CP2K to perform efficient and accurate electronic structure simulations. The emphasis is put on density functional theory and multiple post-Hartree-Fock methods using the Gaussian and plane wave approach and its augmented all-electron extension.","author":[{"dropping-particle":"","family":"Kühne","given":"Thomas D.","non-dropping-particle":"","parse-names":false,"suffix":""},{"dropping-particle":"","family":"Iannuzzi","given":"Marcella","non-dropping-particle":"","parse-names":false,"suffix":""},{"dropping-particle":"","family":"Ben","given":"Mauro","non-dropping-particle":"Del","parse-names":false,"suffix":""},{"dropping-particle":"V.","family":"Rybkin","given":"Vladimir","non-dropping-particle":"","parse-names":false,"suffix":""},{"dropping-particle":"","family":"Seewald","given":"Patrick","non-dropping-particle":"","parse-names":false,"suffix":""},{"dropping-particle":"","family":"Stein","given":"Frederick","non-dropping-particle":"","parse-names":false,"suffix":""},{"dropping-particle":"","family":"Laino","given":"Teodoro","non-dropping-particle":"","parse-names":false,"suffix":""},{"dropping-particle":"","family":"Khaliullin","given":"Rustam Z.","non-dropping-particle":"","parse-names":false,"suffix":""},{"dropping-particle":"","family":"Schütt","given":"Ole","non-dropping-particle":"","parse-names":false,"suffix":""},{"dropping-particle":"","family":"Schiffmann","given":"Florian","non-dropping-particle":"","parse-names":false,"suffix":""},{"dropping-particle":"","family":"Golze","given":"Dorothea","non-dropping-particle":"","parse-names":false,"suffix":""},{"dropping-particle":"","family":"Wilhelm","given":"Jan","non-dropping-particle":"","parse-names":false,"suffix":""},{"dropping-particle":"","family":"Chulkov","given":"Sergey","non-dropping-particle":"","parse-names":false,"suffix":""},{"dropping-particle":"","family":"Bani-Hashemian","given":"Mohammad Hossein","non-dropping-particle":"","parse-names":false,"suffix":""},{"dropping-particle":"","family":"Weber","given":"Valéry","non-dropping-particle":"","parse-names":false,"suffix":""},{"dropping-particle":"","family":"Borštnik","given":"Urban","non-dropping-particle":"","parse-names":false,"suffix":""},{"dropping-particle":"","family":"Taillefumier","given":"Mathieu","non-dropping-particle":"","parse-names":false,"suffix":""},{"dropping-particle":"","family":"Jakobovits","given":"Alice Shoshana","non-dropping-particle":"","parse-names":false,"suffix":""},{"dropping-particle":"","family":"Lazzaro","given":"Alfio","non-dropping-particle":"","parse-names":false,"suffix":""},{"dropping-particle":"","family":"Pabst","given":"Hans","non-dropping-particle":"","parse-names":false,"suffix":""},{"dropping-particle":"","family":"Müller","given":"Tiziano","non-dropping-particle":"","parse-names":false,"suffix":""},{"dropping-particle":"","family":"Schade","given":"Robert","non-dropping-particle":"","parse-names":false,"suffix":""},{"dropping-particle":"","family":"Guidon","given":"Manuel","non-dropping-particle":"","parse-names":false,"suffix":""},{"dropping-particle":"","family":"Andermatt","given":"Samuel","non-dropping-particle":"","parse-names":false,"suffix":""},{"dropping-particle":"","family":"Holmberg","given":"Nico","non-dropping-particle":"","parse-names":false,"suffix":""},{"dropping-particle":"","family":"Schenter","given":"Gregory K.","non-dropping-particle":"","parse-names":false,"suffix":""},{"dropping-particle":"","family":"Hehn","given":"Anna","non-dropping-particle":"","parse-names":false,"suffix":""},{"dropping-particle":"","family":"Bussy","given":"Augustin","non-dropping-particle":"","parse-names":false,"suffix":""},{"dropping-particle":"","family":"Belleflamme","given":"Fabian","non-dropping-particle":"","parse-names":false,"suffix":""},{"dropping-particle":"","family":"Tabacchi","given":"Gloria","non-dropping-particle":"","parse-names":false,"suffix":""},{"dropping-particle":"","family":"Glöß","given":"Andreas","non-dropping-particle":"","parse-names":false,"suffix":""},{"dropping-particle":"","family":"Lass","given":"Michael","non-dropping-particle":"","parse-names":false,"suffix":""},{"dropping-particle":"","family":"Bethune","given":"Iain","non-dropping-particle":"","parse-names":false,"suffix":""},{"dropping-particle":"","family":"Mundy","given":"Christopher J.","non-dropping-particle":"","parse-names":false,"suffix":""},{"dropping-particle":"","family":"Plessl","given":"Christian","non-dropping-particle":"","parse-names":false,"suffix":""},{"dropping-particle":"","family":"Watkins","given":"Matt","non-dropping-particle":"","parse-names":false,"suffix":""},{"dropping-particle":"","family":"VandeVondele","given":"Joost","non-dropping-particle":"","parse-names":false,"suffix":""},{"dropping-particle":"","family":"Krack","given":"Matthias","non-dropping-particle":"","parse-names":false,"suffix":""},{"dropping-particle":"","family":"Hutter","given":"Jürg","non-dropping-particle":"","parse-names":false,"suffix":""}],"container-title":"Journal of Chemical Physics","id":"ITEM-1","issue":"19","issued":{"date-parts":[["2020"]]},"publisher":"AIP Publishing, LLC","title":"CP2K: An electronic structure and molecular dynamics software package -Quickstep: Efficient and accurate electronic structure calculations","type":"article-journal","volume":"152"},"uris":["http://www.mendeley.com/documents/?uuid=3eae8669-afe6-44f8-a19d-f3924ce99ce9"]}],"mendeley":{"formattedCitation":"&lt;sup&gt;18&lt;/sup&gt;","plainTextFormattedCitation":"18","previouslyFormattedCitation":"&lt;sup&gt;18&lt;/sup&gt;"},"properties":{"noteIndex":0},"schema":"https://github.com/citation-style-language/schema/raw/master/csl-citation.json"}</w:instrText>
      </w:r>
      <w:r w:rsidR="00713045" w:rsidRPr="00976E92">
        <w:rPr>
          <w:rFonts w:ascii="Times New Roman" w:hAnsi="Times New Roman"/>
          <w:color w:val="000000"/>
          <w:lang w:val="en-US"/>
        </w:rPr>
        <w:fldChar w:fldCharType="separate"/>
      </w:r>
      <w:r w:rsidR="0037648F" w:rsidRPr="00976E92">
        <w:rPr>
          <w:rFonts w:ascii="Times New Roman" w:hAnsi="Times New Roman"/>
          <w:noProof/>
          <w:color w:val="000000"/>
          <w:vertAlign w:val="superscript"/>
          <w:lang w:val="en-US"/>
        </w:rPr>
        <w:t>18</w:t>
      </w:r>
      <w:r w:rsidR="00713045" w:rsidRPr="00976E92">
        <w:rPr>
          <w:rFonts w:ascii="Times New Roman" w:hAnsi="Times New Roman"/>
          <w:color w:val="000000"/>
          <w:lang w:val="en-US"/>
        </w:rPr>
        <w:fldChar w:fldCharType="end"/>
      </w:r>
      <w:r w:rsidRPr="00976E92">
        <w:rPr>
          <w:rFonts w:ascii="Times New Roman" w:hAnsi="Times New Roman"/>
          <w:color w:val="000000"/>
          <w:lang w:val="en-US"/>
        </w:rPr>
        <w:t xml:space="preserve"> with same settings as described in our AIMD simulations. </w:t>
      </w:r>
    </w:p>
    <w:p w14:paraId="4C0F1505" w14:textId="77777777" w:rsidR="004C0081" w:rsidRPr="00976E92" w:rsidRDefault="004C0081" w:rsidP="004C0081">
      <w:pPr>
        <w:spacing w:before="120" w:after="120"/>
        <w:jc w:val="both"/>
        <w:rPr>
          <w:rFonts w:ascii="Times New Roman" w:hAnsi="Times New Roman"/>
          <w:color w:val="000000"/>
          <w:lang w:val="en-US"/>
        </w:rPr>
      </w:pPr>
      <w:r w:rsidRPr="00976E92">
        <w:rPr>
          <w:rFonts w:ascii="Times New Roman" w:hAnsi="Times New Roman" w:cstheme="majorBidi"/>
          <w:b/>
          <w:bCs/>
          <w:color w:val="000000"/>
          <w:sz w:val="24"/>
          <w:szCs w:val="24"/>
          <w:lang w:val="en-US"/>
        </w:rPr>
        <w:t>Calculation of polarizability anisotropy</w:t>
      </w:r>
    </w:p>
    <w:p w14:paraId="79A6503B" w14:textId="51A63503" w:rsidR="004C0081" w:rsidRPr="00976E92" w:rsidRDefault="004C0081" w:rsidP="00512374">
      <w:pPr>
        <w:pStyle w:val="FirstParagraph"/>
        <w:jc w:val="both"/>
        <w:rPr>
          <w:lang w:val="en-US"/>
        </w:rPr>
      </w:pPr>
      <w:r w:rsidRPr="00976E92">
        <w:rPr>
          <w:rFonts w:ascii="Times New Roman" w:hAnsi="Times New Roman"/>
          <w:color w:val="000000"/>
          <w:lang w:val="en-US"/>
        </w:rPr>
        <w:t>The polarizability anisotropy was calculated from the ensemble-averaged difference between the xx-component of the polarizability tensor, and the average of the remaining two diagonal components, yy and zz (laboratory reference frame, with the x-axis being defined by the THz electric field):</w:t>
      </w:r>
    </w:p>
    <w:p w14:paraId="7C60EB74" w14:textId="77777777" w:rsidR="004C0081" w:rsidRPr="00976E92" w:rsidRDefault="004C0081" w:rsidP="004C0081">
      <w:pPr>
        <w:pStyle w:val="BodyText"/>
        <w:jc w:val="center"/>
        <w:rPr>
          <w:lang w:val="en-US"/>
        </w:rPr>
      </w:pPr>
      <m:oMathPara>
        <m:oMathParaPr>
          <m:jc m:val="center"/>
        </m:oMathParaPr>
        <m:oMath>
          <m:r>
            <w:rPr>
              <w:rFonts w:ascii="Cambria Math" w:hAnsi="Cambria Math"/>
              <w:lang w:val="en-US"/>
            </w:rPr>
            <m:t>△</m:t>
          </m:r>
          <m:r>
            <w:rPr>
              <w:rFonts w:ascii="Cambria Math" w:hAnsi="Cambria Math"/>
            </w:rPr>
            <m:t>α</m:t>
          </m:r>
          <m:r>
            <w:rPr>
              <w:rFonts w:ascii="Cambria Math" w:hAnsi="Cambria Math"/>
              <w:lang w:val="en-US"/>
            </w:rPr>
            <m:t>=</m:t>
          </m:r>
          <m:sSub>
            <m:sSubPr>
              <m:ctrlPr>
                <w:rPr>
                  <w:rFonts w:ascii="Cambria Math" w:hAnsi="Cambria Math"/>
                </w:rPr>
              </m:ctrlPr>
            </m:sSubPr>
            <m:e>
              <m:r>
                <w:rPr>
                  <w:rFonts w:ascii="Cambria Math" w:hAnsi="Cambria Math"/>
                </w:rPr>
                <m:t>α</m:t>
              </m:r>
            </m:e>
            <m:sub>
              <m:r>
                <w:rPr>
                  <w:rFonts w:ascii="Cambria Math" w:hAnsi="Cambria Math"/>
                </w:rPr>
                <m:t>xx</m:t>
              </m:r>
            </m:sub>
          </m:sSub>
          <m:r>
            <w:rPr>
              <w:rFonts w:ascii="Cambria Math" w:hAnsi="Cambria Math"/>
              <w:lang w:val="en-US"/>
            </w:rPr>
            <m:t>-</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α</m:t>
                      </m:r>
                    </m:e>
                    <m:sub>
                      <m:r>
                        <w:rPr>
                          <w:rFonts w:ascii="Cambria Math" w:hAnsi="Cambria Math"/>
                        </w:rPr>
                        <m:t>yy</m:t>
                      </m:r>
                    </m:sub>
                  </m:sSub>
                  <m:r>
                    <w:rPr>
                      <w:rFonts w:ascii="Cambria Math" w:hAnsi="Cambria Math"/>
                      <w:lang w:val="en-US"/>
                    </w:rPr>
                    <m:t>+</m:t>
                  </m:r>
                  <m:sSub>
                    <m:sSubPr>
                      <m:ctrlPr>
                        <w:rPr>
                          <w:rFonts w:ascii="Cambria Math" w:hAnsi="Cambria Math"/>
                        </w:rPr>
                      </m:ctrlPr>
                    </m:sSubPr>
                    <m:e>
                      <m:r>
                        <w:rPr>
                          <w:rFonts w:ascii="Cambria Math" w:hAnsi="Cambria Math"/>
                        </w:rPr>
                        <m:t>α</m:t>
                      </m:r>
                    </m:e>
                    <m:sub>
                      <m:r>
                        <w:rPr>
                          <w:rFonts w:ascii="Cambria Math" w:hAnsi="Cambria Math"/>
                        </w:rPr>
                        <m:t>zz</m:t>
                      </m:r>
                    </m:sub>
                  </m:sSub>
                </m:num>
                <m:den>
                  <m:r>
                    <w:rPr>
                      <w:rFonts w:ascii="Cambria Math" w:hAnsi="Cambria Math"/>
                      <w:lang w:val="en-US"/>
                    </w:rPr>
                    <m:t>2</m:t>
                  </m:r>
                </m:den>
              </m:f>
            </m:e>
          </m:d>
        </m:oMath>
      </m:oMathPara>
    </w:p>
    <w:p w14:paraId="2D35C371" w14:textId="77777777" w:rsidR="004C0081" w:rsidRPr="00976E92" w:rsidRDefault="004C0081" w:rsidP="004C0081">
      <w:pPr>
        <w:pStyle w:val="FirstParagraph"/>
        <w:jc w:val="both"/>
        <w:rPr>
          <w:lang w:val="en-US"/>
        </w:rPr>
      </w:pPr>
      <w:r w:rsidRPr="00976E92">
        <w:rPr>
          <w:rFonts w:ascii="Times New Roman" w:hAnsi="Times New Roman"/>
          <w:color w:val="000000"/>
          <w:lang w:val="en-US"/>
        </w:rPr>
        <w:t>The total polarizability of each component can be calculated by summing the permanent (</w:t>
      </w:r>
      <m:oMath>
        <m:sSup>
          <m:sSupPr>
            <m:ctrlPr>
              <w:rPr>
                <w:rFonts w:ascii="Cambria Math" w:hAnsi="Cambria Math"/>
              </w:rPr>
            </m:ctrlPr>
          </m:sSupPr>
          <m:e>
            <m:r>
              <w:rPr>
                <w:rFonts w:ascii="Cambria Math" w:hAnsi="Cambria Math"/>
              </w:rPr>
              <m:t>α</m:t>
            </m:r>
          </m:e>
          <m:sup>
            <m:r>
              <w:rPr>
                <w:rFonts w:ascii="Cambria Math" w:hAnsi="Cambria Math"/>
              </w:rPr>
              <m:t>perm</m:t>
            </m:r>
          </m:sup>
        </m:sSup>
      </m:oMath>
      <w:r w:rsidRPr="00976E92">
        <w:rPr>
          <w:rFonts w:ascii="Times New Roman" w:hAnsi="Times New Roman"/>
          <w:color w:val="000000"/>
          <w:lang w:val="en-US"/>
        </w:rPr>
        <w:t>) and induced (</w:t>
      </w:r>
      <m:oMath>
        <m:sSup>
          <m:sSupPr>
            <m:ctrlPr>
              <w:rPr>
                <w:rFonts w:ascii="Cambria Math" w:hAnsi="Cambria Math"/>
              </w:rPr>
            </m:ctrlPr>
          </m:sSupPr>
          <m:e>
            <m:r>
              <w:rPr>
                <w:rFonts w:ascii="Cambria Math" w:hAnsi="Cambria Math"/>
              </w:rPr>
              <m:t>α</m:t>
            </m:r>
          </m:e>
          <m:sup>
            <m:r>
              <w:rPr>
                <w:rFonts w:ascii="Cambria Math" w:hAnsi="Cambria Math"/>
              </w:rPr>
              <m:t>ind</m:t>
            </m:r>
          </m:sup>
        </m:sSup>
      </m:oMath>
      <w:r w:rsidRPr="00976E92">
        <w:rPr>
          <w:rFonts w:ascii="Times New Roman" w:hAnsi="Times New Roman"/>
          <w:color w:val="000000"/>
          <w:lang w:val="en-US"/>
        </w:rPr>
        <w:t>) polarizabilites of all the molecules in the system:</w:t>
      </w:r>
    </w:p>
    <w:p w14:paraId="02979B19" w14:textId="77777777" w:rsidR="004C0081" w:rsidRPr="00976E92" w:rsidRDefault="00A040FD" w:rsidP="004C0081">
      <w:pPr>
        <w:pStyle w:val="BodyText"/>
        <w:jc w:val="center"/>
        <w:rPr>
          <w:lang w:val="en-US"/>
        </w:rPr>
      </w:pPr>
      <m:oMathPara>
        <m:oMathParaPr>
          <m:jc m:val="center"/>
        </m:oMathParaPr>
        <m:oMath>
          <m:sSub>
            <m:sSubPr>
              <m:ctrlPr>
                <w:rPr>
                  <w:rFonts w:ascii="Cambria Math" w:hAnsi="Cambria Math"/>
                </w:rPr>
              </m:ctrlPr>
            </m:sSubPr>
            <m:e>
              <m:r>
                <w:rPr>
                  <w:rFonts w:ascii="Cambria Math" w:hAnsi="Cambria Math"/>
                </w:rPr>
                <m:t>α</m:t>
              </m:r>
            </m:e>
            <m:sub>
              <m:r>
                <w:rPr>
                  <w:rFonts w:ascii="Cambria Math" w:hAnsi="Cambria Math"/>
                </w:rPr>
                <m:t>total</m:t>
              </m:r>
            </m:sub>
          </m:sSub>
          <m:r>
            <w:rPr>
              <w:rFonts w:ascii="Cambria Math" w:hAnsi="Cambria Math"/>
              <w:lang w:val="en-US"/>
            </w:rPr>
            <m:t>=</m:t>
          </m:r>
          <m:nary>
            <m:naryPr>
              <m:chr m:val="∑"/>
              <m:ctrlPr>
                <w:rPr>
                  <w:rFonts w:ascii="Cambria Math" w:hAnsi="Cambria Math"/>
                </w:rPr>
              </m:ctrlPr>
            </m:naryPr>
            <m:sub>
              <m:r>
                <w:rPr>
                  <w:rFonts w:ascii="Cambria Math" w:hAnsi="Cambria Math"/>
                </w:rPr>
                <m:t>i</m:t>
              </m:r>
              <m:r>
                <w:rPr>
                  <w:rFonts w:ascii="Cambria Math" w:hAnsi="Cambria Math"/>
                  <w:lang w:val="en-US"/>
                </w:rPr>
                <m:t>=1</m:t>
              </m:r>
            </m:sub>
            <m:sup>
              <m:r>
                <w:rPr>
                  <w:rFonts w:ascii="Cambria Math" w:hAnsi="Cambria Math"/>
                </w:rPr>
                <m:t>n</m:t>
              </m:r>
            </m:sup>
            <m:e>
              <m:d>
                <m:dPr>
                  <m:ctrlPr>
                    <w:rPr>
                      <w:rFonts w:ascii="Cambria Math" w:hAnsi="Cambria Math"/>
                    </w:rPr>
                  </m:ctrlPr>
                </m:dPr>
                <m:e>
                  <m:sSubSup>
                    <m:sSubSupPr>
                      <m:ctrlPr>
                        <w:rPr>
                          <w:rFonts w:ascii="Cambria Math" w:hAnsi="Cambria Math"/>
                        </w:rPr>
                      </m:ctrlPr>
                    </m:sSubSupPr>
                    <m:e>
                      <m:r>
                        <w:rPr>
                          <w:rFonts w:ascii="Cambria Math" w:hAnsi="Cambria Math"/>
                        </w:rPr>
                        <m:t>α</m:t>
                      </m:r>
                    </m:e>
                    <m:sub>
                      <m:r>
                        <w:rPr>
                          <w:rFonts w:ascii="Cambria Math" w:hAnsi="Cambria Math"/>
                        </w:rPr>
                        <m:t>i</m:t>
                      </m:r>
                    </m:sub>
                    <m:sup>
                      <m:r>
                        <w:rPr>
                          <w:rFonts w:ascii="Cambria Math" w:hAnsi="Cambria Math"/>
                        </w:rPr>
                        <m:t>perm</m:t>
                      </m:r>
                    </m:sup>
                  </m:sSubSup>
                  <m:r>
                    <w:rPr>
                      <w:rFonts w:ascii="Cambria Math" w:hAnsi="Cambria Math"/>
                      <w:lang w:val="en-US"/>
                    </w:rPr>
                    <m:t>+</m:t>
                  </m:r>
                  <m:sSubSup>
                    <m:sSubSupPr>
                      <m:ctrlPr>
                        <w:rPr>
                          <w:rFonts w:ascii="Cambria Math" w:hAnsi="Cambria Math"/>
                        </w:rPr>
                      </m:ctrlPr>
                    </m:sSubSupPr>
                    <m:e>
                      <m:r>
                        <w:rPr>
                          <w:rFonts w:ascii="Cambria Math" w:hAnsi="Cambria Math"/>
                        </w:rPr>
                        <m:t>α</m:t>
                      </m:r>
                    </m:e>
                    <m:sub>
                      <m:r>
                        <w:rPr>
                          <w:rFonts w:ascii="Cambria Math" w:hAnsi="Cambria Math"/>
                        </w:rPr>
                        <m:t>i</m:t>
                      </m:r>
                    </m:sub>
                    <m:sup>
                      <m:r>
                        <w:rPr>
                          <w:rFonts w:ascii="Cambria Math" w:hAnsi="Cambria Math"/>
                        </w:rPr>
                        <m:t>ind</m:t>
                      </m:r>
                    </m:sup>
                  </m:sSubSup>
                </m:e>
              </m:d>
            </m:e>
          </m:nary>
        </m:oMath>
      </m:oMathPara>
    </w:p>
    <w:p w14:paraId="0D25C7C8" w14:textId="77777777" w:rsidR="004C0081" w:rsidRPr="00976E92" w:rsidRDefault="004C0081" w:rsidP="004C0081">
      <w:pPr>
        <w:pStyle w:val="FirstParagraph"/>
        <w:jc w:val="both"/>
        <w:rPr>
          <w:rFonts w:ascii="Times New Roman" w:hAnsi="Times New Roman"/>
          <w:color w:val="000000"/>
          <w:lang w:val="en-US"/>
        </w:rPr>
      </w:pPr>
      <w:r w:rsidRPr="00976E92">
        <w:rPr>
          <w:rFonts w:ascii="Times New Roman" w:hAnsi="Times New Roman"/>
          <w:color w:val="000000"/>
          <w:lang w:val="en-US"/>
        </w:rPr>
        <w:t xml:space="preserve">where </w:t>
      </w:r>
      <m:oMath>
        <m:r>
          <w:rPr>
            <w:rFonts w:ascii="Cambria Math" w:hAnsi="Cambria Math"/>
          </w:rPr>
          <m:t>n</m:t>
        </m:r>
      </m:oMath>
      <w:r w:rsidRPr="00976E92">
        <w:rPr>
          <w:rFonts w:ascii="Times New Roman" w:hAnsi="Times New Roman"/>
          <w:color w:val="000000"/>
          <w:lang w:val="en-US"/>
        </w:rPr>
        <w:t xml:space="preserve"> is the total number of molecules.</w:t>
      </w:r>
    </w:p>
    <w:p w14:paraId="7D6DF1E3" w14:textId="7B395D69" w:rsidR="004C0081" w:rsidRPr="00976E92" w:rsidRDefault="004C0081" w:rsidP="004C0081">
      <w:pPr>
        <w:pStyle w:val="BodyText"/>
        <w:jc w:val="both"/>
        <w:rPr>
          <w:lang w:val="en-US"/>
        </w:rPr>
      </w:pPr>
      <w:r w:rsidRPr="00976E92">
        <w:rPr>
          <w:rFonts w:ascii="Times New Roman" w:hAnsi="Times New Roman"/>
          <w:color w:val="000000"/>
          <w:lang w:val="en-US"/>
        </w:rPr>
        <w:t>The induced polarizability of each molecule is computed by an extended dipole-induced dipole (DID) mechanism in a self-consistent field (SCF) manner</w:t>
      </w:r>
      <w:r w:rsidR="00713045" w:rsidRPr="00976E92">
        <w:rPr>
          <w:rFonts w:ascii="Times New Roman" w:hAnsi="Times New Roman"/>
          <w:color w:val="000000"/>
          <w:lang w:val="en-US"/>
        </w:rPr>
        <w:t>.</w:t>
      </w:r>
      <w:r w:rsidR="00713045" w:rsidRPr="00976E92">
        <w:rPr>
          <w:rFonts w:ascii="Times New Roman" w:hAnsi="Times New Roman"/>
          <w:color w:val="000000"/>
          <w:lang w:val="en-US"/>
        </w:rPr>
        <w:fldChar w:fldCharType="begin" w:fldLock="1"/>
      </w:r>
      <w:r w:rsidR="0037648F" w:rsidRPr="00976E92">
        <w:rPr>
          <w:rFonts w:ascii="Times New Roman" w:hAnsi="Times New Roman"/>
          <w:color w:val="000000"/>
          <w:lang w:val="en-US"/>
        </w:rPr>
        <w:instrText>ADDIN CSL_CITATION {"citationItems":[{"id":"ITEM-1","itemData":{"DOI":"10.1016/S0009-2614(02)00043-X","ISSN":"00092614","abstract":"The dipole-induced dipole (DID) mechanism for generating Raman and optical Kerr effect (OKE) intensities is extended to include the effect of the interaction between first hyperpolarizability and dipole field. This extended mechanism, called 'extended DID' (XDID) mechanism, is used to calculate Raman spectra and OKE signals of liquid formamide and N-methylformamide. It is shown that the effect of the newly added term in the XDID mechanism is on the same order of magnitude as that of the interaction-induced term originally included in the DID mechanism. The signs and the magnitudes of the intensity changes induced by the newly added term are discussed. © 2002 Elsevier Science B.V. All rights reserved.","author":[{"dropping-particle":"","family":"Torii","given":"Hajime","non-dropping-particle":"","parse-names":false,"suffix":""}],"container-title":"Chemical Physics Letters","id":"ITEM-1","issue":"5-6","issued":{"date-parts":[["2002"]]},"page":"431-438","title":"Extended dipole-induced dipole mechanism for generating Raman and optical Kerr effect intensities of low-frequency dynamics in liquids","type":"article-journal","volume":"353"},"uris":["http://www.mendeley.com/documents/?uuid=ca203908-d450-498b-b47b-c6e04acf32af"]}],"mendeley":{"formattedCitation":"&lt;sup&gt;25&lt;/sup&gt;","plainTextFormattedCitation":"25","previouslyFormattedCitation":"&lt;sup&gt;25&lt;/sup&gt;"},"properties":{"noteIndex":0},"schema":"https://github.com/citation-style-language/schema/raw/master/csl-citation.json"}</w:instrText>
      </w:r>
      <w:r w:rsidR="00713045" w:rsidRPr="00976E92">
        <w:rPr>
          <w:rFonts w:ascii="Times New Roman" w:hAnsi="Times New Roman"/>
          <w:color w:val="000000"/>
          <w:lang w:val="en-US"/>
        </w:rPr>
        <w:fldChar w:fldCharType="separate"/>
      </w:r>
      <w:r w:rsidR="0037648F" w:rsidRPr="00976E92">
        <w:rPr>
          <w:rFonts w:ascii="Times New Roman" w:hAnsi="Times New Roman"/>
          <w:noProof/>
          <w:color w:val="000000"/>
          <w:vertAlign w:val="superscript"/>
          <w:lang w:val="en-US"/>
        </w:rPr>
        <w:t>25</w:t>
      </w:r>
      <w:r w:rsidR="00713045" w:rsidRPr="00976E92">
        <w:rPr>
          <w:rFonts w:ascii="Times New Roman" w:hAnsi="Times New Roman"/>
          <w:color w:val="000000"/>
          <w:lang w:val="en-US"/>
        </w:rPr>
        <w:fldChar w:fldCharType="end"/>
      </w:r>
      <w:r w:rsidRPr="00976E92">
        <w:rPr>
          <w:rFonts w:ascii="Times New Roman" w:hAnsi="Times New Roman"/>
          <w:color w:val="000000"/>
          <w:lang w:val="en-US"/>
        </w:rPr>
        <w:t xml:space="preserve"> The model is „extended“ by the inclusion of both the first and the second hyperpolarizabilities.  The SCF equation for first and second hyperpolarizability enhanced DID mechanism is given by the following expression:</w:t>
      </w:r>
    </w:p>
    <w:p w14:paraId="7DE58511" w14:textId="77777777" w:rsidR="004C0081" w:rsidRPr="00976E92" w:rsidRDefault="00A040FD" w:rsidP="004C0081">
      <w:pPr>
        <w:pStyle w:val="FirstParagraph"/>
        <w:jc w:val="center"/>
        <w:rPr>
          <w:lang w:val="en-US"/>
        </w:rPr>
      </w:pPr>
      <m:oMathPara>
        <m:oMathParaPr>
          <m:jc m:val="center"/>
        </m:oMathParaPr>
        <m:oMath>
          <m:sSubSup>
            <m:sSubSupPr>
              <m:ctrlPr>
                <w:rPr>
                  <w:rFonts w:ascii="Cambria Math" w:hAnsi="Cambria Math"/>
                </w:rPr>
              </m:ctrlPr>
            </m:sSubSupPr>
            <m:e>
              <m:r>
                <w:rPr>
                  <w:rFonts w:ascii="Cambria Math" w:hAnsi="Cambria Math"/>
                </w:rPr>
                <m:t>α</m:t>
              </m:r>
            </m:e>
            <m:sub>
              <m:r>
                <w:rPr>
                  <w:rFonts w:ascii="Cambria Math" w:hAnsi="Cambria Math"/>
                </w:rPr>
                <m:t>i</m:t>
              </m:r>
            </m:sub>
            <m:sup>
              <m:r>
                <w:rPr>
                  <w:rFonts w:ascii="Cambria Math" w:hAnsi="Cambria Math"/>
                </w:rPr>
                <m:t>ind</m:t>
              </m:r>
            </m:sup>
          </m:sSubSup>
          <m:r>
            <w:rPr>
              <w:rFonts w:ascii="Cambria Math" w:hAnsi="Cambria Math"/>
              <w:lang w:val="en-US"/>
            </w:rPr>
            <m:t>=</m:t>
          </m:r>
          <m:sSubSup>
            <m:sSubSupPr>
              <m:ctrlPr>
                <w:rPr>
                  <w:rFonts w:ascii="Cambria Math" w:hAnsi="Cambria Math"/>
                </w:rPr>
              </m:ctrlPr>
            </m:sSubSupPr>
            <m:e>
              <m:r>
                <w:rPr>
                  <w:rFonts w:ascii="Cambria Math" w:hAnsi="Cambria Math"/>
                </w:rPr>
                <m:t>α</m:t>
              </m:r>
            </m:e>
            <m:sub>
              <m:r>
                <w:rPr>
                  <w:rFonts w:ascii="Cambria Math" w:hAnsi="Cambria Math"/>
                </w:rPr>
                <m:t>i</m:t>
              </m:r>
            </m:sub>
            <m:sup>
              <m:r>
                <w:rPr>
                  <w:rFonts w:ascii="Cambria Math" w:hAnsi="Cambria Math"/>
                </w:rPr>
                <m:t>perm</m:t>
              </m:r>
            </m:sup>
          </m:sSubSup>
          <m:nary>
            <m:naryPr>
              <m:chr m:val="∑"/>
              <m:ctrlPr>
                <w:rPr>
                  <w:rFonts w:ascii="Cambria Math" w:hAnsi="Cambria Math"/>
                </w:rPr>
              </m:ctrlPr>
            </m:naryPr>
            <m:sub>
              <m:r>
                <w:rPr>
                  <w:rFonts w:ascii="Cambria Math" w:hAnsi="Cambria Math"/>
                </w:rPr>
                <m:t>j</m:t>
              </m:r>
              <m:r>
                <w:rPr>
                  <w:rFonts w:ascii="Cambria Math" w:hAnsi="Cambria Math"/>
                  <w:lang w:val="en-US"/>
                </w:rPr>
                <m:t>!=</m:t>
              </m:r>
              <m:r>
                <w:rPr>
                  <w:rFonts w:ascii="Cambria Math" w:hAnsi="Cambria Math"/>
                </w:rPr>
                <m:t>i</m:t>
              </m:r>
            </m:sub>
            <m:sup>
              <m:r>
                <w:rPr>
                  <w:rFonts w:ascii="Cambria Math" w:hAnsi="Cambria Math"/>
                </w:rPr>
                <m:t>n</m:t>
              </m:r>
            </m:sup>
            <m:e>
              <m:sSub>
                <m:sSubPr>
                  <m:ctrlPr>
                    <w:rPr>
                      <w:rFonts w:ascii="Cambria Math" w:hAnsi="Cambria Math"/>
                    </w:rPr>
                  </m:ctrlPr>
                </m:sSubPr>
                <m:e>
                  <m:r>
                    <w:rPr>
                      <w:rFonts w:ascii="Cambria Math" w:hAnsi="Cambria Math"/>
                    </w:rPr>
                    <m:t>T</m:t>
                  </m:r>
                </m:e>
                <m:sub>
                  <m:r>
                    <w:rPr>
                      <w:rFonts w:ascii="Cambria Math" w:hAnsi="Cambria Math"/>
                    </w:rPr>
                    <m:t>ij</m:t>
                  </m:r>
                </m:sub>
              </m:sSub>
            </m:e>
          </m:nary>
          <m:d>
            <m:dPr>
              <m:ctrlPr>
                <w:rPr>
                  <w:rFonts w:ascii="Cambria Math" w:hAnsi="Cambria Math"/>
                </w:rPr>
              </m:ctrlPr>
            </m:dPr>
            <m:e>
              <m:sSubSup>
                <m:sSubSupPr>
                  <m:ctrlPr>
                    <w:rPr>
                      <w:rFonts w:ascii="Cambria Math" w:hAnsi="Cambria Math"/>
                    </w:rPr>
                  </m:ctrlPr>
                </m:sSubSupPr>
                <m:e>
                  <m:r>
                    <w:rPr>
                      <w:rFonts w:ascii="Cambria Math" w:hAnsi="Cambria Math"/>
                    </w:rPr>
                    <m:t>α</m:t>
                  </m:r>
                </m:e>
                <m:sub>
                  <m:r>
                    <w:rPr>
                      <w:rFonts w:ascii="Cambria Math" w:hAnsi="Cambria Math"/>
                    </w:rPr>
                    <m:t>j</m:t>
                  </m:r>
                </m:sub>
                <m:sup>
                  <m:r>
                    <w:rPr>
                      <w:rFonts w:ascii="Cambria Math" w:hAnsi="Cambria Math"/>
                    </w:rPr>
                    <m:t>perm</m:t>
                  </m:r>
                </m:sup>
              </m:sSubSup>
              <m:r>
                <w:rPr>
                  <w:rFonts w:ascii="Cambria Math" w:hAnsi="Cambria Math"/>
                  <w:lang w:val="en-US"/>
                </w:rPr>
                <m:t>+</m:t>
              </m:r>
              <m:sSubSup>
                <m:sSubSupPr>
                  <m:ctrlPr>
                    <w:rPr>
                      <w:rFonts w:ascii="Cambria Math" w:hAnsi="Cambria Math"/>
                    </w:rPr>
                  </m:ctrlPr>
                </m:sSubSupPr>
                <m:e>
                  <m:r>
                    <w:rPr>
                      <w:rFonts w:ascii="Cambria Math" w:hAnsi="Cambria Math"/>
                    </w:rPr>
                    <m:t>α</m:t>
                  </m:r>
                </m:e>
                <m:sub>
                  <m:r>
                    <w:rPr>
                      <w:rFonts w:ascii="Cambria Math" w:hAnsi="Cambria Math"/>
                    </w:rPr>
                    <m:t>j</m:t>
                  </m:r>
                </m:sub>
                <m:sup>
                  <m:r>
                    <w:rPr>
                      <w:rFonts w:ascii="Cambria Math" w:hAnsi="Cambria Math"/>
                    </w:rPr>
                    <m:t>ind</m:t>
                  </m:r>
                </m:sup>
              </m:sSubSup>
            </m:e>
          </m:d>
          <m:r>
            <w:rPr>
              <w:rFonts w:ascii="Cambria Math" w:hAnsi="Cambria Math"/>
              <w:lang w:val="en-US"/>
            </w:rPr>
            <m:t>+</m:t>
          </m:r>
          <m:sSub>
            <m:sSubPr>
              <m:ctrlPr>
                <w:rPr>
                  <w:rFonts w:ascii="Cambria Math" w:hAnsi="Cambria Math"/>
                </w:rPr>
              </m:ctrlPr>
            </m:sSubPr>
            <m:e>
              <m:r>
                <w:rPr>
                  <w:rFonts w:ascii="Cambria Math" w:hAnsi="Cambria Math"/>
                </w:rPr>
                <m:t>β</m:t>
              </m:r>
            </m:e>
            <m:sub>
              <m:r>
                <w:rPr>
                  <w:rFonts w:ascii="Cambria Math" w:hAnsi="Cambria Math"/>
                </w:rPr>
                <m:t>i</m:t>
              </m:r>
            </m:sub>
          </m:sSub>
          <m:acc>
            <m:accPr>
              <m:chr m:val="⃗"/>
              <m:ctrlPr>
                <w:rPr>
                  <w:rFonts w:ascii="Cambria Math" w:hAnsi="Cambria Math"/>
                </w:rPr>
              </m:ctrlPr>
            </m:accPr>
            <m:e>
              <m:sSub>
                <m:sSubPr>
                  <m:ctrlPr>
                    <w:rPr>
                      <w:rFonts w:ascii="Cambria Math" w:hAnsi="Cambria Math"/>
                    </w:rPr>
                  </m:ctrlPr>
                </m:sSubPr>
                <m:e>
                  <m:r>
                    <w:rPr>
                      <w:rFonts w:ascii="Cambria Math" w:hAnsi="Cambria Math"/>
                    </w:rPr>
                    <m:t>E</m:t>
                  </m:r>
                </m:e>
                <m:sub>
                  <m:r>
                    <w:rPr>
                      <w:rFonts w:ascii="Cambria Math" w:hAnsi="Cambria Math"/>
                    </w:rPr>
                    <m:t>i</m:t>
                  </m:r>
                </m:sub>
              </m:sSub>
            </m:e>
          </m:acc>
          <m: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rPr>
                    <m:t>γ</m:t>
                  </m:r>
                </m:e>
                <m:sub>
                  <m:r>
                    <w:rPr>
                      <w:rFonts w:ascii="Cambria Math" w:hAnsi="Cambria Math"/>
                    </w:rPr>
                    <m:t>i</m:t>
                  </m:r>
                </m:sub>
              </m:sSub>
              <m:sSup>
                <m:sSupPr>
                  <m:ctrlPr>
                    <w:rPr>
                      <w:rFonts w:ascii="Cambria Math" w:hAnsi="Cambria Math"/>
                    </w:rPr>
                  </m:ctrlPr>
                </m:sSupPr>
                <m:e>
                  <m:acc>
                    <m:accPr>
                      <m:chr m:val="⃗"/>
                      <m:ctrlPr>
                        <w:rPr>
                          <w:rFonts w:ascii="Cambria Math" w:hAnsi="Cambria Math"/>
                        </w:rPr>
                      </m:ctrlPr>
                    </m:accPr>
                    <m:e>
                      <m:sSub>
                        <m:sSubPr>
                          <m:ctrlPr>
                            <w:rPr>
                              <w:rFonts w:ascii="Cambria Math" w:hAnsi="Cambria Math"/>
                            </w:rPr>
                          </m:ctrlPr>
                        </m:sSubPr>
                        <m:e>
                          <m:r>
                            <w:rPr>
                              <w:rFonts w:ascii="Cambria Math" w:hAnsi="Cambria Math"/>
                            </w:rPr>
                            <m:t>E</m:t>
                          </m:r>
                        </m:e>
                        <m:sub>
                          <m:r>
                            <w:rPr>
                              <w:rFonts w:ascii="Cambria Math" w:hAnsi="Cambria Math"/>
                            </w:rPr>
                            <m:t>i</m:t>
                          </m:r>
                        </m:sub>
                      </m:sSub>
                    </m:e>
                  </m:acc>
                </m:e>
                <m:sup>
                  <m:r>
                    <w:rPr>
                      <w:rFonts w:ascii="Cambria Math" w:hAnsi="Cambria Math"/>
                      <w:lang w:val="en-US"/>
                    </w:rPr>
                    <m:t>2</m:t>
                  </m:r>
                </m:sup>
              </m:sSup>
            </m:num>
            <m:den>
              <m:r>
                <w:rPr>
                  <w:rFonts w:ascii="Cambria Math" w:hAnsi="Cambria Math"/>
                  <w:lang w:val="en-US"/>
                </w:rPr>
                <m:t>2</m:t>
              </m:r>
            </m:den>
          </m:f>
        </m:oMath>
      </m:oMathPara>
    </w:p>
    <w:p w14:paraId="7BBCCB2A" w14:textId="0EA60C5E" w:rsidR="00727147" w:rsidRPr="00976E92" w:rsidRDefault="004C0081" w:rsidP="00727147">
      <w:pPr>
        <w:pStyle w:val="FirstParagraph"/>
        <w:jc w:val="both"/>
        <w:rPr>
          <w:lang w:val="en-US"/>
        </w:rPr>
      </w:pPr>
      <w:r w:rsidRPr="00976E92">
        <w:rPr>
          <w:rFonts w:ascii="Times New Roman" w:hAnsi="Times New Roman"/>
          <w:color w:val="000000"/>
          <w:lang w:val="en-US"/>
        </w:rPr>
        <w:t xml:space="preserve">where </w:t>
      </w:r>
      <m:oMath>
        <m:sSub>
          <m:sSubPr>
            <m:ctrlPr>
              <w:rPr>
                <w:rFonts w:ascii="Cambria Math" w:hAnsi="Cambria Math"/>
              </w:rPr>
            </m:ctrlPr>
          </m:sSubPr>
          <m:e>
            <m:r>
              <w:rPr>
                <w:rFonts w:ascii="Cambria Math" w:hAnsi="Cambria Math"/>
              </w:rPr>
              <m:t>T</m:t>
            </m:r>
          </m:e>
          <m:sub>
            <m:r>
              <w:rPr>
                <w:rFonts w:ascii="Cambria Math" w:hAnsi="Cambria Math"/>
              </w:rPr>
              <m:t>ij</m:t>
            </m:r>
          </m:sub>
        </m:sSub>
        <m:r>
          <w:rPr>
            <w:rFonts w:ascii="Cambria Math" w:hAnsi="Cambria Math"/>
            <w:lang w:val="en-US"/>
          </w:rPr>
          <m:t>=3</m:t>
        </m:r>
        <m:acc>
          <m:accPr>
            <m:chr m:val="⃗"/>
            <m:ctrlPr>
              <w:rPr>
                <w:rFonts w:ascii="Cambria Math" w:hAnsi="Cambria Math"/>
              </w:rPr>
            </m:ctrlPr>
          </m:accPr>
          <m:e>
            <m:sSub>
              <m:sSubPr>
                <m:ctrlPr>
                  <w:rPr>
                    <w:rFonts w:ascii="Cambria Math" w:hAnsi="Cambria Math"/>
                  </w:rPr>
                </m:ctrlPr>
              </m:sSubPr>
              <m:e>
                <m:r>
                  <w:rPr>
                    <w:rFonts w:ascii="Cambria Math" w:hAnsi="Cambria Math"/>
                  </w:rPr>
                  <m:t>r</m:t>
                </m:r>
              </m:e>
              <m:sub>
                <m:r>
                  <w:rPr>
                    <w:rFonts w:ascii="Cambria Math" w:hAnsi="Cambria Math"/>
                  </w:rPr>
                  <m:t>ij</m:t>
                </m:r>
              </m:sub>
            </m:sSub>
          </m:e>
        </m:acc>
        <m:f>
          <m:fPr>
            <m:type m:val="lin"/>
            <m:ctrlPr>
              <w:rPr>
                <w:rFonts w:ascii="Cambria Math" w:hAnsi="Cambria Math"/>
              </w:rPr>
            </m:ctrlPr>
          </m:fPr>
          <m:num>
            <m:acc>
              <m:accPr>
                <m:chr m:val="⃗"/>
                <m:ctrlPr>
                  <w:rPr>
                    <w:rFonts w:ascii="Cambria Math" w:hAnsi="Cambria Math"/>
                  </w:rPr>
                </m:ctrlPr>
              </m:accPr>
              <m:e>
                <m:sSubSup>
                  <m:sSubSupPr>
                    <m:ctrlPr>
                      <w:rPr>
                        <w:rFonts w:ascii="Cambria Math" w:hAnsi="Cambria Math"/>
                      </w:rPr>
                    </m:ctrlPr>
                  </m:sSubSupPr>
                  <m:e>
                    <m:r>
                      <w:rPr>
                        <w:rFonts w:ascii="Cambria Math" w:hAnsi="Cambria Math"/>
                      </w:rPr>
                      <m:t>r</m:t>
                    </m:r>
                  </m:e>
                  <m:sub>
                    <m:r>
                      <w:rPr>
                        <w:rFonts w:ascii="Cambria Math" w:hAnsi="Cambria Math"/>
                      </w:rPr>
                      <m:t>ij</m:t>
                    </m:r>
                  </m:sub>
                  <m:sup>
                    <m:r>
                      <w:rPr>
                        <w:rFonts w:ascii="Cambria Math" w:hAnsi="Cambria Math"/>
                      </w:rPr>
                      <m:t>T</m:t>
                    </m:r>
                  </m:sup>
                </m:sSubSup>
              </m:e>
            </m:acc>
          </m:num>
          <m:den>
            <m:sSubSup>
              <m:sSubSupPr>
                <m:ctrlPr>
                  <w:rPr>
                    <w:rFonts w:ascii="Cambria Math" w:hAnsi="Cambria Math"/>
                  </w:rPr>
                </m:ctrlPr>
              </m:sSubSupPr>
              <m:e>
                <m:r>
                  <w:rPr>
                    <w:rFonts w:ascii="Cambria Math" w:hAnsi="Cambria Math"/>
                  </w:rPr>
                  <m:t>r</m:t>
                </m:r>
              </m:e>
              <m:sub>
                <m:r>
                  <w:rPr>
                    <w:rFonts w:ascii="Cambria Math" w:hAnsi="Cambria Math"/>
                  </w:rPr>
                  <m:t>ij</m:t>
                </m:r>
              </m:sub>
              <m:sup>
                <m:r>
                  <w:rPr>
                    <w:rFonts w:ascii="Cambria Math" w:hAnsi="Cambria Math"/>
                    <w:lang w:val="en-US"/>
                  </w:rPr>
                  <m:t>5</m:t>
                </m:r>
              </m:sup>
            </m:sSubSup>
          </m:den>
        </m:f>
        <m:r>
          <w:rPr>
            <w:rFonts w:ascii="Cambria Math" w:hAnsi="Cambria Math"/>
            <w:lang w:val="en-US"/>
          </w:rPr>
          <m:t>-</m:t>
        </m:r>
        <m:f>
          <m:fPr>
            <m:type m:val="lin"/>
            <m:ctrlPr>
              <w:rPr>
                <w:rFonts w:ascii="Cambria Math" w:hAnsi="Cambria Math"/>
              </w:rPr>
            </m:ctrlPr>
          </m:fPr>
          <m:num>
            <m:r>
              <w:rPr>
                <w:rFonts w:ascii="Cambria Math" w:hAnsi="Cambria Math"/>
              </w:rPr>
              <m:t>I</m:t>
            </m:r>
          </m:num>
          <m:den>
            <m:sSubSup>
              <m:sSubSupPr>
                <m:ctrlPr>
                  <w:rPr>
                    <w:rFonts w:ascii="Cambria Math" w:hAnsi="Cambria Math"/>
                  </w:rPr>
                </m:ctrlPr>
              </m:sSubSupPr>
              <m:e>
                <m:r>
                  <w:rPr>
                    <w:rFonts w:ascii="Cambria Math" w:hAnsi="Cambria Math"/>
                  </w:rPr>
                  <m:t>r</m:t>
                </m:r>
              </m:e>
              <m:sub>
                <m:r>
                  <w:rPr>
                    <w:rFonts w:ascii="Cambria Math" w:hAnsi="Cambria Math"/>
                  </w:rPr>
                  <m:t>ij</m:t>
                </m:r>
              </m:sub>
              <m:sup>
                <m:r>
                  <w:rPr>
                    <w:rFonts w:ascii="Cambria Math" w:hAnsi="Cambria Math"/>
                    <w:lang w:val="en-US"/>
                  </w:rPr>
                  <m:t>3</m:t>
                </m:r>
              </m:sup>
            </m:sSubSup>
          </m:den>
        </m:f>
      </m:oMath>
      <w:r w:rsidRPr="00976E92">
        <w:rPr>
          <w:rFonts w:ascii="Times New Roman" w:hAnsi="Times New Roman"/>
          <w:color w:val="000000"/>
          <w:lang w:val="en-US"/>
        </w:rPr>
        <w:t xml:space="preserve"> is the standard dipole-dipole interaction tensor between molecules </w:t>
      </w:r>
      <m:oMath>
        <m:r>
          <w:rPr>
            <w:rFonts w:ascii="Cambria Math" w:hAnsi="Cambria Math"/>
          </w:rPr>
          <m:t>i</m:t>
        </m:r>
      </m:oMath>
      <w:r w:rsidRPr="00976E92">
        <w:rPr>
          <w:rFonts w:ascii="Times New Roman" w:hAnsi="Times New Roman"/>
          <w:color w:val="000000"/>
          <w:lang w:val="en-US"/>
        </w:rPr>
        <w:t xml:space="preserve"> and </w:t>
      </w:r>
      <m:oMath>
        <m:r>
          <w:rPr>
            <w:rFonts w:ascii="Cambria Math" w:hAnsi="Cambria Math"/>
          </w:rPr>
          <m:t>j</m:t>
        </m:r>
      </m:oMath>
      <w:r w:rsidRPr="00976E92">
        <w:rPr>
          <w:rFonts w:ascii="Times New Roman" w:hAnsi="Times New Roman"/>
          <w:color w:val="000000"/>
          <w:lang w:val="en-US"/>
        </w:rPr>
        <w:t xml:space="preserve">, </w:t>
      </w:r>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w:rPr>
                <w:rFonts w:ascii="Cambria Math" w:hAnsi="Cambria Math"/>
              </w:rPr>
              <m:t>ij</m:t>
            </m:r>
          </m:sub>
        </m:sSub>
      </m:oMath>
      <w:r w:rsidRPr="00976E92">
        <w:rPr>
          <w:rFonts w:ascii="Times New Roman" w:hAnsi="Times New Roman"/>
          <w:color w:val="000000"/>
          <w:lang w:val="en-US"/>
        </w:rPr>
        <w:t xml:space="preserve"> and </w:t>
      </w:r>
      <m:oMath>
        <m:sSub>
          <m:sSubPr>
            <m:ctrlPr>
              <w:rPr>
                <w:rFonts w:ascii="Cambria Math" w:hAnsi="Cambria Math"/>
              </w:rPr>
            </m:ctrlPr>
          </m:sSubPr>
          <m:e>
            <m:r>
              <w:rPr>
                <w:rFonts w:ascii="Cambria Math" w:hAnsi="Cambria Math"/>
              </w:rPr>
              <m:t>r</m:t>
            </m:r>
          </m:e>
          <m:sub>
            <m:r>
              <w:rPr>
                <w:rFonts w:ascii="Cambria Math" w:hAnsi="Cambria Math"/>
              </w:rPr>
              <m:t>ij</m:t>
            </m:r>
          </m:sub>
        </m:sSub>
      </m:oMath>
      <w:r w:rsidRPr="00976E92">
        <w:rPr>
          <w:rFonts w:ascii="Times New Roman" w:hAnsi="Times New Roman"/>
          <w:color w:val="000000"/>
          <w:lang w:val="en-US"/>
        </w:rPr>
        <w:t xml:space="preserve"> are the distance vector and norm distance from molecule i to j, I is a 3 </w:t>
      </w:r>
      <m:oMath>
        <m:r>
          <w:rPr>
            <w:rFonts w:ascii="Cambria Math" w:hAnsi="Cambria Math"/>
            <w:lang w:val="en-US"/>
          </w:rPr>
          <m:t>×</m:t>
        </m:r>
      </m:oMath>
      <w:r w:rsidRPr="00976E92">
        <w:rPr>
          <w:rFonts w:ascii="Times New Roman" w:hAnsi="Times New Roman"/>
          <w:color w:val="000000"/>
          <w:lang w:val="en-US"/>
        </w:rPr>
        <w:t xml:space="preserve"> 3 unit tensor, </w:t>
      </w:r>
      <m:oMath>
        <m:sSub>
          <m:sSubPr>
            <m:ctrlPr>
              <w:rPr>
                <w:rFonts w:ascii="Cambria Math" w:hAnsi="Cambria Math"/>
              </w:rPr>
            </m:ctrlPr>
          </m:sSubPr>
          <m:e>
            <m:r>
              <w:rPr>
                <w:rFonts w:ascii="Cambria Math" w:hAnsi="Cambria Math"/>
              </w:rPr>
              <m:t>β</m:t>
            </m:r>
          </m:e>
          <m:sub>
            <m:r>
              <w:rPr>
                <w:rFonts w:ascii="Cambria Math" w:hAnsi="Cambria Math"/>
              </w:rPr>
              <m:t>i</m:t>
            </m:r>
          </m:sub>
        </m:sSub>
      </m:oMath>
      <w:r w:rsidRPr="00976E92">
        <w:rPr>
          <w:rFonts w:ascii="Times New Roman" w:hAnsi="Times New Roman"/>
          <w:color w:val="000000"/>
          <w:lang w:val="en-US"/>
        </w:rPr>
        <w:t xml:space="preserve"> and </w:t>
      </w:r>
      <m:oMath>
        <m:sSub>
          <m:sSubPr>
            <m:ctrlPr>
              <w:rPr>
                <w:rFonts w:ascii="Cambria Math" w:hAnsi="Cambria Math"/>
              </w:rPr>
            </m:ctrlPr>
          </m:sSubPr>
          <m:e>
            <m:r>
              <w:rPr>
                <w:rFonts w:ascii="Cambria Math" w:hAnsi="Cambria Math"/>
              </w:rPr>
              <m:t>γ</m:t>
            </m:r>
          </m:e>
          <m:sub>
            <m:r>
              <w:rPr>
                <w:rFonts w:ascii="Cambria Math" w:hAnsi="Cambria Math"/>
              </w:rPr>
              <m:t>i</m:t>
            </m:r>
          </m:sub>
        </m:sSub>
      </m:oMath>
      <w:r w:rsidRPr="00976E92">
        <w:rPr>
          <w:rFonts w:ascii="Times New Roman" w:hAnsi="Times New Roman"/>
          <w:color w:val="000000"/>
          <w:lang w:val="en-US"/>
        </w:rPr>
        <w:t xml:space="preserve"> are the first and second hyperpolarizability tensors of molecule i, which are calculated in gas phase conditions using our parameters in Table </w:t>
      </w:r>
      <w:r w:rsidRPr="00976E92">
        <w:rPr>
          <w:rStyle w:val="Hyperlink"/>
          <w:rFonts w:ascii="Times New Roman" w:hAnsi="Times New Roman"/>
          <w:color w:val="000000"/>
          <w:lang w:val="en-US"/>
        </w:rPr>
        <w:t>II</w:t>
      </w:r>
      <w:r w:rsidRPr="00976E92">
        <w:rPr>
          <w:rFonts w:ascii="Times New Roman" w:hAnsi="Times New Roman"/>
          <w:color w:val="000000"/>
          <w:lang w:val="en-US"/>
        </w:rPr>
        <w:t xml:space="preserve">. </w:t>
      </w:r>
      <m:oMath>
        <m:acc>
          <m:accPr>
            <m:chr m:val="⃗"/>
            <m:ctrlPr>
              <w:rPr>
                <w:rFonts w:ascii="Cambria Math" w:hAnsi="Cambria Math"/>
              </w:rPr>
            </m:ctrlPr>
          </m:accPr>
          <m:e>
            <m:sSub>
              <m:sSubPr>
                <m:ctrlPr>
                  <w:rPr>
                    <w:rFonts w:ascii="Cambria Math" w:hAnsi="Cambria Math"/>
                  </w:rPr>
                </m:ctrlPr>
              </m:sSubPr>
              <m:e>
                <m:r>
                  <w:rPr>
                    <w:rFonts w:ascii="Cambria Math" w:hAnsi="Cambria Math"/>
                  </w:rPr>
                  <m:t>E</m:t>
                </m:r>
              </m:e>
              <m:sub>
                <m:r>
                  <w:rPr>
                    <w:rFonts w:ascii="Cambria Math" w:hAnsi="Cambria Math"/>
                  </w:rPr>
                  <m:t>i</m:t>
                </m:r>
              </m:sub>
            </m:sSub>
          </m:e>
        </m:acc>
      </m:oMath>
      <w:r w:rsidRPr="00976E92">
        <w:rPr>
          <w:rFonts w:ascii="Times New Roman" w:hAnsi="Times New Roman"/>
          <w:color w:val="000000"/>
          <w:lang w:val="en-US"/>
        </w:rPr>
        <w:t xml:space="preserve"> is the local electric field vector at molecule i created only by all the surrounding molecules (</w:t>
      </w:r>
      <w:r w:rsidRPr="00976E92">
        <w:rPr>
          <w:rFonts w:ascii="Times New Roman" w:eastAsia="Calibri" w:hAnsi="Times New Roman" w:cs="Arial"/>
          <w:color w:val="000000"/>
          <w:lang w:val="en-US"/>
        </w:rPr>
        <w:t>i.e. the permanent ionic charges and the permanent and induced dipoles of all entities, but excluding the external THz field</w:t>
      </w:r>
      <w:r w:rsidRPr="00976E92">
        <w:rPr>
          <w:rFonts w:ascii="Times New Roman" w:hAnsi="Times New Roman"/>
          <w:color w:val="000000"/>
          <w:lang w:val="en-US"/>
        </w:rPr>
        <w:t>)</w:t>
      </w:r>
      <w:r w:rsidR="00727147" w:rsidRPr="00976E92">
        <w:rPr>
          <w:rFonts w:ascii="Times New Roman" w:hAnsi="Times New Roman"/>
          <w:color w:val="000000"/>
          <w:lang w:val="en-US"/>
        </w:rPr>
        <w:t xml:space="preserve"> within a 7.5 Å distance from the center of mass of the molecule. We have verified the validity of this cutoff by replicating the simulation box in all directions and increasing the cutoff distance to 15 Å, which only gave a negligible change in anisotropy. The SCF equation is solved iteratively until the solution reaches the tolerance of 0.000001 Å</w:t>
      </w:r>
      <w:r w:rsidR="00727147" w:rsidRPr="00976E92">
        <w:rPr>
          <w:rFonts w:ascii="Times New Roman" w:hAnsi="Times New Roman"/>
          <w:color w:val="000000"/>
          <w:vertAlign w:val="superscript"/>
          <w:lang w:val="en-US"/>
        </w:rPr>
        <w:t>3</w:t>
      </w:r>
      <w:r w:rsidR="00727147" w:rsidRPr="00976E92">
        <w:rPr>
          <w:rFonts w:ascii="Times New Roman" w:hAnsi="Times New Roman"/>
          <w:color w:val="000000"/>
          <w:lang w:val="en-US"/>
        </w:rPr>
        <w:t>.</w:t>
      </w:r>
    </w:p>
    <w:p w14:paraId="692ED895" w14:textId="7EED96BD" w:rsidR="004C0081" w:rsidRPr="00976E92" w:rsidRDefault="004C0081" w:rsidP="00727147">
      <w:pPr>
        <w:pStyle w:val="FirstParagraph"/>
        <w:jc w:val="both"/>
        <w:rPr>
          <w:lang w:val="en-US"/>
        </w:rPr>
      </w:pPr>
    </w:p>
    <w:p w14:paraId="4537AC43" w14:textId="6F98A3F8" w:rsidR="004C0081" w:rsidRPr="00976E92" w:rsidRDefault="004C0081" w:rsidP="004C0081">
      <w:pPr>
        <w:pStyle w:val="FirstParagraph"/>
        <w:jc w:val="both"/>
        <w:rPr>
          <w:lang w:val="en-US"/>
        </w:rPr>
      </w:pPr>
      <w:r w:rsidRPr="00976E92">
        <w:rPr>
          <w:rFonts w:ascii="Times New Roman" w:hAnsi="Times New Roman"/>
          <w:color w:val="000000"/>
          <w:lang w:val="en-US"/>
        </w:rPr>
        <w:t xml:space="preserve">The induced dipole moment of each molecule </w:t>
      </w:r>
      <w:r w:rsidRPr="00976E92">
        <w:rPr>
          <w:rFonts w:ascii="Times New Roman" w:eastAsia="Calibri" w:hAnsi="Times New Roman" w:cs="Arial"/>
          <w:color w:val="000000"/>
          <w:lang w:val="en-US"/>
        </w:rPr>
        <w:t>was</w:t>
      </w:r>
      <w:r w:rsidRPr="00976E92">
        <w:rPr>
          <w:rFonts w:ascii="Times New Roman" w:hAnsi="Times New Roman"/>
          <w:color w:val="000000"/>
          <w:lang w:val="en-US"/>
        </w:rPr>
        <w:t xml:space="preserve"> obtained </w:t>
      </w:r>
      <w:r w:rsidRPr="00976E92">
        <w:rPr>
          <w:rFonts w:ascii="Times New Roman" w:eastAsia="Calibri" w:hAnsi="Times New Roman" w:cs="Arial"/>
          <w:color w:val="000000"/>
          <w:lang w:val="en-US"/>
        </w:rPr>
        <w:t>using</w:t>
      </w:r>
      <w:r w:rsidRPr="00976E92">
        <w:rPr>
          <w:rFonts w:ascii="Times New Roman" w:hAnsi="Times New Roman"/>
          <w:color w:val="000000"/>
          <w:lang w:val="en-US"/>
        </w:rPr>
        <w:t xml:space="preserve"> the preconditioned conjugate gradient (PCG) method</w:t>
      </w:r>
      <w:r w:rsidR="00713045" w:rsidRPr="00976E92">
        <w:rPr>
          <w:rFonts w:ascii="Times New Roman" w:hAnsi="Times New Roman"/>
          <w:color w:val="000000"/>
          <w:lang w:val="en-US"/>
        </w:rPr>
        <w:fldChar w:fldCharType="begin" w:fldLock="1"/>
      </w:r>
      <w:r w:rsidR="0037648F" w:rsidRPr="00976E92">
        <w:rPr>
          <w:rFonts w:ascii="Times New Roman" w:hAnsi="Times New Roman"/>
          <w:color w:val="000000"/>
          <w:lang w:val="en-US"/>
        </w:rPr>
        <w:instrText>ADDIN CSL_CITATION {"citationItems":[{"id":"ITEM-1","itemData":{"DOI":"10.1021/acs.jctc.6b00981","ISSN":"15499626","PMID":"28068773","abstract":"We introduce a new class of methods, denoted as Truncated Conjugate Gradient(TCG), to solve the many-body polarization energy and its associated forces in molecular simulations (i.e. molecular dynamics (MD) and Monte Carlo). The method consists in a fixed number of Conjugate Gradient (CG) iterations. TCG approaches provide a scalable solution to the polarization problem at a user-chosen cost and a corresponding optimal accuracy. The optimality of the CG-method guarantees that the number of the required matrix-vector products are reduced to a minimum compared to other iterative methods. This family of methods is non-empirical, fully adaptive, and provides analytical gradients, avoiding therefore any energy drift in MD as compared to popular iterative solvers. Besides speed, one great advantage of this class of approximate methods is that their accuracy is systematically improvable. Indeed, as the CG-method is a Krylov subspace method, the associated error is monotonically reduced at each iteration. On top of that, two improvements can be proposed at virtually no cost: (i) the use of preconditioners can be employed, which leads to the Truncated Preconditioned Conjugate Gradient (TPCG); (ii) since the residual of the final step of the CG-method is available, one additional Picard fixed point iteration (\"peek\"), equivalent to one step of Jacobi Over Relaxation (JOR) with relaxation parameter ω, can be made at almost no cost. This method is denoted by TCG-n(ω). Black-box adaptive methods to find good choices of ω are provided and discussed. Results show that TPCG-3(ω) is converged to high accuracy (a few kcal/ mol) for various types of systems including proteins and highly charged systems at the fixed cost of four matrix-vector products: three CG iterations plus the initial CG descent direction. Alternatively, T(P)CG-2(ω) provides robust results at a reduced cost (three matrix-vector products) and offers new perspectives for long polarizable MD as a production algorithm. The T(P)CG- 1(ω) level provides less accurate solutions for inhomogeneous systems, but its applicability to well-conditioned problems such as water is remarkable, with only two matrix-vector product evaluations.","author":[{"dropping-particle":"","family":"Aviat","given":"Félix","non-dropping-particle":"","parse-names":false,"suffix":""},{"dropping-particle":"","family":"Levitt","given":"Antoine","non-dropping-particle":"","parse-names":false,"suffix":""},{"dropping-particle":"","family":"Stamm","given":"Benjamin","non-dropping-particle":"","parse-names":false,"suffix":""},{"dropping-particle":"","family":"Maday","given":"Yvon","non-dropping-particle":"","parse-names":false,"suffix":""},{"dropping-particle":"","family":"Ren","given":"Pengyu","non-dropping-particle":"","parse-names":false,"suffix":""},{"dropping-particle":"","family":"Ponder","given":"Jay W.","non-dropping-particle":"","parse-names":false,"suffix":""},{"dropping-particle":"","family":"Lagardère","given":"Louis","non-dropping-particle":"","parse-names":false,"suffix":""},{"dropping-particle":"","family":"Piquemal","given":"Jean Philip","non-dropping-particle":"","parse-names":false,"suffix":""}],"container-title":"Journal of Chemical Theory and Computation","id":"ITEM-1","issue":"1","issued":{"date-parts":[["2017"]]},"page":"180-190","title":"Truncated conjugate gradient: An optimal strategy for the analytical evaluation of the many-body polarization energy and forces in molecular simulations","type":"article-journal","volume":"13"},"uris":["http://www.mendeley.com/documents/?uuid=3d79525c-1888-448b-a737-3b42666f8371"]},{"id":"ITEM-2","itemData":{"DOI":"10.1063/1.2056544","ISSN":"00219606","PMID":"16268681","abstract":"Polarizability is considered to be the single most significant development in the next generation of force fields for biomolecular simulations. However, the self-consistent computation of induced atomic dipoles in a polarizable force field is expensive due to the cost of solving a large dense linear system at each step of a simulation. This article introduces methods that reduce the cost of computing the electrostatic energy and force of a polarizable model from about 7.5 times the cost of computing those of a nonpolarizable model to less than twice the cost. This is probably sufficient for the routine use of polarizable forces in biomolecular simulations. The reduction in computing time is achieved by an efficient implementation of the particle-mesh Ewald method, an accurate and robust predictor based on least-squares fitting, and non-stationary iterative methods whose fast convergence is accelerated by a simple preconditioner. Furthermore, with these methods, the self-consistent approach with a larger timestep is shown to be faster than the extended Lagrangian approach. The use of dipole moments from previous timesteps to calculate an accurate initial guess for iterative methods leads to an energy drift, which can be made acceptably small. The use of a zero initial guess does not lead to perceptible energy drift if a reasonably strict convergence criterion for the iteration is imposed. © 2005 American Institute of Physics.","author":[{"dropping-particle":"","family":"Wang","given":"Wei","non-dropping-particle":"","parse-names":false,"suffix":""},{"dropping-particle":"","family":"Skeel","given":"Robert D.","non-dropping-particle":"","parse-names":false,"suffix":""}],"container-title":"Journal of Chemical Physics","id":"ITEM-2","issue":"16","issued":{"date-parts":[["2005"]]},"title":"Fast evaluation of polarizable forces","type":"article-journal","volume":"123"},"uris":["http://www.mendeley.com/documents/?uuid=d8760962-5a37-456b-8cb3-d2bea3b68e20"]}],"mendeley":{"formattedCitation":"&lt;sup&gt;15,16&lt;/sup&gt;","plainTextFormattedCitation":"15,16","previouslyFormattedCitation":"&lt;sup&gt;15,16&lt;/sup&gt;"},"properties":{"noteIndex":0},"schema":"https://github.com/citation-style-language/schema/raw/master/csl-citation.json"}</w:instrText>
      </w:r>
      <w:r w:rsidR="00713045" w:rsidRPr="00976E92">
        <w:rPr>
          <w:rFonts w:ascii="Times New Roman" w:hAnsi="Times New Roman"/>
          <w:color w:val="000000"/>
          <w:lang w:val="en-US"/>
        </w:rPr>
        <w:fldChar w:fldCharType="separate"/>
      </w:r>
      <w:r w:rsidR="0037648F" w:rsidRPr="00976E92">
        <w:rPr>
          <w:rFonts w:ascii="Times New Roman" w:hAnsi="Times New Roman"/>
          <w:noProof/>
          <w:color w:val="000000"/>
          <w:vertAlign w:val="superscript"/>
          <w:lang w:val="en-US"/>
        </w:rPr>
        <w:t>15,16</w:t>
      </w:r>
      <w:r w:rsidR="00713045" w:rsidRPr="00976E92">
        <w:rPr>
          <w:rFonts w:ascii="Times New Roman" w:hAnsi="Times New Roman"/>
          <w:color w:val="000000"/>
          <w:lang w:val="en-US"/>
        </w:rPr>
        <w:fldChar w:fldCharType="end"/>
      </w:r>
      <w:r w:rsidRPr="00976E92">
        <w:rPr>
          <w:rFonts w:ascii="Times New Roman" w:hAnsi="Times New Roman"/>
          <w:color w:val="000000"/>
          <w:lang w:val="en-US"/>
        </w:rPr>
        <w:t xml:space="preserve"> with a convergence tolerance of 0.000001 Debye and with the following initial guess, residue and direction:</w:t>
      </w:r>
    </w:p>
    <w:p w14:paraId="03D861E8" w14:textId="77777777" w:rsidR="004C0081" w:rsidRPr="00976E92" w:rsidRDefault="004C0081" w:rsidP="004C0081">
      <w:pPr>
        <w:pStyle w:val="BodyText"/>
        <w:jc w:val="center"/>
        <w:rPr>
          <w:lang w:val="en-US"/>
        </w:rPr>
      </w:pPr>
      <m:oMathPara>
        <m:oMathParaPr>
          <m:jc m:val="center"/>
        </m:oMathParaPr>
        <m:oMath>
          <m:r>
            <w:rPr>
              <w:rFonts w:ascii="Cambria Math" w:hAnsi="Cambria Math"/>
            </w:rPr>
            <m:t>Initialguess</m:t>
          </m:r>
          <m:r>
            <w:rPr>
              <w:rFonts w:ascii="Cambria Math" w:hAnsi="Cambria Math"/>
              <w:lang w:val="en-US"/>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μ</m:t>
                  </m:r>
                </m:e>
              </m:acc>
            </m:e>
            <m:sub>
              <m:r>
                <w:rPr>
                  <w:rFonts w:ascii="Cambria Math" w:hAnsi="Cambria Math"/>
                </w:rPr>
                <m:t>i</m:t>
              </m:r>
            </m:sub>
            <m:sup>
              <m:r>
                <w:rPr>
                  <w:rFonts w:ascii="Cambria Math" w:hAnsi="Cambria Math"/>
                </w:rPr>
                <m:t>ind</m:t>
              </m:r>
              <m:r>
                <w:rPr>
                  <w:rFonts w:ascii="Cambria Math" w:hAnsi="Cambria Math"/>
                  <w:lang w:val="en-US"/>
                </w:rPr>
                <m:t>,0</m:t>
              </m:r>
            </m:sup>
          </m:sSubSup>
          <m:r>
            <w:rPr>
              <w:rFonts w:ascii="Cambria Math" w:hAnsi="Cambria Math"/>
              <w:lang w:val="en-US"/>
            </w:rPr>
            <m:t>=</m:t>
          </m:r>
          <m:sSubSup>
            <m:sSubSupPr>
              <m:ctrlPr>
                <w:rPr>
                  <w:rFonts w:ascii="Cambria Math" w:hAnsi="Cambria Math"/>
                </w:rPr>
              </m:ctrlPr>
            </m:sSubSupPr>
            <m:e>
              <m:r>
                <w:rPr>
                  <w:rFonts w:ascii="Cambria Math" w:hAnsi="Cambria Math"/>
                </w:rPr>
                <m:t>α</m:t>
              </m:r>
            </m:e>
            <m:sub>
              <m:r>
                <w:rPr>
                  <w:rFonts w:ascii="Cambria Math" w:hAnsi="Cambria Math"/>
                </w:rPr>
                <m:t>i</m:t>
              </m:r>
            </m:sub>
            <m:sup>
              <m:r>
                <w:rPr>
                  <w:rFonts w:ascii="Cambria Math" w:hAnsi="Cambria Math"/>
                </w:rPr>
                <m:t>perm</m:t>
              </m:r>
            </m:sup>
          </m:sSubSup>
          <m:d>
            <m:dPr>
              <m:begChr m:val="["/>
              <m:endChr m:val="]"/>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r>
                        <w:rPr>
                          <w:rFonts w:ascii="Cambria Math" w:hAnsi="Cambria Math"/>
                        </w:rPr>
                        <m:t>E</m:t>
                      </m:r>
                    </m:e>
                  </m:acc>
                </m:e>
                <m:sub>
                  <m:r>
                    <w:rPr>
                      <w:rFonts w:ascii="Cambria Math" w:hAnsi="Cambria Math"/>
                    </w:rPr>
                    <m:t>external</m:t>
                  </m:r>
                </m:sub>
              </m:sSub>
              <m:r>
                <w:rPr>
                  <w:rFonts w:ascii="Cambria Math" w:hAnsi="Cambria Math"/>
                  <w:lang w:val="en-US"/>
                </w:rPr>
                <m:t>+</m:t>
              </m:r>
              <m:nary>
                <m:naryPr>
                  <m:chr m:val="∑"/>
                  <m:ctrlPr>
                    <w:rPr>
                      <w:rFonts w:ascii="Cambria Math" w:hAnsi="Cambria Math"/>
                    </w:rPr>
                  </m:ctrlPr>
                </m:naryPr>
                <m:sub>
                  <m:r>
                    <w:rPr>
                      <w:rFonts w:ascii="Cambria Math" w:hAnsi="Cambria Math"/>
                    </w:rPr>
                    <m:t>j</m:t>
                  </m:r>
                  <m:r>
                    <w:rPr>
                      <w:rFonts w:ascii="Cambria Math" w:hAnsi="Cambria Math"/>
                      <w:lang w:val="en-US"/>
                    </w:rPr>
                    <m:t>!=</m:t>
                  </m:r>
                  <m:r>
                    <w:rPr>
                      <w:rFonts w:ascii="Cambria Math" w:hAnsi="Cambria Math"/>
                    </w:rPr>
                    <m:t>i</m:t>
                  </m:r>
                </m:sub>
                <m:sup>
                  <m:r>
                    <w:rPr>
                      <w:rFonts w:ascii="Cambria Math" w:hAnsi="Cambria Math"/>
                    </w:rPr>
                    <m:t>n</m:t>
                  </m:r>
                </m:sup>
                <m:e>
                  <m:f>
                    <m:fPr>
                      <m:ctrlPr>
                        <w:rPr>
                          <w:rFonts w:ascii="Cambria Math" w:hAnsi="Cambria Math"/>
                        </w:rPr>
                      </m:ctrlPr>
                    </m:fPr>
                    <m:num>
                      <m:r>
                        <w:rPr>
                          <w:rFonts w:ascii="Cambria Math" w:hAnsi="Cambria Math"/>
                        </w:rPr>
                        <m:t>q</m:t>
                      </m:r>
                      <m:r>
                        <w:rPr>
                          <w:rFonts w:ascii="Cambria Math" w:hAnsi="Cambria Math"/>
                          <w:lang w:val="en-US"/>
                        </w:rPr>
                        <m:t>.</m:t>
                      </m:r>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w:rPr>
                              <w:rFonts w:ascii="Cambria Math" w:hAnsi="Cambria Math"/>
                            </w:rPr>
                            <m:t>ij</m:t>
                          </m:r>
                        </m:sub>
                      </m:sSub>
                    </m:num>
                    <m:den>
                      <m:sSubSup>
                        <m:sSubSupPr>
                          <m:ctrlPr>
                            <w:rPr>
                              <w:rFonts w:ascii="Cambria Math" w:hAnsi="Cambria Math"/>
                            </w:rPr>
                          </m:ctrlPr>
                        </m:sSubSupPr>
                        <m:e>
                          <m:r>
                            <w:rPr>
                              <w:rFonts w:ascii="Cambria Math" w:hAnsi="Cambria Math"/>
                            </w:rPr>
                            <m:t>r</m:t>
                          </m:r>
                        </m:e>
                        <m:sub>
                          <m:r>
                            <w:rPr>
                              <w:rFonts w:ascii="Cambria Math" w:hAnsi="Cambria Math"/>
                            </w:rPr>
                            <m:t>ij</m:t>
                          </m:r>
                        </m:sub>
                        <m:sup>
                          <m:r>
                            <w:rPr>
                              <w:rFonts w:ascii="Cambria Math" w:hAnsi="Cambria Math"/>
                              <w:lang w:val="en-US"/>
                            </w:rPr>
                            <m:t>2</m:t>
                          </m:r>
                        </m:sup>
                      </m:sSubSup>
                    </m:den>
                  </m:f>
                </m:e>
              </m:nary>
              <m:r>
                <w:rPr>
                  <w:rFonts w:ascii="Cambria Math" w:hAnsi="Cambria Math"/>
                  <w:lang w:val="en-US"/>
                </w:rPr>
                <m:t>-</m:t>
              </m:r>
              <m:nary>
                <m:naryPr>
                  <m:chr m:val="∑"/>
                  <m:ctrlPr>
                    <w:rPr>
                      <w:rFonts w:ascii="Cambria Math" w:hAnsi="Cambria Math"/>
                    </w:rPr>
                  </m:ctrlPr>
                </m:naryPr>
                <m:sub>
                  <m:r>
                    <w:rPr>
                      <w:rFonts w:ascii="Cambria Math" w:hAnsi="Cambria Math"/>
                    </w:rPr>
                    <m:t>j</m:t>
                  </m:r>
                  <m:r>
                    <w:rPr>
                      <w:rFonts w:ascii="Cambria Math" w:hAnsi="Cambria Math"/>
                      <w:lang w:val="en-US"/>
                    </w:rPr>
                    <m:t>!=</m:t>
                  </m:r>
                  <m:r>
                    <w:rPr>
                      <w:rFonts w:ascii="Cambria Math" w:hAnsi="Cambria Math"/>
                    </w:rPr>
                    <m:t>i</m:t>
                  </m:r>
                </m:sub>
                <m:sup>
                  <m:r>
                    <w:rPr>
                      <w:rFonts w:ascii="Cambria Math" w:hAnsi="Cambria Math"/>
                    </w:rPr>
                    <m:t>n</m:t>
                  </m:r>
                </m:sup>
                <m:e>
                  <m:f>
                    <m:fPr>
                      <m:ctrlPr>
                        <w:rPr>
                          <w:rFonts w:ascii="Cambria Math" w:hAnsi="Cambria Math"/>
                        </w:rPr>
                      </m:ctrlPr>
                    </m:fPr>
                    <m:num>
                      <m:r>
                        <w:rPr>
                          <w:rFonts w:ascii="Cambria Math" w:hAnsi="Cambria Math"/>
                          <w:lang w:val="en-US"/>
                        </w:rPr>
                        <m:t>1</m:t>
                      </m:r>
                    </m:num>
                    <m:den>
                      <m:sSubSup>
                        <m:sSubSupPr>
                          <m:ctrlPr>
                            <w:rPr>
                              <w:rFonts w:ascii="Cambria Math" w:hAnsi="Cambria Math"/>
                            </w:rPr>
                          </m:ctrlPr>
                        </m:sSubSupPr>
                        <m:e>
                          <m:r>
                            <w:rPr>
                              <w:rFonts w:ascii="Cambria Math" w:hAnsi="Cambria Math"/>
                            </w:rPr>
                            <m:t>r</m:t>
                          </m:r>
                        </m:e>
                        <m:sub>
                          <m:r>
                            <w:rPr>
                              <w:rFonts w:ascii="Cambria Math" w:hAnsi="Cambria Math"/>
                            </w:rPr>
                            <m:t>ij</m:t>
                          </m:r>
                        </m:sub>
                        <m:sup>
                          <m:r>
                            <w:rPr>
                              <w:rFonts w:ascii="Cambria Math" w:hAnsi="Cambria Math"/>
                              <w:lang w:val="en-US"/>
                            </w:rPr>
                            <m:t>3</m:t>
                          </m:r>
                        </m:sup>
                      </m:sSubSup>
                    </m:den>
                  </m:f>
                </m:e>
              </m:nary>
              <m:d>
                <m:dPr>
                  <m:ctrlPr>
                    <w:rPr>
                      <w:rFonts w:ascii="Cambria Math" w:hAnsi="Cambria Math"/>
                    </w:rPr>
                  </m:ctrlPr>
                </m:dPr>
                <m:e>
                  <m:sSup>
                    <m:sSupPr>
                      <m:ctrlPr>
                        <w:rPr>
                          <w:rFonts w:ascii="Cambria Math" w:hAnsi="Cambria Math"/>
                        </w:rPr>
                      </m:ctrlPr>
                    </m:sSupPr>
                    <m:e>
                      <m:acc>
                        <m:accPr>
                          <m:chr m:val="⃗"/>
                          <m:ctrlPr>
                            <w:rPr>
                              <w:rFonts w:ascii="Cambria Math" w:hAnsi="Cambria Math"/>
                            </w:rPr>
                          </m:ctrlPr>
                        </m:accPr>
                        <m:e>
                          <m:sSub>
                            <m:sSubPr>
                              <m:ctrlPr>
                                <w:rPr>
                                  <w:rFonts w:ascii="Cambria Math" w:hAnsi="Cambria Math"/>
                                </w:rPr>
                              </m:ctrlPr>
                            </m:sSubPr>
                            <m:e>
                              <m:r>
                                <w:rPr>
                                  <w:rFonts w:ascii="Cambria Math" w:hAnsi="Cambria Math"/>
                                </w:rPr>
                                <m:t>μ</m:t>
                              </m:r>
                            </m:e>
                            <m:sub>
                              <m:r>
                                <w:rPr>
                                  <w:rFonts w:ascii="Cambria Math" w:hAnsi="Cambria Math"/>
                                </w:rPr>
                                <m:t>j</m:t>
                              </m:r>
                            </m:sub>
                          </m:sSub>
                        </m:e>
                      </m:acc>
                    </m:e>
                    <m:sup>
                      <m:r>
                        <w:rPr>
                          <w:rFonts w:ascii="Cambria Math" w:hAnsi="Cambria Math"/>
                        </w:rPr>
                        <m:t>perm</m:t>
                      </m:r>
                    </m:sup>
                  </m:sSup>
                </m:e>
              </m:d>
              <m:r>
                <w:rPr>
                  <w:rFonts w:ascii="Cambria Math" w:hAnsi="Cambria Math"/>
                  <w:lang w:val="en-US"/>
                </w:rPr>
                <m:t>+</m:t>
              </m:r>
              <m:nary>
                <m:naryPr>
                  <m:chr m:val="∑"/>
                  <m:ctrlPr>
                    <w:rPr>
                      <w:rFonts w:ascii="Cambria Math" w:hAnsi="Cambria Math"/>
                    </w:rPr>
                  </m:ctrlPr>
                </m:naryPr>
                <m:sub>
                  <m:r>
                    <w:rPr>
                      <w:rFonts w:ascii="Cambria Math" w:hAnsi="Cambria Math"/>
                    </w:rPr>
                    <m:t>j</m:t>
                  </m:r>
                  <m:r>
                    <w:rPr>
                      <w:rFonts w:ascii="Cambria Math" w:hAnsi="Cambria Math"/>
                      <w:lang w:val="en-US"/>
                    </w:rPr>
                    <m:t>!=</m:t>
                  </m:r>
                  <m:r>
                    <w:rPr>
                      <w:rFonts w:ascii="Cambria Math" w:hAnsi="Cambria Math"/>
                    </w:rPr>
                    <m:t>i</m:t>
                  </m:r>
                </m:sub>
                <m:sup>
                  <m:r>
                    <w:rPr>
                      <w:rFonts w:ascii="Cambria Math" w:hAnsi="Cambria Math"/>
                    </w:rPr>
                    <m:t>n</m:t>
                  </m:r>
                </m:sup>
                <m:e>
                  <m:f>
                    <m:fPr>
                      <m:ctrlPr>
                        <w:rPr>
                          <w:rFonts w:ascii="Cambria Math" w:hAnsi="Cambria Math"/>
                        </w:rPr>
                      </m:ctrlPr>
                    </m:fPr>
                    <m:num>
                      <m:r>
                        <w:rPr>
                          <w:rFonts w:ascii="Cambria Math" w:hAnsi="Cambria Math"/>
                          <w:lang w:val="en-US"/>
                        </w:rPr>
                        <m:t>3</m:t>
                      </m:r>
                    </m:num>
                    <m:den>
                      <m:sSubSup>
                        <m:sSubSupPr>
                          <m:ctrlPr>
                            <w:rPr>
                              <w:rFonts w:ascii="Cambria Math" w:hAnsi="Cambria Math"/>
                            </w:rPr>
                          </m:ctrlPr>
                        </m:sSubSupPr>
                        <m:e>
                          <m:r>
                            <w:rPr>
                              <w:rFonts w:ascii="Cambria Math" w:hAnsi="Cambria Math"/>
                            </w:rPr>
                            <m:t>r</m:t>
                          </m:r>
                        </m:e>
                        <m:sub>
                          <m:r>
                            <w:rPr>
                              <w:rFonts w:ascii="Cambria Math" w:hAnsi="Cambria Math"/>
                            </w:rPr>
                            <m:t>ij</m:t>
                          </m:r>
                        </m:sub>
                        <m:sup>
                          <m:r>
                            <w:rPr>
                              <w:rFonts w:ascii="Cambria Math" w:hAnsi="Cambria Math"/>
                              <w:lang w:val="en-US"/>
                            </w:rPr>
                            <m:t>5</m:t>
                          </m:r>
                        </m:sup>
                      </m:sSubSup>
                    </m:den>
                  </m:f>
                </m:e>
              </m:nary>
              <m:d>
                <m:dPr>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w:rPr>
                              <w:rFonts w:ascii="Cambria Math" w:hAnsi="Cambria Math"/>
                            </w:rPr>
                            <m:t>r</m:t>
                          </m:r>
                        </m:e>
                        <m:sub>
                          <m:r>
                            <w:rPr>
                              <w:rFonts w:ascii="Cambria Math" w:hAnsi="Cambria Math"/>
                            </w:rPr>
                            <m:t>ij</m:t>
                          </m:r>
                        </m:sub>
                      </m:sSub>
                    </m:e>
                  </m:acc>
                  <m:r>
                    <w:rPr>
                      <w:rFonts w:ascii="Cambria Math" w:hAnsi="Cambria Math"/>
                      <w:lang w:val="en-US"/>
                    </w:rPr>
                    <m:t>.</m:t>
                  </m:r>
                  <m:d>
                    <m:dPr>
                      <m:ctrlPr>
                        <w:rPr>
                          <w:rFonts w:ascii="Cambria Math" w:hAnsi="Cambria Math"/>
                        </w:rPr>
                      </m:ctrlPr>
                    </m:dPr>
                    <m:e>
                      <m:sSup>
                        <m:sSupPr>
                          <m:ctrlPr>
                            <w:rPr>
                              <w:rFonts w:ascii="Cambria Math" w:hAnsi="Cambria Math"/>
                            </w:rPr>
                          </m:ctrlPr>
                        </m:sSupPr>
                        <m:e>
                          <m:acc>
                            <m:accPr>
                              <m:chr m:val="⃗"/>
                              <m:ctrlPr>
                                <w:rPr>
                                  <w:rFonts w:ascii="Cambria Math" w:hAnsi="Cambria Math"/>
                                </w:rPr>
                              </m:ctrlPr>
                            </m:accPr>
                            <m:e>
                              <m:sSub>
                                <m:sSubPr>
                                  <m:ctrlPr>
                                    <w:rPr>
                                      <w:rFonts w:ascii="Cambria Math" w:hAnsi="Cambria Math"/>
                                    </w:rPr>
                                  </m:ctrlPr>
                                </m:sSubPr>
                                <m:e>
                                  <m:r>
                                    <w:rPr>
                                      <w:rFonts w:ascii="Cambria Math" w:hAnsi="Cambria Math"/>
                                    </w:rPr>
                                    <m:t>μ</m:t>
                                  </m:r>
                                </m:e>
                                <m:sub>
                                  <m:r>
                                    <w:rPr>
                                      <w:rFonts w:ascii="Cambria Math" w:hAnsi="Cambria Math"/>
                                    </w:rPr>
                                    <m:t>j</m:t>
                                  </m:r>
                                </m:sub>
                              </m:sSub>
                            </m:e>
                          </m:acc>
                        </m:e>
                        <m:sup>
                          <m:r>
                            <w:rPr>
                              <w:rFonts w:ascii="Cambria Math" w:hAnsi="Cambria Math"/>
                            </w:rPr>
                            <m:t>perm</m:t>
                          </m:r>
                        </m:sup>
                      </m:sSup>
                    </m:e>
                  </m:d>
                </m:e>
              </m:d>
              <m:r>
                <w:rPr>
                  <w:rFonts w:ascii="Cambria Math" w:hAnsi="Cambria Math"/>
                  <w:lang w:val="en-US"/>
                </w:rPr>
                <m:t>.</m:t>
              </m:r>
              <m:acc>
                <m:accPr>
                  <m:chr m:val="⃗"/>
                  <m:ctrlPr>
                    <w:rPr>
                      <w:rFonts w:ascii="Cambria Math" w:hAnsi="Cambria Math"/>
                    </w:rPr>
                  </m:ctrlPr>
                </m:accPr>
                <m:e>
                  <m:sSub>
                    <m:sSubPr>
                      <m:ctrlPr>
                        <w:rPr>
                          <w:rFonts w:ascii="Cambria Math" w:hAnsi="Cambria Math"/>
                        </w:rPr>
                      </m:ctrlPr>
                    </m:sSubPr>
                    <m:e>
                      <m:r>
                        <w:rPr>
                          <w:rFonts w:ascii="Cambria Math" w:hAnsi="Cambria Math"/>
                        </w:rPr>
                        <m:t>r</m:t>
                      </m:r>
                    </m:e>
                    <m:sub>
                      <m:r>
                        <w:rPr>
                          <w:rFonts w:ascii="Cambria Math" w:hAnsi="Cambria Math"/>
                        </w:rPr>
                        <m:t>ij</m:t>
                      </m:r>
                    </m:sub>
                  </m:sSub>
                </m:e>
              </m:acc>
            </m:e>
          </m:d>
        </m:oMath>
      </m:oMathPara>
    </w:p>
    <w:p w14:paraId="1F30B369" w14:textId="77777777" w:rsidR="004C0081" w:rsidRPr="00976E92" w:rsidRDefault="004C0081" w:rsidP="004C0081">
      <w:pPr>
        <w:pStyle w:val="FirstParagraph"/>
        <w:jc w:val="center"/>
        <w:rPr>
          <w:lang w:val="en-US"/>
        </w:rPr>
      </w:pPr>
      <m:oMathPara>
        <m:oMathParaPr>
          <m:jc m:val="center"/>
        </m:oMathParaPr>
        <m:oMath>
          <m:r>
            <w:rPr>
              <w:rFonts w:ascii="Cambria Math" w:hAnsi="Cambria Math"/>
            </w:rPr>
            <m:t>Initialresidue</m:t>
          </m:r>
          <m:r>
            <w:rPr>
              <w:rFonts w:ascii="Cambria Math" w:hAnsi="Cambria Math"/>
              <w:lang w:val="en-US"/>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i</m:t>
              </m:r>
            </m:sub>
            <m:sup>
              <m:r>
                <w:rPr>
                  <w:rFonts w:ascii="Cambria Math" w:hAnsi="Cambria Math"/>
                  <w:lang w:val="en-US"/>
                </w:rPr>
                <m:t>0</m:t>
              </m:r>
            </m:sup>
          </m:sSubSup>
          <m:r>
            <w:rPr>
              <w:rFonts w:ascii="Cambria Math" w:hAnsi="Cambria Math"/>
              <w:lang w:val="en-US"/>
            </w:rPr>
            <m:t>=</m:t>
          </m:r>
          <m:nary>
            <m:naryPr>
              <m:chr m:val="∑"/>
              <m:ctrlPr>
                <w:rPr>
                  <w:rFonts w:ascii="Cambria Math" w:hAnsi="Cambria Math"/>
                </w:rPr>
              </m:ctrlPr>
            </m:naryPr>
            <m:sub>
              <m:r>
                <w:rPr>
                  <w:rFonts w:ascii="Cambria Math" w:hAnsi="Cambria Math"/>
                </w:rPr>
                <m:t>j</m:t>
              </m:r>
              <m:r>
                <w:rPr>
                  <w:rFonts w:ascii="Cambria Math" w:hAnsi="Cambria Math"/>
                  <w:lang w:val="en-US"/>
                </w:rPr>
                <m:t>!=</m:t>
              </m:r>
              <m:r>
                <w:rPr>
                  <w:rFonts w:ascii="Cambria Math" w:hAnsi="Cambria Math"/>
                </w:rPr>
                <m:t>i</m:t>
              </m:r>
            </m:sub>
            <m:sup>
              <m:r>
                <w:rPr>
                  <w:rFonts w:ascii="Cambria Math" w:hAnsi="Cambria Math"/>
                </w:rPr>
                <m:t>n</m:t>
              </m:r>
            </m:sup>
            <m:e>
              <m:sSub>
                <m:sSubPr>
                  <m:ctrlPr>
                    <w:rPr>
                      <w:rFonts w:ascii="Cambria Math" w:hAnsi="Cambria Math"/>
                    </w:rPr>
                  </m:ctrlPr>
                </m:sSubPr>
                <m:e>
                  <m:r>
                    <w:rPr>
                      <w:rFonts w:ascii="Cambria Math" w:hAnsi="Cambria Math"/>
                    </w:rPr>
                    <m:t>T</m:t>
                  </m:r>
                </m:e>
                <m:sub>
                  <m:r>
                    <w:rPr>
                      <w:rFonts w:ascii="Cambria Math" w:hAnsi="Cambria Math"/>
                    </w:rPr>
                    <m:t>ij</m:t>
                  </m:r>
                </m:sub>
              </m:sSub>
            </m:e>
          </m:nary>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μ</m:t>
                      </m:r>
                    </m:e>
                  </m:acc>
                </m:e>
                <m:sub>
                  <m:r>
                    <w:rPr>
                      <w:rFonts w:ascii="Cambria Math" w:hAnsi="Cambria Math"/>
                    </w:rPr>
                    <m:t>j</m:t>
                  </m:r>
                </m:sub>
                <m:sup>
                  <m:r>
                    <w:rPr>
                      <w:rFonts w:ascii="Cambria Math" w:hAnsi="Cambria Math"/>
                    </w:rPr>
                    <m:t>ind</m:t>
                  </m:r>
                  <m:r>
                    <w:rPr>
                      <w:rFonts w:ascii="Cambria Math" w:hAnsi="Cambria Math"/>
                      <w:lang w:val="en-US"/>
                    </w:rPr>
                    <m:t>,0</m:t>
                  </m:r>
                </m:sup>
              </m:sSubSup>
            </m:e>
          </m:d>
        </m:oMath>
      </m:oMathPara>
    </w:p>
    <w:p w14:paraId="2A5F8A7A" w14:textId="77777777" w:rsidR="004C0081" w:rsidRPr="00976E92" w:rsidRDefault="004C0081" w:rsidP="004C0081">
      <w:pPr>
        <w:pStyle w:val="FirstParagraph"/>
        <w:jc w:val="center"/>
        <w:rPr>
          <w:lang w:val="en-US"/>
        </w:rPr>
      </w:pPr>
      <m:oMathPara>
        <m:oMathParaPr>
          <m:jc m:val="center"/>
        </m:oMathParaPr>
        <m:oMath>
          <m:r>
            <w:rPr>
              <w:rFonts w:ascii="Cambria Math" w:hAnsi="Cambria Math"/>
            </w:rPr>
            <m:t>Initialdirection</m:t>
          </m:r>
          <m:r>
            <w:rPr>
              <w:rFonts w:ascii="Cambria Math" w:hAnsi="Cambria Math"/>
              <w:lang w:val="en-US"/>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p</m:t>
                  </m:r>
                </m:e>
              </m:acc>
            </m:e>
            <m:sub>
              <m:r>
                <w:rPr>
                  <w:rFonts w:ascii="Cambria Math" w:hAnsi="Cambria Math"/>
                </w:rPr>
                <m:t>i</m:t>
              </m:r>
            </m:sub>
            <m:sup>
              <m:r>
                <w:rPr>
                  <w:rFonts w:ascii="Cambria Math" w:hAnsi="Cambria Math"/>
                  <w:lang w:val="en-US"/>
                </w:rPr>
                <m:t>0</m:t>
              </m:r>
            </m:sup>
          </m:sSubSup>
          <m:r>
            <w:rPr>
              <w:rFonts w:ascii="Cambria Math" w:hAnsi="Cambria Math"/>
              <w:lang w:val="en-US"/>
            </w:rPr>
            <m:t>=</m:t>
          </m:r>
          <m:sSubSup>
            <m:sSubSupPr>
              <m:ctrlPr>
                <w:rPr>
                  <w:rFonts w:ascii="Cambria Math" w:hAnsi="Cambria Math"/>
                </w:rPr>
              </m:ctrlPr>
            </m:sSubSupPr>
            <m:e>
              <m:r>
                <w:rPr>
                  <w:rFonts w:ascii="Cambria Math" w:hAnsi="Cambria Math"/>
                </w:rPr>
                <m:t>α</m:t>
              </m:r>
            </m:e>
            <m:sub>
              <m:r>
                <w:rPr>
                  <w:rFonts w:ascii="Cambria Math" w:hAnsi="Cambria Math"/>
                </w:rPr>
                <m:t>i</m:t>
              </m:r>
            </m:sub>
            <m:sup>
              <m:r>
                <w:rPr>
                  <w:rFonts w:ascii="Cambria Math" w:hAnsi="Cambria Math"/>
                </w:rPr>
                <m:t>perm</m:t>
              </m:r>
            </m:sup>
          </m:sSubSup>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i</m:t>
              </m:r>
            </m:sub>
            <m:sup>
              <m:r>
                <w:rPr>
                  <w:rFonts w:ascii="Cambria Math" w:hAnsi="Cambria Math"/>
                  <w:lang w:val="en-US"/>
                </w:rPr>
                <m:t>0</m:t>
              </m:r>
            </m:sup>
          </m:sSubSup>
        </m:oMath>
      </m:oMathPara>
    </w:p>
    <w:p w14:paraId="2E50412A" w14:textId="77777777" w:rsidR="004C0081" w:rsidRPr="00976E92" w:rsidRDefault="004C0081" w:rsidP="004C0081">
      <w:pPr>
        <w:pStyle w:val="FirstParagraph"/>
        <w:spacing w:before="180" w:after="180"/>
        <w:jc w:val="both"/>
        <w:rPr>
          <w:lang w:val="en-US"/>
        </w:rPr>
      </w:pPr>
      <w:r w:rsidRPr="00976E92">
        <w:rPr>
          <w:rFonts w:ascii="Times New Roman" w:hAnsi="Times New Roman"/>
          <w:color w:val="000000"/>
          <w:lang w:val="en-US"/>
        </w:rPr>
        <w:t xml:space="preserve">where </w:t>
      </w:r>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w:rPr>
                <w:rFonts w:ascii="Cambria Math" w:hAnsi="Cambria Math"/>
              </w:rPr>
              <m:t>ij</m:t>
            </m:r>
          </m:sub>
        </m:sSub>
      </m:oMath>
      <w:r w:rsidRPr="00976E92">
        <w:rPr>
          <w:rFonts w:ascii="Times New Roman" w:hAnsi="Times New Roman"/>
          <w:color w:val="000000"/>
          <w:lang w:val="en-US"/>
        </w:rPr>
        <w:t xml:space="preserve"> is the unit vector pointing from molecule </w:t>
      </w:r>
      <m:oMath>
        <m:r>
          <w:rPr>
            <w:rFonts w:ascii="Cambria Math" w:hAnsi="Cambria Math"/>
          </w:rPr>
          <m:t>i</m:t>
        </m:r>
      </m:oMath>
      <w:r w:rsidRPr="00976E92">
        <w:rPr>
          <w:rFonts w:ascii="Times New Roman" w:hAnsi="Times New Roman"/>
          <w:color w:val="000000"/>
          <w:lang w:val="en-US"/>
        </w:rPr>
        <w:t xml:space="preserve"> to </w:t>
      </w:r>
      <m:oMath>
        <m:r>
          <w:rPr>
            <w:rFonts w:ascii="Cambria Math" w:hAnsi="Cambria Math"/>
          </w:rPr>
          <m:t>j</m:t>
        </m:r>
      </m:oMath>
      <w:r w:rsidRPr="00976E92">
        <w:rPr>
          <w:rFonts w:ascii="Times New Roman" w:hAnsi="Times New Roman"/>
          <w:color w:val="000000"/>
          <w:lang w:val="en-US"/>
        </w:rPr>
        <w:t xml:space="preserve">, </w:t>
      </w:r>
      <m:oMath>
        <m:r>
          <w:rPr>
            <w:rFonts w:ascii="Cambria Math" w:hAnsi="Cambria Math"/>
          </w:rPr>
          <m:t>q</m:t>
        </m:r>
      </m:oMath>
      <w:r w:rsidRPr="00976E92">
        <w:rPr>
          <w:rFonts w:ascii="Times New Roman" w:hAnsi="Times New Roman"/>
          <w:color w:val="000000"/>
          <w:lang w:val="en-US"/>
        </w:rPr>
        <w:t xml:space="preserve"> is the molecular charge and </w:t>
      </w:r>
      <m:oMath>
        <m:sSub>
          <m:sSubPr>
            <m:ctrlPr>
              <w:rPr>
                <w:rFonts w:ascii="Cambria Math" w:hAnsi="Cambria Math"/>
              </w:rPr>
            </m:ctrlPr>
          </m:sSubPr>
          <m:e>
            <m:acc>
              <m:accPr>
                <m:chr m:val="⃗"/>
                <m:ctrlPr>
                  <w:rPr>
                    <w:rFonts w:ascii="Cambria Math" w:hAnsi="Cambria Math"/>
                  </w:rPr>
                </m:ctrlPr>
              </m:accPr>
              <m:e>
                <m:r>
                  <w:rPr>
                    <w:rFonts w:ascii="Cambria Math" w:hAnsi="Cambria Math"/>
                  </w:rPr>
                  <m:t>E</m:t>
                </m:r>
              </m:e>
            </m:acc>
          </m:e>
          <m:sub>
            <m:r>
              <w:rPr>
                <w:rFonts w:ascii="Cambria Math" w:hAnsi="Cambria Math"/>
              </w:rPr>
              <m:t>external</m:t>
            </m:r>
          </m:sub>
        </m:sSub>
      </m:oMath>
      <w:r w:rsidRPr="00976E92">
        <w:rPr>
          <w:rFonts w:ascii="Times New Roman" w:hAnsi="Times New Roman"/>
          <w:color w:val="000000"/>
          <w:lang w:val="en-US"/>
        </w:rPr>
        <w:t xml:space="preserve"> is the externally applied field vector.</w:t>
      </w:r>
    </w:p>
    <w:p w14:paraId="57E0AFBD" w14:textId="77777777" w:rsidR="004C0081" w:rsidRPr="00976E92" w:rsidRDefault="004C0081" w:rsidP="004C0081">
      <w:pPr>
        <w:pStyle w:val="FirstParagraph"/>
        <w:jc w:val="both"/>
        <w:rPr>
          <w:lang w:val="en-US"/>
        </w:rPr>
      </w:pPr>
      <w:r w:rsidRPr="00976E92">
        <w:rPr>
          <w:rFonts w:ascii="Times New Roman" w:eastAsia="Calibri" w:hAnsi="Times New Roman" w:cs="Arial"/>
          <w:b/>
          <w:color w:val="000000"/>
          <w:lang w:val="en-US"/>
        </w:rPr>
        <w:t>Parametrization of the dipole moments, polarizabilities, and hyperpolarizabilities.</w:t>
      </w:r>
      <w:r w:rsidRPr="00976E92">
        <w:rPr>
          <w:rFonts w:ascii="Times New Roman" w:hAnsi="Times New Roman"/>
          <w:b/>
          <w:color w:val="000000"/>
          <w:lang w:val="en-US"/>
        </w:rPr>
        <w:t xml:space="preserve"> </w:t>
      </w:r>
      <w:bookmarkStart w:id="1" w:name="modeling-of-permanent-and-induced-dipole"/>
      <w:bookmarkEnd w:id="1"/>
    </w:p>
    <w:p w14:paraId="4CFE65B6" w14:textId="3E6C8066" w:rsidR="0059097A" w:rsidRPr="00976E92" w:rsidRDefault="0059097A" w:rsidP="0059097A">
      <w:pPr>
        <w:pStyle w:val="FirstParagraph"/>
        <w:jc w:val="both"/>
        <w:rPr>
          <w:lang w:val="en-US"/>
        </w:rPr>
      </w:pPr>
      <w:r w:rsidRPr="00976E92">
        <w:rPr>
          <w:rFonts w:ascii="Times New Roman" w:hAnsi="Times New Roman"/>
          <w:color w:val="000000"/>
          <w:lang w:val="en-US"/>
        </w:rPr>
        <w:t xml:space="preserve">The permanent dipole moment of the ions was set to zero, while for water, a gas phase dipole moment of 1.93 Debye was assigned </w:t>
      </w:r>
      <w:r w:rsidRPr="00976E92">
        <w:rPr>
          <w:rFonts w:ascii="Times New Roman" w:eastAsia="Calibri" w:hAnsi="Times New Roman" w:cs="Arial"/>
          <w:color w:val="000000"/>
          <w:lang w:val="en-US"/>
        </w:rPr>
        <w:t>along</w:t>
      </w:r>
      <w:r w:rsidRPr="00976E92">
        <w:rPr>
          <w:rFonts w:ascii="Times New Roman" w:hAnsi="Times New Roman"/>
          <w:color w:val="000000"/>
          <w:lang w:val="en-US"/>
        </w:rPr>
        <w:t xml:space="preserve"> the molecular bisector. The ionic polarizability parameters from the Refs</w:t>
      </w:r>
      <w:r w:rsidR="0037648F" w:rsidRPr="00976E92">
        <w:rPr>
          <w:rFonts w:ascii="Times New Roman" w:hAnsi="Times New Roman"/>
          <w:color w:val="000000"/>
          <w:lang w:val="en-US"/>
        </w:rPr>
        <w:t>.</w:t>
      </w:r>
      <w:r w:rsidR="0037648F" w:rsidRPr="00976E92">
        <w:rPr>
          <w:rFonts w:ascii="Times New Roman" w:hAnsi="Times New Roman"/>
          <w:color w:val="000000"/>
          <w:lang w:val="en-US"/>
        </w:rPr>
        <w:fldChar w:fldCharType="begin" w:fldLock="1"/>
      </w:r>
      <w:r w:rsidR="0037648F" w:rsidRPr="00976E92">
        <w:rPr>
          <w:rFonts w:ascii="Times New Roman" w:hAnsi="Times New Roman"/>
          <w:color w:val="000000"/>
          <w:lang w:val="en-US"/>
        </w:rPr>
        <w:instrText>ADDIN CSL_CITATION {"citationItems":[{"id":"ITEM-1","itemData":{"DOI":"10.1063/1.3518101","ISSN":"00219606","PMID":"21219011","abstract":"Dipole polarizabilities of a series of ions in aqueous solutions are computed from first-principles. The procedure is based on the study of the linear response of the maximally localized Wannier functions to an applied external field, within density functional theory. For most monoatomic cations (Li+, Na+, K+, Rb+, Mg2+, Ca2+ and Sr2+) the computed polarizabilities are the same as in the gas phase. For Cs+ and a series of anions (F-, Cl-, Br- and I-), environmental effects are observed, which reduce the polarizabilities in aqueous solutions with respect to their gas phase values. The polarizabilities of H(aq)+, OH(aq)- have also been determined along an ab initio molecular dynamics simulation. We observe that the polarizability of a molecule instantaneously switches upon proton transfer events. Finally, we also computed the polarizability tensor in the case of a strongly anisotropic molecular ion, UO 2 2+. The results of these calculations will be useful in building interaction potentials that include polarization effects. © 2011 American Institute of Physics.","author":[{"dropping-particle":"","family":"Molina","given":"John J.","non-dropping-particle":"","parse-names":false,"suffix":""},{"dropping-particle":"","family":"Lectez","given":"Sébastien","non-dropping-particle":"","parse-names":false,"suffix":""},{"dropping-particle":"","family":"Tazi","given":"Sami","non-dropping-particle":"","parse-names":false,"suffix":""},{"dropping-particle":"","family":"Salanne","given":"Mathieu","non-dropping-particle":"","parse-names":false,"suffix":""},{"dropping-particle":"","family":"Dufrêche","given":"Jean François","non-dropping-particle":"","parse-names":false,"suffix":""},{"dropping-particle":"","family":"Roques","given":"Jérôme","non-dropping-particle":"","parse-names":false,"suffix":""},{"dropping-particle":"","family":"Simoni","given":"Eric","non-dropping-particle":"","parse-names":false,"suffix":""},{"dropping-particle":"","family":"Madden","given":"Paul A.","non-dropping-particle":"","parse-names":false,"suffix":""},{"dropping-particle":"","family":"Turq","given":"Pierre","non-dropping-particle":"","parse-names":false,"suffix":""}],"container-title":"Journal of Chemical Physics","id":"ITEM-1","issue":"1","issued":{"date-parts":[["2011"]]},"page":"5-10","title":"Ions in solutions: Determining their polarizabilities from first-principles","type":"article-journal","volume":"134"},"uris":["http://www.mendeley.com/documents/?uuid=8590d031-0fe0-43b4-87ab-d8b1ea15895c"]},{"id":"ITEM-2","itemData":{"DOI":"10.1016/S0009-2614(02)01782-7","ISSN":"00092614","abstract":"Polarizability of the sulfate dianion solvated in water clusters and in an extended water slab is investigated by a combination of ab initio calculations and classical and Car-Parrinello molecular dynamics. Quantum chemistry calculations at the MP2/aug-cc-pvdz level are performed for structures obtained from molecular dynamics simulations replacing water oxygens and hydrogens by fractional point charges. Sulfate polarizability in bulk water amounts to roughly 7 Å3. Despite this large value SO42- clearly prefers interior over surface solvation, in accord with previous experimental evidence for large aqueous clusters. © 2002 Elsevier Science B.V. All rights reserved.","author":[{"dropping-particle":"","family":"Jungwirth","given":"P.","non-dropping-particle":"","parse-names":false,"suffix":""},{"dropping-particle":"","family":"Curtis","given":"Joseph E.","non-dropping-particle":"","parse-names":false,"suffix":""},{"dropping-particle":"","family":"Tobias","given":"Douglas J.","non-dropping-particle":"","parse-names":false,"suffix":""}],"container-title":"Chemical Physics Letters","id":"ITEM-2","issue":"5-6","issued":{"date-parts":[["2003"]]},"page":"704-710","title":"Polarizability and aqueous solvation of the sulfate dianion","type":"article-journal","volume":"367"},"uris":["http://www.mendeley.com/documents/?uuid=01b6f5b2-3ec5-4cfc-bd7f-4db69b7154e7"]}],"mendeley":{"formattedCitation":"&lt;sup&gt;26,27&lt;/sup&gt;","plainTextFormattedCitation":"26,27","previouslyFormattedCitation":"&lt;sup&gt;26,27&lt;/sup&gt;"},"properties":{"noteIndex":0},"schema":"https://github.com/citation-style-language/schema/raw/master/csl-citation.json"}</w:instrText>
      </w:r>
      <w:r w:rsidR="0037648F" w:rsidRPr="00976E92">
        <w:rPr>
          <w:rFonts w:ascii="Times New Roman" w:hAnsi="Times New Roman"/>
          <w:color w:val="000000"/>
          <w:lang w:val="en-US"/>
        </w:rPr>
        <w:fldChar w:fldCharType="separate"/>
      </w:r>
      <w:r w:rsidR="0037648F" w:rsidRPr="00976E92">
        <w:rPr>
          <w:rFonts w:ascii="Times New Roman" w:hAnsi="Times New Roman"/>
          <w:noProof/>
          <w:color w:val="000000"/>
          <w:vertAlign w:val="superscript"/>
          <w:lang w:val="en-US"/>
        </w:rPr>
        <w:t>26,27</w:t>
      </w:r>
      <w:r w:rsidR="0037648F" w:rsidRPr="00976E92">
        <w:rPr>
          <w:rFonts w:ascii="Times New Roman" w:hAnsi="Times New Roman"/>
          <w:color w:val="000000"/>
          <w:lang w:val="en-US"/>
        </w:rPr>
        <w:fldChar w:fldCharType="end"/>
      </w:r>
      <w:r w:rsidR="0037648F" w:rsidRPr="00976E92">
        <w:rPr>
          <w:rFonts w:ascii="Times New Roman" w:hAnsi="Times New Roman"/>
          <w:color w:val="000000"/>
          <w:lang w:val="en-US"/>
        </w:rPr>
        <w:t xml:space="preserve"> </w:t>
      </w:r>
      <w:r w:rsidRPr="00976E92">
        <w:rPr>
          <w:rFonts w:ascii="Times New Roman" w:hAnsi="Times New Roman"/>
          <w:color w:val="000000"/>
          <w:lang w:val="en-US"/>
        </w:rPr>
        <w:t xml:space="preserve">were used to model the permanent polarizabilites of the ions. Whereas the permanent polarizabilites of water were calculated in the gas phase. All the employed parameters are listed in Table </w:t>
      </w:r>
      <w:r w:rsidRPr="00976E92">
        <w:rPr>
          <w:rStyle w:val="Hyperlink"/>
          <w:rFonts w:ascii="Times New Roman" w:hAnsi="Times New Roman"/>
          <w:color w:val="000000"/>
          <w:u w:val="none"/>
          <w:lang w:val="en-US"/>
        </w:rPr>
        <w:t>II</w:t>
      </w:r>
      <w:r w:rsidRPr="00976E92">
        <w:rPr>
          <w:rFonts w:ascii="Times New Roman" w:hAnsi="Times New Roman"/>
          <w:color w:val="000000"/>
          <w:lang w:val="en-US"/>
        </w:rPr>
        <w:t>.</w:t>
      </w:r>
    </w:p>
    <w:p w14:paraId="08DD104B" w14:textId="1C8F73A7" w:rsidR="004C0081" w:rsidRPr="00976E92" w:rsidRDefault="004C0081" w:rsidP="004C0081">
      <w:pPr>
        <w:pStyle w:val="BodyText"/>
        <w:spacing w:before="180" w:after="180"/>
        <w:jc w:val="both"/>
        <w:rPr>
          <w:lang w:val="en-US"/>
        </w:rPr>
      </w:pPr>
      <w:r w:rsidRPr="00976E92">
        <w:rPr>
          <w:rFonts w:ascii="Times New Roman" w:hAnsi="Times New Roman"/>
          <w:color w:val="000000"/>
          <w:lang w:val="en-US"/>
        </w:rPr>
        <w:t>The values of dipole moment and polarizability parameters of gas phase water reported in this work were parameterized using CP2K program,</w:t>
      </w:r>
      <w:r w:rsidR="0037648F" w:rsidRPr="00976E92">
        <w:rPr>
          <w:rFonts w:ascii="Times New Roman" w:hAnsi="Times New Roman"/>
          <w:color w:val="000000"/>
          <w:lang w:val="en-US"/>
        </w:rPr>
        <w:fldChar w:fldCharType="begin" w:fldLock="1"/>
      </w:r>
      <w:r w:rsidR="0037648F" w:rsidRPr="00976E92">
        <w:rPr>
          <w:rFonts w:ascii="Times New Roman" w:hAnsi="Times New Roman"/>
          <w:color w:val="000000"/>
          <w:lang w:val="en-US"/>
        </w:rPr>
        <w:instrText>ADDIN CSL_CITATION {"citationItems":[{"id":"ITEM-1","itemData":{"DOI":"10.1063/5.0007045","ISSN":"10897690","PMID":"33687235","abstract":"CP2K is an open source electronic structure and molecular dynamics software package to perform atomistic simulations of solid-state, liquid, molecular, and biological systems. It is especially aimed at massively parallel and linear-scaling electronic structure methods and state-of-theart ab initio molecular dynamics simulations. Excellent performance for electronic structure calculations is achieved using novel algorithms implemented for modern high-performance computing systems. This review revisits the main capabilities of CP2K to perform efficient and accurate electronic structure simulations. The emphasis is put on density functional theory and multiple post-Hartree-Fock methods using the Gaussian and plane wave approach and its augmented all-electron extension.","author":[{"dropping-particle":"","family":"Kühne","given":"Thomas D.","non-dropping-particle":"","parse-names":false,"suffix":""},{"dropping-particle":"","family":"Iannuzzi","given":"Marcella","non-dropping-particle":"","parse-names":false,"suffix":""},{"dropping-particle":"","family":"Ben","given":"Mauro","non-dropping-particle":"Del","parse-names":false,"suffix":""},{"dropping-particle":"V.","family":"Rybkin","given":"Vladimir","non-dropping-particle":"","parse-names":false,"suffix":""},{"dropping-particle":"","family":"Seewald","given":"Patrick","non-dropping-particle":"","parse-names":false,"suffix":""},{"dropping-particle":"","family":"Stein","given":"Frederick","non-dropping-particle":"","parse-names":false,"suffix":""},{"dropping-particle":"","family":"Laino","given":"Teodoro","non-dropping-particle":"","parse-names":false,"suffix":""},{"dropping-particle":"","family":"Khaliullin","given":"Rustam Z.","non-dropping-particle":"","parse-names":false,"suffix":""},{"dropping-particle":"","family":"Schütt","given":"Ole","non-dropping-particle":"","parse-names":false,"suffix":""},{"dropping-particle":"","family":"Schiffmann","given":"Florian","non-dropping-particle":"","parse-names":false,"suffix":""},{"dropping-particle":"","family":"Golze","given":"Dorothea","non-dropping-particle":"","parse-names":false,"suffix":""},{"dropping-particle":"","family":"Wilhelm","given":"Jan","non-dropping-particle":"","parse-names":false,"suffix":""},{"dropping-particle":"","family":"Chulkov","given":"Sergey","non-dropping-particle":"","parse-names":false,"suffix":""},{"dropping-particle":"","family":"Bani-Hashemian","given":"Mohammad Hossein","non-dropping-particle":"","parse-names":false,"suffix":""},{"dropping-particle":"","family":"Weber","given":"Valéry","non-dropping-particle":"","parse-names":false,"suffix":""},{"dropping-particle":"","family":"Borštnik","given":"Urban","non-dropping-particle":"","parse-names":false,"suffix":""},{"dropping-particle":"","family":"Taillefumier","given":"Mathieu","non-dropping-particle":"","parse-names":false,"suffix":""},{"dropping-particle":"","family":"Jakobovits","given":"Alice Shoshana","non-dropping-particle":"","parse-names":false,"suffix":""},{"dropping-particle":"","family":"Lazzaro","given":"Alfio","non-dropping-particle":"","parse-names":false,"suffix":""},{"dropping-particle":"","family":"Pabst","given":"Hans","non-dropping-particle":"","parse-names":false,"suffix":""},{"dropping-particle":"","family":"Müller","given":"Tiziano","non-dropping-particle":"","parse-names":false,"suffix":""},{"dropping-particle":"","family":"Schade","given":"Robert","non-dropping-particle":"","parse-names":false,"suffix":""},{"dropping-particle":"","family":"Guidon","given":"Manuel","non-dropping-particle":"","parse-names":false,"suffix":""},{"dropping-particle":"","family":"Andermatt","given":"Samuel","non-dropping-particle":"","parse-names":false,"suffix":""},{"dropping-particle":"","family":"Holmberg","given":"Nico","non-dropping-particle":"","parse-names":false,"suffix":""},{"dropping-particle":"","family":"Schenter","given":"Gregory K.","non-dropping-particle":"","parse-names":false,"suffix":""},{"dropping-particle":"","family":"Hehn","given":"Anna","non-dropping-particle":"","parse-names":false,"suffix":""},{"dropping-particle":"","family":"Bussy","given":"Augustin","non-dropping-particle":"","parse-names":false,"suffix":""},{"dropping-particle":"","family":"Belleflamme","given":"Fabian","non-dropping-particle":"","parse-names":false,"suffix":""},{"dropping-particle":"","family":"Tabacchi","given":"Gloria","non-dropping-particle":"","parse-names":false,"suffix":""},{"dropping-particle":"","family":"Glöß","given":"Andreas","non-dropping-particle":"","parse-names":false,"suffix":""},{"dropping-particle":"","family":"Lass","given":"Michael","non-dropping-particle":"","parse-names":false,"suffix":""},{"dropping-particle":"","family":"Bethune","given":"Iain","non-dropping-particle":"","parse-names":false,"suffix":""},{"dropping-particle":"","family":"Mundy","given":"Christopher J.","non-dropping-particle":"","parse-names":false,"suffix":""},{"dropping-particle":"","family":"Plessl","given":"Christian","non-dropping-particle":"","parse-names":false,"suffix":""},{"dropping-particle":"","family":"Watkins","given":"Matt","non-dropping-particle":"","parse-names":false,"suffix":""},{"dropping-particle":"","family":"VandeVondele","given":"Joost","non-dropping-particle":"","parse-names":false,"suffix":""},{"dropping-particle":"","family":"Krack","given":"Matthias","non-dropping-particle":"","parse-names":false,"suffix":""},{"dropping-particle":"","family":"Hutter","given":"Jürg","non-dropping-particle":"","parse-names":false,"suffix":""}],"container-title":"Journal of Chemical Physics","id":"ITEM-1","issue":"19","issued":{"date-parts":[["2020"]]},"publisher":"AIP Publishing, LLC","title":"CP2K: An electronic structure and molecular dynamics software package -Quickstep: Efficient and accurate electronic structure calculations","type":"article-journal","volume":"152"},"uris":["http://www.mendeley.com/documents/?uuid=3eae8669-afe6-44f8-a19d-f3924ce99ce9"]}],"mendeley":{"formattedCitation":"&lt;sup&gt;18&lt;/sup&gt;","plainTextFormattedCitation":"18","previouslyFormattedCitation":"&lt;sup&gt;18&lt;/sup&gt;"},"properties":{"noteIndex":0},"schema":"https://github.com/citation-style-language/schema/raw/master/csl-citation.json"}</w:instrText>
      </w:r>
      <w:r w:rsidR="0037648F" w:rsidRPr="00976E92">
        <w:rPr>
          <w:rFonts w:ascii="Times New Roman" w:hAnsi="Times New Roman"/>
          <w:color w:val="000000"/>
          <w:lang w:val="en-US"/>
        </w:rPr>
        <w:fldChar w:fldCharType="separate"/>
      </w:r>
      <w:r w:rsidR="0037648F" w:rsidRPr="00976E92">
        <w:rPr>
          <w:rFonts w:ascii="Times New Roman" w:hAnsi="Times New Roman"/>
          <w:noProof/>
          <w:color w:val="000000"/>
          <w:vertAlign w:val="superscript"/>
          <w:lang w:val="en-US"/>
        </w:rPr>
        <w:t>18</w:t>
      </w:r>
      <w:r w:rsidR="0037648F" w:rsidRPr="00976E92">
        <w:rPr>
          <w:rFonts w:ascii="Times New Roman" w:hAnsi="Times New Roman"/>
          <w:color w:val="000000"/>
          <w:lang w:val="en-US"/>
        </w:rPr>
        <w:fldChar w:fldCharType="end"/>
      </w:r>
      <w:r w:rsidRPr="00976E92">
        <w:rPr>
          <w:rFonts w:ascii="Times New Roman" w:hAnsi="Times New Roman"/>
          <w:color w:val="000000"/>
          <w:lang w:val="en-US"/>
        </w:rPr>
        <w:t xml:space="preserve"> while the first and second hyperpolarizability parameters of </w:t>
      </w:r>
      <w:r w:rsidRPr="00976E92">
        <w:rPr>
          <w:rFonts w:ascii="Times New Roman" w:hAnsi="Times New Roman"/>
          <w:color w:val="000000"/>
          <w:lang w:val="en-US"/>
        </w:rPr>
        <w:lastRenderedPageBreak/>
        <w:t>gas phase water were parameterized using DALTON program.</w:t>
      </w:r>
      <w:r w:rsidR="0037648F" w:rsidRPr="00976E92">
        <w:rPr>
          <w:rFonts w:ascii="Times New Roman" w:hAnsi="Times New Roman"/>
          <w:color w:val="000000"/>
          <w:lang w:val="en-US"/>
        </w:rPr>
        <w:fldChar w:fldCharType="begin" w:fldLock="1"/>
      </w:r>
      <w:r w:rsidR="0037648F" w:rsidRPr="00976E92">
        <w:rPr>
          <w:rFonts w:ascii="Times New Roman" w:hAnsi="Times New Roman"/>
          <w:color w:val="000000"/>
          <w:lang w:val="en-US"/>
        </w:rPr>
        <w:instrText>ADDIN CSL_CITATION {"citationItems":[{"id":"ITEM-1","itemData":{"DOI":"10.1002/wcms.1172","ISSN":"17590884","abstract":"Dalton is a powerful general-purpose program system for the study of molecular electronic structure at the Hartree-Fock, Kohn-Sham, multiconfigurational self-consistent-field, Møller-Plesset, configuration-interaction, and coupled-cluster levels of theory. Apart from the total energy, a wide variety of molecular properties may be calculated using these electronic-structure models. Molecular gradients and Hessians are available for geometry optimizations, molecular dynamics, and vibrational studies, whereas magnetic resonance and optical activity can be studied in a gauge-origin-invariant manner. Frequency-dependent molecular properties can be calculated using linear, quadratic, and cubic response theory. A large number of singlet and triplet perturbation operators are available for the study of one-, two-, and three-photon processes. Environmental effects may be included using various dielectric-medium and quantum-mechanics/molecular-mechanics models. Large molecules may be studied using linear-scaling and massively parallel algorithms. Dalton is distributed at no cost from http://www.daltonprogram.org for a number of UNIX platforms. © 2013 John Wiley &amp; Sons, Ltd.","author":[{"dropping-particle":"","family":"Aidas","given":"Kestutis","non-dropping-particle":"","parse-names":false,"suffix":""},{"dropping-particle":"","family":"Angeli","given":"Celestino","non-dropping-particle":"","parse-names":false,"suffix":""},{"dropping-particle":"","family":"Bak","given":"Keld L.","non-dropping-particle":"","parse-names":false,"suffix":""},{"dropping-particle":"","family":"Bakken","given":"Vebjørn","non-dropping-particle":"","parse-names":false,"suffix":""},{"dropping-particle":"","family":"Bast","given":"Radovan","non-dropping-particle":"","parse-names":false,"suffix":""},{"dropping-particle":"","family":"Boman","given":"Linus","non-dropping-particle":"","parse-names":false,"suffix":""},{"dropping-particle":"","family":"Christiansen","given":"Ove","non-dropping-particle":"","parse-names":false,"suffix":""},{"dropping-particle":"","family":"Cimiraglia","given":"Renzo","non-dropping-particle":"","parse-names":false,"suffix":""},{"dropping-particle":"","family":"Coriani","given":"Sonia","non-dropping-particle":"","parse-names":false,"suffix":""},{"dropping-particle":"","family":"Dahle","given":"Pål","non-dropping-particle":"","parse-names":false,"suffix":""},{"dropping-particle":"","family":"Dalskov","given":"Erik K.","non-dropping-particle":"","parse-names":false,"suffix":""},{"dropping-particle":"","family":"Ekström","given":"Ulf","non-dropping-particle":"","parse-names":false,"suffix":""},{"dropping-particle":"","family":"Enevoldsen","given":"Thomas","non-dropping-particle":"","parse-names":false,"suffix":""},{"dropping-particle":"","family":"Eriksen","given":"Janus J.","non-dropping-particle":"","parse-names":false,"suffix":""},{"dropping-particle":"","family":"Ettenhuber","given":"Patrick","non-dropping-particle":"","parse-names":false,"suffix":""},{"dropping-particle":"","family":"Fernández","given":"Berta","non-dropping-particle":"","parse-names":false,"suffix":""},{"dropping-particle":"","family":"Ferrighi","given":"Lara","non-dropping-particle":"","parse-names":false,"suffix":""},{"dropping-particle":"","family":"Fliegl","given":"Heike","non-dropping-particle":"","parse-names":false,"suffix":""},{"dropping-particle":"","family":"Frediani","given":"Luca","non-dropping-particle":"","parse-names":false,"suffix":""},{"dropping-particle":"","family":"Hald","given":"Kasper","non-dropping-particle":"","parse-names":false,"suffix":""},{"dropping-particle":"","family":"Halkier","given":"Asger","non-dropping-particle":"","parse-names":false,"suffix":""},{"dropping-particle":"","family":"Hättig","given":"Christof","non-dropping-particle":"","parse-names":false,"suffix":""},{"dropping-particle":"","family":"Heiberg","given":"Hanne","non-dropping-particle":"","parse-names":false,"suffix":""},{"dropping-particle":"","family":"Helgaker","given":"Trygve","non-dropping-particle":"","parse-names":false,"suffix":""},{"dropping-particle":"","family":"Hennum","given":"Alf Christian","non-dropping-particle":"","parse-names":false,"suffix":""},{"dropping-particle":"","family":"Hettema","given":"Hinne","non-dropping-particle":"","parse-names":false,"suffix":""},{"dropping-particle":"","family":"Hjertenæs","given":"Eirik","non-dropping-particle":"","parse-names":false,"suffix":""},{"dropping-particle":"","family":"Høst","given":"Stinne","non-dropping-particle":"","parse-names":false,"suffix":""},{"dropping-particle":"","family":"Høyvik","given":"Ida Marie","non-dropping-particle":"","parse-names":false,"suffix":""},{"dropping-particle":"","family":"Iozzi","given":"Maria Francesca","non-dropping-particle":"","parse-names":false,"suffix":""},{"dropping-particle":"","family":"Jansík","given":"Branislav","non-dropping-particle":"","parse-names":false,"suffix":""},{"dropping-particle":"","family":"Jensen","given":"Hans Jørgen Aa","non-dropping-particle":"","parse-names":false,"suffix":""},{"dropping-particle":"","family":"Jonsson","given":"Dan","non-dropping-particle":"","parse-names":false,"suffix":""},{"dropping-particle":"","family":"Jørgensen","given":"Poul","non-dropping-particle":"","parse-names":false,"suffix":""},{"dropping-particle":"","family":"Kauczor","given":"Joanna","non-dropping-particle":"","parse-names":false,"suffix":""},{"dropping-particle":"","family":"Kirpekar","given":"Sheela","non-dropping-particle":"","parse-names":false,"suffix":""},{"dropping-particle":"","family":"Kjærgaard","given":"Thomas","non-dropping-particle":"","parse-names":false,"suffix":""},{"dropping-particle":"","family":"Klopper","given":"Wim","non-dropping-particle":"","parse-names":false,"suffix":""},{"dropping-particle":"","family":"Knecht","given":"Stefan","non-dropping-particle":"","parse-names":false,"suffix":""},{"dropping-particle":"","family":"Kobayashi","given":"Rika","non-dropping-particle":"","parse-names":false,"suffix":""},{"dropping-particle":"","family":"Koch","given":"Henrik","non-dropping-particle":"","parse-names":false,"suffix":""},{"dropping-particle":"","family":"Kongsted","given":"Jacob","non-dropping-particle":"","parse-names":false,"suffix":""},{"dropping-particle":"","family":"Krapp","given":"Andreas","non-dropping-particle":"","parse-names":false,"suffix":""},{"dropping-particle":"","family":"Kristensen","given":"Kasper","non-dropping-particle":"","parse-names":false,"suffix":""},{"dropping-particle":"","family":"Ligabue","given":"Andrea","non-dropping-particle":"","parse-names":false,"suffix":""},{"dropping-particle":"","family":"Lutnæs","given":"Ola B.","non-dropping-particle":"","parse-names":false,"suffix":""},{"dropping-particle":"","family":"Melo","given":"Juan I.","non-dropping-particle":"","parse-names":false,"suffix":""},{"dropping-particle":"V.","family":"Mikkelsen","given":"Kurt","non-dropping-particle":"","parse-names":false,"suffix":""},{"dropping-particle":"","family":"Myhre","given":"Rolf H.","non-dropping-particle":"","parse-names":false,"suffix":""},{"dropping-particle":"","family":"Neiss","given":"Christian","non-dropping-particle":"","parse-names":false,"suffix":""},{"dropping-particle":"","family":"Nielsen","given":"Christian B.","non-dropping-particle":"","parse-names":false,"suffix":""},{"dropping-particle":"","family":"Norman","given":"Patrick","non-dropping-particle":"","parse-names":false,"suffix":""},{"dropping-particle":"","family":"Olsen","given":"Jeppe","non-dropping-particle":"","parse-names":false,"suffix":""},{"dropping-particle":"","family":"Olsen","given":"Jógvan Magnus H.","non-dropping-particle":"","parse-names":false,"suffix":""},{"dropping-particle":"","family":"Osted","given":"Anders","non-dropping-particle":"","parse-names":false,"suffix":""},{"dropping-particle":"","family":"Packer","given":"Martin J.","non-dropping-particle":"","parse-names":false,"suffix":""},{"dropping-particle":"","family":"Pawlowski","given":"Filip","non-dropping-particle":"","parse-names":false,"suffix":""},{"dropping-particle":"","family":"Pedersen","given":"Thomas B.","non-dropping-particle":"","parse-names":false,"suffix":""},{"dropping-particle":"","family":"Provasi","given":"Patricio F.","non-dropping-particle":"","parse-names":false,"suffix":""},{"dropping-particle":"","family":"Reine","given":"Simen","non-dropping-particle":"","parse-names":false,"suffix":""},{"dropping-particle":"","family":"Rinkevicius","given":"Zilvinas","non-dropping-particle":"","parse-names":false,"suffix":""},{"dropping-particle":"","family":"Ruden","given":"Torgeir A.","non-dropping-particle":"","parse-names":false,"suffix":""},{"dropping-particle":"","family":"Ruud","given":"Kenneth","non-dropping-particle":"","parse-names":false,"suffix":""},{"dropping-particle":"V.","family":"Rybkin","given":"Vladimir","non-dropping-particle":"","parse-names":false,"suffix":""},{"dropping-particle":"","family":"Sałek","given":"Pawel","non-dropping-particle":"","parse-names":false,"suffix":""},{"dropping-particle":"","family":"Samson","given":"Claire C.M.","non-dropping-particle":"","parse-names":false,"suffix":""},{"dropping-particle":"","family":"Merás","given":"Alfredo Sánchez","non-dropping-particle":"de","parse-names":false,"suffix":""},{"dropping-particle":"","family":"Saue","given":"Trond","non-dropping-particle":"","parse-names":false,"suffix":""},{"dropping-particle":"","family":"Sauer","given":"Stephan P.A.","non-dropping-particle":"","parse-names":false,"suffix":""},{"dropping-particle":"","family":"Schimmelpfennig","given":"Bernd","non-dropping-particle":"","parse-names":false,"suffix":""},{"dropping-particle":"","family":"Sneskov","given":"Kristian","non-dropping-particle":"","parse-names":false,"suffix":""},{"dropping-particle":"","family":"Steindal","given":"Arnfinn H.","non-dropping-particle":"","parse-names":false,"suffix":""},{"dropping-particle":"","family":"Sylvester-Hvid","given":"Kristian O.","non-dropping-particle":"","parse-names":false,"suffix":""},{"dropping-particle":"","family":"Taylor","given":"Peter R.","non-dropping-particle":"","parse-names":false,"suffix":""},{"dropping-particle":"","family":"Teale","given":"Andrew M.","non-dropping-particle":"","parse-names":false,"suffix":""},{"dropping-particle":"","family":"Tellgren","given":"Erik I.","non-dropping-particle":"","parse-names":false,"suffix":""},{"dropping-particle":"","family":"Tew","given":"David P.","non-dropping-particle":"","parse-names":false,"suffix":""},{"dropping-particle":"","family":"Thorvaldsen","given":"Andreas J.","non-dropping-particle":"","parse-names":false,"suffix":""},{"dropping-particle":"","family":"Thøgersen","given":"Lea","non-dropping-particle":"","parse-names":false,"suffix":""},{"dropping-particle":"","family":"Vahtras","given":"Olav","non-dropping-particle":"","parse-names":false,"suffix":""},{"dropping-particle":"","family":"Watson","given":"Mark A.","non-dropping-particle":"","parse-names":false,"suffix":""},{"dropping-particle":"","family":"Wilson","given":"David J.D.","non-dropping-particle":"","parse-names":false,"suffix":""},{"dropping-particle":"","family":"Ziolkowski","given":"Marcin","non-dropping-particle":"","parse-names":false,"suffix":""},{"dropping-particle":"","family":"Ågren","given":"Hans","non-dropping-particle":"","parse-names":false,"suffix":""}],"container-title":"Wiley Interdisciplinary Reviews: Computational Molecular Science","id":"ITEM-1","issue":"3","issued":{"date-parts":[["2014"]]},"page":"269-284","title":"The Dalton quantum chemistry program system","type":"article-journal","volume":"4"},"uris":["http://www.mendeley.com/documents/?uuid=a171c699-d327-4892-9472-302749bc43b6"]}],"mendeley":{"formattedCitation":"&lt;sup&gt;28&lt;/sup&gt;","plainTextFormattedCitation":"28","previouslyFormattedCitation":"&lt;sup&gt;28&lt;/sup&gt;"},"properties":{"noteIndex":0},"schema":"https://github.com/citation-style-language/schema/raw/master/csl-citation.json"}</w:instrText>
      </w:r>
      <w:r w:rsidR="0037648F" w:rsidRPr="00976E92">
        <w:rPr>
          <w:rFonts w:ascii="Times New Roman" w:hAnsi="Times New Roman"/>
          <w:color w:val="000000"/>
          <w:lang w:val="en-US"/>
        </w:rPr>
        <w:fldChar w:fldCharType="separate"/>
      </w:r>
      <w:r w:rsidR="0037648F" w:rsidRPr="00976E92">
        <w:rPr>
          <w:rFonts w:ascii="Times New Roman" w:hAnsi="Times New Roman"/>
          <w:noProof/>
          <w:color w:val="000000"/>
          <w:vertAlign w:val="superscript"/>
          <w:lang w:val="en-US"/>
        </w:rPr>
        <w:t>28</w:t>
      </w:r>
      <w:r w:rsidR="0037648F" w:rsidRPr="00976E92">
        <w:rPr>
          <w:rFonts w:ascii="Times New Roman" w:hAnsi="Times New Roman"/>
          <w:color w:val="000000"/>
          <w:lang w:val="en-US"/>
        </w:rPr>
        <w:fldChar w:fldCharType="end"/>
      </w:r>
      <w:r w:rsidRPr="00976E92">
        <w:rPr>
          <w:rFonts w:ascii="Times New Roman" w:hAnsi="Times New Roman"/>
          <w:color w:val="000000"/>
          <w:lang w:val="en-US"/>
        </w:rPr>
        <w:t xml:space="preserve"> For this parameterization, we used the same settings as described in our AIMD simulations.</w:t>
      </w:r>
    </w:p>
    <w:p w14:paraId="23C6CC6A" w14:textId="77777777" w:rsidR="004C0081" w:rsidRPr="00976E92" w:rsidRDefault="004C0081" w:rsidP="004C0081">
      <w:pPr>
        <w:spacing w:before="180" w:after="180"/>
        <w:jc w:val="both"/>
        <w:rPr>
          <w:rFonts w:ascii="Times New Roman" w:hAnsi="Times New Roman"/>
          <w:color w:val="000000"/>
          <w:lang w:val="en-US"/>
        </w:rPr>
      </w:pPr>
      <w:r w:rsidRPr="00976E92">
        <w:rPr>
          <w:rFonts w:ascii="Times New Roman" w:eastAsia="Calibri" w:hAnsi="Times New Roman" w:cs="Times New Roman"/>
          <w:color w:val="000000"/>
          <w:lang w:val="en-US"/>
        </w:rPr>
        <w:t>Table II: Molecular dipole moment, polarizabilites, first and second order hyperpolarizabilites of the gas phase water. Note that in our molecular frame of a water molecule, the x-axis points along the vector joining the two hydrogen atoms (H-H vector), y-axis the vector of the water bisector and the z-axis to the vector perpendicular to both water bisector and H-H vector.</w:t>
      </w:r>
    </w:p>
    <w:tbl>
      <w:tblPr>
        <w:tblW w:w="0" w:type="dxa"/>
        <w:tblLayout w:type="fixed"/>
        <w:tblCellMar>
          <w:top w:w="55" w:type="dxa"/>
          <w:left w:w="55" w:type="dxa"/>
          <w:bottom w:w="55" w:type="dxa"/>
          <w:right w:w="55" w:type="dxa"/>
        </w:tblCellMar>
        <w:tblLook w:val="04A0" w:firstRow="1" w:lastRow="0" w:firstColumn="1" w:lastColumn="0" w:noHBand="0" w:noVBand="1"/>
      </w:tblPr>
      <w:tblGrid>
        <w:gridCol w:w="2880"/>
        <w:gridCol w:w="2880"/>
        <w:gridCol w:w="2880"/>
      </w:tblGrid>
      <w:tr w:rsidR="004C0081" w:rsidRPr="00976E92" w14:paraId="22C5524C" w14:textId="77777777" w:rsidTr="004C0081">
        <w:tc>
          <w:tcPr>
            <w:tcW w:w="2880" w:type="dxa"/>
            <w:tcBorders>
              <w:top w:val="single" w:sz="4" w:space="0" w:color="000000"/>
              <w:left w:val="single" w:sz="4" w:space="0" w:color="000000"/>
              <w:bottom w:val="single" w:sz="4" w:space="0" w:color="000000"/>
              <w:right w:val="nil"/>
            </w:tcBorders>
            <w:hideMark/>
          </w:tcPr>
          <w:p w14:paraId="1C9CB6B5" w14:textId="77777777" w:rsidR="004C0081" w:rsidRPr="00976E92" w:rsidRDefault="004C0081">
            <w:pPr>
              <w:pStyle w:val="TableContents"/>
              <w:widowControl w:val="0"/>
              <w:spacing w:after="200"/>
              <w:rPr>
                <w:rFonts w:ascii="Times New Roman" w:hAnsi="Times New Roman"/>
                <w:color w:val="000000"/>
              </w:rPr>
            </w:pPr>
            <w:r w:rsidRPr="00976E92">
              <w:rPr>
                <w:rFonts w:ascii="Times New Roman" w:hAnsi="Times New Roman"/>
                <w:color w:val="000000"/>
              </w:rPr>
              <w:t xml:space="preserve">Properties </w:t>
            </w:r>
          </w:p>
        </w:tc>
        <w:tc>
          <w:tcPr>
            <w:tcW w:w="2880" w:type="dxa"/>
            <w:tcBorders>
              <w:top w:val="single" w:sz="4" w:space="0" w:color="000000"/>
              <w:left w:val="single" w:sz="4" w:space="0" w:color="000000"/>
              <w:bottom w:val="single" w:sz="4" w:space="0" w:color="000000"/>
              <w:right w:val="nil"/>
            </w:tcBorders>
            <w:hideMark/>
          </w:tcPr>
          <w:p w14:paraId="4319FA12" w14:textId="77777777" w:rsidR="004C0081" w:rsidRPr="00976E92" w:rsidRDefault="004C0081">
            <w:pPr>
              <w:pStyle w:val="TableContents"/>
              <w:widowControl w:val="0"/>
              <w:spacing w:after="200"/>
              <w:rPr>
                <w:rFonts w:ascii="Times New Roman" w:hAnsi="Times New Roman"/>
                <w:color w:val="000000"/>
              </w:rPr>
            </w:pPr>
            <w:r w:rsidRPr="00976E92">
              <w:rPr>
                <w:rFonts w:ascii="Times New Roman" w:hAnsi="Times New Roman"/>
                <w:color w:val="000000"/>
              </w:rPr>
              <w:t>H</w:t>
            </w:r>
            <w:r w:rsidRPr="00976E92">
              <w:rPr>
                <w:rFonts w:ascii="Times New Roman" w:hAnsi="Times New Roman"/>
                <w:color w:val="000000"/>
                <w:vertAlign w:val="subscript"/>
              </w:rPr>
              <w:t>2</w:t>
            </w:r>
            <w:r w:rsidRPr="00976E92">
              <w:rPr>
                <w:rFonts w:ascii="Times New Roman" w:hAnsi="Times New Roman"/>
                <w:color w:val="000000"/>
              </w:rPr>
              <w:t>O Parameters</w:t>
            </w:r>
          </w:p>
        </w:tc>
        <w:tc>
          <w:tcPr>
            <w:tcW w:w="2880" w:type="dxa"/>
            <w:tcBorders>
              <w:top w:val="single" w:sz="4" w:space="0" w:color="000000"/>
              <w:left w:val="single" w:sz="4" w:space="0" w:color="000000"/>
              <w:bottom w:val="single" w:sz="4" w:space="0" w:color="000000"/>
              <w:right w:val="single" w:sz="4" w:space="0" w:color="000000"/>
            </w:tcBorders>
            <w:hideMark/>
          </w:tcPr>
          <w:p w14:paraId="569B66D8" w14:textId="77777777" w:rsidR="004C0081" w:rsidRPr="00976E92" w:rsidRDefault="004C0081">
            <w:pPr>
              <w:pStyle w:val="TableContents"/>
              <w:widowControl w:val="0"/>
              <w:spacing w:after="200"/>
              <w:rPr>
                <w:rFonts w:ascii="Times New Roman" w:hAnsi="Times New Roman"/>
                <w:color w:val="000000"/>
              </w:rPr>
            </w:pPr>
            <w:r w:rsidRPr="00976E92">
              <w:rPr>
                <w:rFonts w:ascii="Times New Roman" w:hAnsi="Times New Roman"/>
                <w:color w:val="000000"/>
              </w:rPr>
              <w:t>Units</w:t>
            </w:r>
          </w:p>
        </w:tc>
      </w:tr>
      <w:tr w:rsidR="004C0081" w:rsidRPr="004639A0" w14:paraId="6A6520F1" w14:textId="77777777" w:rsidTr="004C0081">
        <w:tc>
          <w:tcPr>
            <w:tcW w:w="2880" w:type="dxa"/>
            <w:tcBorders>
              <w:top w:val="single" w:sz="4" w:space="0" w:color="000000"/>
              <w:left w:val="single" w:sz="4" w:space="0" w:color="000000"/>
              <w:bottom w:val="single" w:sz="4" w:space="0" w:color="000000"/>
              <w:right w:val="nil"/>
            </w:tcBorders>
            <w:hideMark/>
          </w:tcPr>
          <w:p w14:paraId="06F301AF" w14:textId="77777777" w:rsidR="004C0081" w:rsidRPr="00976E92" w:rsidRDefault="004C0081">
            <w:pPr>
              <w:pStyle w:val="TableContents"/>
              <w:widowControl w:val="0"/>
              <w:rPr>
                <w:rFonts w:ascii="Times New Roman" w:hAnsi="Times New Roman"/>
                <w:color w:val="000000"/>
              </w:rPr>
            </w:pPr>
            <w:r w:rsidRPr="00976E92">
              <w:rPr>
                <w:rFonts w:ascii="Times New Roman" w:hAnsi="Times New Roman"/>
                <w:color w:val="000000"/>
              </w:rPr>
              <w:t>Dipole</w:t>
            </w:r>
          </w:p>
          <w:p w14:paraId="33944269" w14:textId="77777777" w:rsidR="004C0081" w:rsidRPr="00976E92" w:rsidRDefault="00A040FD">
            <w:pPr>
              <w:pStyle w:val="TableContents"/>
              <w:widowControl w:val="0"/>
              <w:rPr>
                <w:rFonts w:ascii="Times New Roman" w:hAnsi="Times New Roman"/>
                <w:color w:val="000000"/>
              </w:rPr>
            </w:pPr>
            <m:oMathPara>
              <m:oMathParaPr>
                <m:jc m:val="left"/>
              </m:oMathParaPr>
              <m:oMath>
                <m:sSub>
                  <m:sSubPr>
                    <m:ctrlPr>
                      <w:rPr>
                        <w:rFonts w:ascii="Cambria Math" w:hAnsi="Cambria Math"/>
                      </w:rPr>
                    </m:ctrlPr>
                  </m:sSubPr>
                  <m:e>
                    <m:r>
                      <w:rPr>
                        <w:rFonts w:ascii="Cambria Math" w:hAnsi="Cambria Math"/>
                      </w:rPr>
                      <m:t>μ</m:t>
                    </m:r>
                  </m:e>
                  <m:sub>
                    <m:r>
                      <w:rPr>
                        <w:rFonts w:ascii="Cambria Math" w:hAnsi="Cambria Math"/>
                      </w:rPr>
                      <m:t>y</m:t>
                    </m:r>
                  </m:sub>
                </m:sSub>
              </m:oMath>
            </m:oMathPara>
          </w:p>
          <w:p w14:paraId="59C47396" w14:textId="77777777" w:rsidR="004C0081" w:rsidRPr="00976E92" w:rsidRDefault="004C0081">
            <w:pPr>
              <w:pStyle w:val="TableContents"/>
              <w:widowControl w:val="0"/>
              <w:rPr>
                <w:rFonts w:ascii="Times New Roman" w:hAnsi="Times New Roman"/>
                <w:color w:val="000000"/>
              </w:rPr>
            </w:pPr>
            <w:r w:rsidRPr="00976E92">
              <w:rPr>
                <w:rFonts w:ascii="Times New Roman" w:hAnsi="Times New Roman"/>
                <w:color w:val="000000"/>
              </w:rPr>
              <w:t>Polarizability</w:t>
            </w:r>
          </w:p>
          <w:p w14:paraId="6093193B" w14:textId="77777777" w:rsidR="004C0081" w:rsidRPr="00976E92" w:rsidRDefault="00A040FD">
            <w:pPr>
              <w:pStyle w:val="TableContents"/>
              <w:widowControl w:val="0"/>
              <w:rPr>
                <w:rFonts w:ascii="Times New Roman" w:hAnsi="Times New Roman"/>
                <w:color w:val="000000"/>
              </w:rPr>
            </w:pPr>
            <m:oMathPara>
              <m:oMathParaPr>
                <m:jc m:val="left"/>
              </m:oMathParaPr>
              <m:oMath>
                <m:sSub>
                  <m:sSubPr>
                    <m:ctrlPr>
                      <w:rPr>
                        <w:rFonts w:ascii="Cambria Math" w:hAnsi="Cambria Math"/>
                      </w:rPr>
                    </m:ctrlPr>
                  </m:sSubPr>
                  <m:e>
                    <m:r>
                      <w:rPr>
                        <w:rFonts w:ascii="Cambria Math" w:hAnsi="Cambria Math"/>
                      </w:rPr>
                      <m:t>α</m:t>
                    </m:r>
                  </m:e>
                  <m:sub>
                    <m:r>
                      <w:rPr>
                        <w:rFonts w:ascii="Cambria Math" w:hAnsi="Cambria Math"/>
                      </w:rPr>
                      <m:t>xx</m:t>
                    </m:r>
                  </m:sub>
                </m:sSub>
              </m:oMath>
            </m:oMathPara>
          </w:p>
          <w:p w14:paraId="063BE12D" w14:textId="77777777" w:rsidR="004C0081" w:rsidRPr="00976E92" w:rsidRDefault="00A040FD">
            <w:pPr>
              <w:pStyle w:val="TableContents"/>
              <w:widowControl w:val="0"/>
              <w:rPr>
                <w:rFonts w:ascii="Times New Roman" w:hAnsi="Times New Roman"/>
                <w:color w:val="000000"/>
              </w:rPr>
            </w:pPr>
            <m:oMathPara>
              <m:oMathParaPr>
                <m:jc m:val="left"/>
              </m:oMathParaPr>
              <m:oMath>
                <m:sSub>
                  <m:sSubPr>
                    <m:ctrlPr>
                      <w:rPr>
                        <w:rFonts w:ascii="Cambria Math" w:hAnsi="Cambria Math"/>
                      </w:rPr>
                    </m:ctrlPr>
                  </m:sSubPr>
                  <m:e>
                    <m:r>
                      <w:rPr>
                        <w:rFonts w:ascii="Cambria Math" w:hAnsi="Cambria Math"/>
                      </w:rPr>
                      <m:t>α</m:t>
                    </m:r>
                  </m:e>
                  <m:sub>
                    <m:r>
                      <w:rPr>
                        <w:rFonts w:ascii="Cambria Math" w:hAnsi="Cambria Math"/>
                      </w:rPr>
                      <m:t>yy</m:t>
                    </m:r>
                  </m:sub>
                </m:sSub>
              </m:oMath>
            </m:oMathPara>
          </w:p>
          <w:p w14:paraId="423A2EAC" w14:textId="77777777" w:rsidR="004C0081" w:rsidRPr="00976E92" w:rsidRDefault="00A040FD">
            <w:pPr>
              <w:pStyle w:val="TableContents"/>
              <w:widowControl w:val="0"/>
              <w:rPr>
                <w:rFonts w:ascii="Times New Roman" w:hAnsi="Times New Roman"/>
                <w:color w:val="000000"/>
              </w:rPr>
            </w:pPr>
            <m:oMathPara>
              <m:oMathParaPr>
                <m:jc m:val="left"/>
              </m:oMathParaPr>
              <m:oMath>
                <m:sSub>
                  <m:sSubPr>
                    <m:ctrlPr>
                      <w:rPr>
                        <w:rFonts w:ascii="Cambria Math" w:hAnsi="Cambria Math"/>
                      </w:rPr>
                    </m:ctrlPr>
                  </m:sSubPr>
                  <m:e>
                    <m:r>
                      <w:rPr>
                        <w:rFonts w:ascii="Cambria Math" w:hAnsi="Cambria Math"/>
                      </w:rPr>
                      <m:t>α</m:t>
                    </m:r>
                  </m:e>
                  <m:sub>
                    <m:r>
                      <w:rPr>
                        <w:rFonts w:ascii="Cambria Math" w:hAnsi="Cambria Math"/>
                      </w:rPr>
                      <m:t>zz</m:t>
                    </m:r>
                  </m:sub>
                </m:sSub>
              </m:oMath>
            </m:oMathPara>
          </w:p>
          <w:p w14:paraId="4D1D6695" w14:textId="77777777" w:rsidR="004C0081" w:rsidRPr="00976E92" w:rsidRDefault="004C0081">
            <w:pPr>
              <w:pStyle w:val="TableContents"/>
              <w:widowControl w:val="0"/>
              <w:rPr>
                <w:rFonts w:ascii="Times New Roman" w:hAnsi="Times New Roman"/>
                <w:color w:val="000000"/>
              </w:rPr>
            </w:pPr>
            <w:r w:rsidRPr="00976E92">
              <w:rPr>
                <w:rFonts w:ascii="Times New Roman" w:hAnsi="Times New Roman"/>
                <w:color w:val="000000"/>
              </w:rPr>
              <w:t>First hyperpolarizability</w:t>
            </w:r>
          </w:p>
          <w:p w14:paraId="7BF543C2" w14:textId="77777777" w:rsidR="004C0081" w:rsidRPr="00976E92" w:rsidRDefault="00A040FD">
            <w:pPr>
              <w:pStyle w:val="TableContents"/>
              <w:widowControl w:val="0"/>
              <w:rPr>
                <w:rFonts w:ascii="Times New Roman" w:hAnsi="Times New Roman"/>
                <w:color w:val="000000"/>
              </w:rPr>
            </w:pPr>
            <m:oMathPara>
              <m:oMathParaPr>
                <m:jc m:val="left"/>
              </m:oMathParaPr>
              <m:oMath>
                <m:sSub>
                  <m:sSubPr>
                    <m:ctrlPr>
                      <w:rPr>
                        <w:rFonts w:ascii="Cambria Math" w:hAnsi="Cambria Math"/>
                      </w:rPr>
                    </m:ctrlPr>
                  </m:sSubPr>
                  <m:e>
                    <m:r>
                      <w:rPr>
                        <w:rFonts w:ascii="Cambria Math" w:hAnsi="Cambria Math"/>
                      </w:rPr>
                      <m:t>β</m:t>
                    </m:r>
                  </m:e>
                  <m:sub>
                    <m:r>
                      <w:rPr>
                        <w:rFonts w:ascii="Cambria Math" w:hAnsi="Cambria Math"/>
                      </w:rPr>
                      <m:t>yyy</m:t>
                    </m:r>
                  </m:sub>
                </m:sSub>
              </m:oMath>
            </m:oMathPara>
          </w:p>
          <w:p w14:paraId="0B355D52" w14:textId="77777777" w:rsidR="004C0081" w:rsidRPr="00976E92" w:rsidRDefault="00A040FD">
            <w:pPr>
              <w:pStyle w:val="TableContents"/>
              <w:widowControl w:val="0"/>
              <w:rPr>
                <w:rFonts w:ascii="Times New Roman" w:hAnsi="Times New Roman"/>
                <w:color w:val="000000"/>
              </w:rPr>
            </w:pPr>
            <m:oMathPara>
              <m:oMathParaPr>
                <m:jc m:val="left"/>
              </m:oMathParaPr>
              <m:oMath>
                <m:sSub>
                  <m:sSubPr>
                    <m:ctrlPr>
                      <w:rPr>
                        <w:rFonts w:ascii="Cambria Math" w:hAnsi="Cambria Math"/>
                      </w:rPr>
                    </m:ctrlPr>
                  </m:sSubPr>
                  <m:e>
                    <m:r>
                      <w:rPr>
                        <w:rFonts w:ascii="Cambria Math" w:hAnsi="Cambria Math"/>
                      </w:rPr>
                      <m:t>β</m:t>
                    </m:r>
                  </m:e>
                  <m:sub>
                    <m:r>
                      <w:rPr>
                        <w:rFonts w:ascii="Cambria Math" w:hAnsi="Cambria Math"/>
                      </w:rPr>
                      <m:t>xxy</m:t>
                    </m:r>
                  </m:sub>
                </m:sSub>
              </m:oMath>
            </m:oMathPara>
          </w:p>
          <w:p w14:paraId="1949BF60" w14:textId="77777777" w:rsidR="004C0081" w:rsidRPr="00976E92" w:rsidRDefault="00A040FD">
            <w:pPr>
              <w:pStyle w:val="TableContents"/>
              <w:widowControl w:val="0"/>
              <w:rPr>
                <w:rFonts w:ascii="Times New Roman" w:hAnsi="Times New Roman"/>
                <w:color w:val="000000"/>
              </w:rPr>
            </w:pPr>
            <m:oMathPara>
              <m:oMathParaPr>
                <m:jc m:val="left"/>
              </m:oMathParaPr>
              <m:oMath>
                <m:sSub>
                  <m:sSubPr>
                    <m:ctrlPr>
                      <w:rPr>
                        <w:rFonts w:ascii="Cambria Math" w:hAnsi="Cambria Math"/>
                      </w:rPr>
                    </m:ctrlPr>
                  </m:sSubPr>
                  <m:e>
                    <m:r>
                      <w:rPr>
                        <w:rFonts w:ascii="Cambria Math" w:hAnsi="Cambria Math"/>
                      </w:rPr>
                      <m:t>β</m:t>
                    </m:r>
                  </m:e>
                  <m:sub>
                    <m:r>
                      <w:rPr>
                        <w:rFonts w:ascii="Cambria Math" w:hAnsi="Cambria Math"/>
                      </w:rPr>
                      <m:t>zzy</m:t>
                    </m:r>
                  </m:sub>
                </m:sSub>
              </m:oMath>
            </m:oMathPara>
          </w:p>
          <w:p w14:paraId="3D3F7C46" w14:textId="77777777" w:rsidR="004C0081" w:rsidRPr="00976E92" w:rsidRDefault="004C0081">
            <w:pPr>
              <w:pStyle w:val="TableContents"/>
              <w:widowControl w:val="0"/>
              <w:rPr>
                <w:rFonts w:ascii="Times New Roman" w:hAnsi="Times New Roman"/>
                <w:color w:val="000000"/>
              </w:rPr>
            </w:pPr>
            <w:r w:rsidRPr="00976E92">
              <w:rPr>
                <w:rFonts w:ascii="Times New Roman" w:hAnsi="Times New Roman"/>
                <w:color w:val="000000"/>
              </w:rPr>
              <w:t>Second hyperpolarizability</w:t>
            </w:r>
          </w:p>
          <w:p w14:paraId="478F5E53" w14:textId="77777777" w:rsidR="004C0081" w:rsidRPr="00976E92" w:rsidRDefault="00A040FD">
            <w:pPr>
              <w:pStyle w:val="TableContents"/>
              <w:widowControl w:val="0"/>
              <w:rPr>
                <w:rFonts w:ascii="Times New Roman" w:hAnsi="Times New Roman"/>
                <w:color w:val="000000"/>
              </w:rPr>
            </w:pPr>
            <m:oMathPara>
              <m:oMathParaPr>
                <m:jc m:val="left"/>
              </m:oMathParaPr>
              <m:oMath>
                <m:sSub>
                  <m:sSubPr>
                    <m:ctrlPr>
                      <w:rPr>
                        <w:rFonts w:ascii="Cambria Math" w:hAnsi="Cambria Math"/>
                      </w:rPr>
                    </m:ctrlPr>
                  </m:sSubPr>
                  <m:e>
                    <m:r>
                      <w:rPr>
                        <w:rFonts w:ascii="Cambria Math" w:hAnsi="Cambria Math"/>
                      </w:rPr>
                      <m:t>γ</m:t>
                    </m:r>
                  </m:e>
                  <m:sub>
                    <m:r>
                      <w:rPr>
                        <w:rFonts w:ascii="Cambria Math" w:hAnsi="Cambria Math"/>
                      </w:rPr>
                      <m:t>xxxx</m:t>
                    </m:r>
                  </m:sub>
                </m:sSub>
              </m:oMath>
            </m:oMathPara>
          </w:p>
          <w:p w14:paraId="62226846" w14:textId="77777777" w:rsidR="004C0081" w:rsidRPr="00976E92" w:rsidRDefault="00A040FD">
            <w:pPr>
              <w:pStyle w:val="TableContents"/>
              <w:widowControl w:val="0"/>
              <w:rPr>
                <w:rFonts w:ascii="Times New Roman" w:hAnsi="Times New Roman"/>
                <w:color w:val="000000"/>
              </w:rPr>
            </w:pPr>
            <m:oMathPara>
              <m:oMathParaPr>
                <m:jc m:val="left"/>
              </m:oMathParaPr>
              <m:oMath>
                <m:sSub>
                  <m:sSubPr>
                    <m:ctrlPr>
                      <w:rPr>
                        <w:rFonts w:ascii="Cambria Math" w:hAnsi="Cambria Math"/>
                      </w:rPr>
                    </m:ctrlPr>
                  </m:sSubPr>
                  <m:e>
                    <m:r>
                      <w:rPr>
                        <w:rFonts w:ascii="Cambria Math" w:hAnsi="Cambria Math"/>
                      </w:rPr>
                      <m:t>γ</m:t>
                    </m:r>
                  </m:e>
                  <m:sub>
                    <m:r>
                      <w:rPr>
                        <w:rFonts w:ascii="Cambria Math" w:hAnsi="Cambria Math"/>
                      </w:rPr>
                      <m:t>yyyy</m:t>
                    </m:r>
                  </m:sub>
                </m:sSub>
              </m:oMath>
            </m:oMathPara>
          </w:p>
          <w:p w14:paraId="5D072244" w14:textId="77777777" w:rsidR="004C0081" w:rsidRPr="00976E92" w:rsidRDefault="00A040FD">
            <w:pPr>
              <w:pStyle w:val="TableContents"/>
              <w:widowControl w:val="0"/>
              <w:rPr>
                <w:rFonts w:ascii="Times New Roman" w:hAnsi="Times New Roman"/>
                <w:color w:val="000000"/>
              </w:rPr>
            </w:pPr>
            <m:oMathPara>
              <m:oMathParaPr>
                <m:jc m:val="left"/>
              </m:oMathParaPr>
              <m:oMath>
                <m:sSub>
                  <m:sSubPr>
                    <m:ctrlPr>
                      <w:rPr>
                        <w:rFonts w:ascii="Cambria Math" w:hAnsi="Cambria Math"/>
                      </w:rPr>
                    </m:ctrlPr>
                  </m:sSubPr>
                  <m:e>
                    <m:r>
                      <w:rPr>
                        <w:rFonts w:ascii="Cambria Math" w:hAnsi="Cambria Math"/>
                      </w:rPr>
                      <m:t>γ</m:t>
                    </m:r>
                  </m:e>
                  <m:sub>
                    <m:r>
                      <w:rPr>
                        <w:rFonts w:ascii="Cambria Math" w:hAnsi="Cambria Math"/>
                      </w:rPr>
                      <m:t>zzzz</m:t>
                    </m:r>
                  </m:sub>
                </m:sSub>
              </m:oMath>
            </m:oMathPara>
          </w:p>
          <w:p w14:paraId="75BA6690" w14:textId="77777777" w:rsidR="004C0081" w:rsidRPr="00976E92" w:rsidRDefault="00A040FD">
            <w:pPr>
              <w:pStyle w:val="TableContents"/>
              <w:widowControl w:val="0"/>
              <w:rPr>
                <w:rFonts w:ascii="Times New Roman" w:hAnsi="Times New Roman"/>
                <w:color w:val="000000"/>
              </w:rPr>
            </w:pPr>
            <m:oMathPara>
              <m:oMathParaPr>
                <m:jc m:val="left"/>
              </m:oMathParaPr>
              <m:oMath>
                <m:sSub>
                  <m:sSubPr>
                    <m:ctrlPr>
                      <w:rPr>
                        <w:rFonts w:ascii="Cambria Math" w:hAnsi="Cambria Math"/>
                      </w:rPr>
                    </m:ctrlPr>
                  </m:sSubPr>
                  <m:e>
                    <m:r>
                      <w:rPr>
                        <w:rFonts w:ascii="Cambria Math" w:hAnsi="Cambria Math"/>
                      </w:rPr>
                      <m:t>γ</m:t>
                    </m:r>
                  </m:e>
                  <m:sub>
                    <m:r>
                      <w:rPr>
                        <w:rFonts w:ascii="Cambria Math" w:hAnsi="Cambria Math"/>
                      </w:rPr>
                      <m:t>xxyy</m:t>
                    </m:r>
                  </m:sub>
                </m:sSub>
              </m:oMath>
            </m:oMathPara>
          </w:p>
          <w:p w14:paraId="0AFD96AE" w14:textId="77777777" w:rsidR="004C0081" w:rsidRPr="00976E92" w:rsidRDefault="00A040FD">
            <w:pPr>
              <w:pStyle w:val="TableContents"/>
              <w:widowControl w:val="0"/>
              <w:rPr>
                <w:rFonts w:ascii="Times New Roman" w:hAnsi="Times New Roman"/>
                <w:color w:val="000000"/>
              </w:rPr>
            </w:pPr>
            <m:oMathPara>
              <m:oMathParaPr>
                <m:jc m:val="left"/>
              </m:oMathParaPr>
              <m:oMath>
                <m:sSub>
                  <m:sSubPr>
                    <m:ctrlPr>
                      <w:rPr>
                        <w:rFonts w:ascii="Cambria Math" w:hAnsi="Cambria Math"/>
                      </w:rPr>
                    </m:ctrlPr>
                  </m:sSubPr>
                  <m:e>
                    <m:r>
                      <w:rPr>
                        <w:rFonts w:ascii="Cambria Math" w:hAnsi="Cambria Math"/>
                      </w:rPr>
                      <m:t>γ</m:t>
                    </m:r>
                  </m:e>
                  <m:sub>
                    <m:r>
                      <w:rPr>
                        <w:rFonts w:ascii="Cambria Math" w:hAnsi="Cambria Math"/>
                      </w:rPr>
                      <m:t>xxzz</m:t>
                    </m:r>
                  </m:sub>
                </m:sSub>
              </m:oMath>
            </m:oMathPara>
          </w:p>
          <w:p w14:paraId="3D8A4822" w14:textId="77777777" w:rsidR="004C0081" w:rsidRPr="00976E92" w:rsidRDefault="00A040FD">
            <w:pPr>
              <w:pStyle w:val="TableContents"/>
              <w:widowControl w:val="0"/>
              <w:rPr>
                <w:rFonts w:ascii="Times New Roman" w:hAnsi="Times New Roman"/>
                <w:color w:val="000000"/>
              </w:rPr>
            </w:pPr>
            <m:oMathPara>
              <m:oMathParaPr>
                <m:jc m:val="left"/>
              </m:oMathParaPr>
              <m:oMath>
                <m:sSub>
                  <m:sSubPr>
                    <m:ctrlPr>
                      <w:rPr>
                        <w:rFonts w:ascii="Cambria Math" w:hAnsi="Cambria Math"/>
                      </w:rPr>
                    </m:ctrlPr>
                  </m:sSubPr>
                  <m:e>
                    <m:r>
                      <w:rPr>
                        <w:rFonts w:ascii="Cambria Math" w:hAnsi="Cambria Math"/>
                      </w:rPr>
                      <m:t>γ</m:t>
                    </m:r>
                  </m:e>
                  <m:sub>
                    <m:r>
                      <w:rPr>
                        <w:rFonts w:ascii="Cambria Math" w:hAnsi="Cambria Math"/>
                      </w:rPr>
                      <m:t>yyxx</m:t>
                    </m:r>
                  </m:sub>
                </m:sSub>
              </m:oMath>
            </m:oMathPara>
          </w:p>
          <w:p w14:paraId="7CFE1FA8" w14:textId="77777777" w:rsidR="004C0081" w:rsidRPr="00976E92" w:rsidRDefault="00A040FD">
            <w:pPr>
              <w:pStyle w:val="TableContents"/>
              <w:widowControl w:val="0"/>
              <w:rPr>
                <w:rFonts w:ascii="Times New Roman" w:hAnsi="Times New Roman"/>
                <w:color w:val="000000"/>
              </w:rPr>
            </w:pPr>
            <m:oMathPara>
              <m:oMathParaPr>
                <m:jc m:val="left"/>
              </m:oMathParaPr>
              <m:oMath>
                <m:sSub>
                  <m:sSubPr>
                    <m:ctrlPr>
                      <w:rPr>
                        <w:rFonts w:ascii="Cambria Math" w:hAnsi="Cambria Math"/>
                      </w:rPr>
                    </m:ctrlPr>
                  </m:sSubPr>
                  <m:e>
                    <m:r>
                      <w:rPr>
                        <w:rFonts w:ascii="Cambria Math" w:hAnsi="Cambria Math"/>
                      </w:rPr>
                      <m:t>γ</m:t>
                    </m:r>
                  </m:e>
                  <m:sub>
                    <m:r>
                      <w:rPr>
                        <w:rFonts w:ascii="Cambria Math" w:hAnsi="Cambria Math"/>
                      </w:rPr>
                      <m:t>yyzz</m:t>
                    </m:r>
                  </m:sub>
                </m:sSub>
              </m:oMath>
            </m:oMathPara>
          </w:p>
          <w:p w14:paraId="3C117208" w14:textId="77777777" w:rsidR="004C0081" w:rsidRPr="00976E92" w:rsidRDefault="00A040FD">
            <w:pPr>
              <w:pStyle w:val="TableContents"/>
              <w:widowControl w:val="0"/>
              <w:rPr>
                <w:rFonts w:ascii="Times New Roman" w:hAnsi="Times New Roman"/>
                <w:color w:val="000000"/>
              </w:rPr>
            </w:pPr>
            <m:oMathPara>
              <m:oMathParaPr>
                <m:jc m:val="left"/>
              </m:oMathParaPr>
              <m:oMath>
                <m:sSub>
                  <m:sSubPr>
                    <m:ctrlPr>
                      <w:rPr>
                        <w:rFonts w:ascii="Cambria Math" w:hAnsi="Cambria Math"/>
                      </w:rPr>
                    </m:ctrlPr>
                  </m:sSubPr>
                  <m:e>
                    <m:r>
                      <w:rPr>
                        <w:rFonts w:ascii="Cambria Math" w:hAnsi="Cambria Math"/>
                      </w:rPr>
                      <m:t>γ</m:t>
                    </m:r>
                  </m:e>
                  <m:sub>
                    <m:r>
                      <w:rPr>
                        <w:rFonts w:ascii="Cambria Math" w:hAnsi="Cambria Math"/>
                      </w:rPr>
                      <m:t>zzxx</m:t>
                    </m:r>
                  </m:sub>
                </m:sSub>
              </m:oMath>
            </m:oMathPara>
          </w:p>
          <w:p w14:paraId="04507C72" w14:textId="77777777" w:rsidR="004C0081" w:rsidRPr="00976E92" w:rsidRDefault="00A040FD">
            <w:pPr>
              <w:pStyle w:val="TableContents"/>
              <w:widowControl w:val="0"/>
              <w:spacing w:after="200"/>
              <w:rPr>
                <w:rFonts w:ascii="Times New Roman" w:hAnsi="Times New Roman"/>
                <w:color w:val="000000"/>
              </w:rPr>
            </w:pPr>
            <m:oMathPara>
              <m:oMathParaPr>
                <m:jc m:val="left"/>
              </m:oMathParaPr>
              <m:oMath>
                <m:sSub>
                  <m:sSubPr>
                    <m:ctrlPr>
                      <w:rPr>
                        <w:rFonts w:ascii="Cambria Math" w:hAnsi="Cambria Math"/>
                      </w:rPr>
                    </m:ctrlPr>
                  </m:sSubPr>
                  <m:e>
                    <m:r>
                      <w:rPr>
                        <w:rFonts w:ascii="Cambria Math" w:hAnsi="Cambria Math"/>
                      </w:rPr>
                      <m:t>γ</m:t>
                    </m:r>
                  </m:e>
                  <m:sub>
                    <m:r>
                      <w:rPr>
                        <w:rFonts w:ascii="Cambria Math" w:hAnsi="Cambria Math"/>
                      </w:rPr>
                      <m:t>zzyy</m:t>
                    </m:r>
                  </m:sub>
                </m:sSub>
              </m:oMath>
            </m:oMathPara>
          </w:p>
        </w:tc>
        <w:tc>
          <w:tcPr>
            <w:tcW w:w="2880" w:type="dxa"/>
            <w:tcBorders>
              <w:top w:val="single" w:sz="4" w:space="0" w:color="000000"/>
              <w:left w:val="single" w:sz="4" w:space="0" w:color="000000"/>
              <w:bottom w:val="single" w:sz="4" w:space="0" w:color="000000"/>
              <w:right w:val="nil"/>
            </w:tcBorders>
          </w:tcPr>
          <w:p w14:paraId="1EC2C53B" w14:textId="77777777" w:rsidR="004C0081" w:rsidRPr="00976E92" w:rsidRDefault="004C0081">
            <w:pPr>
              <w:pStyle w:val="TableContents"/>
              <w:widowControl w:val="0"/>
              <w:jc w:val="center"/>
              <w:rPr>
                <w:rFonts w:ascii="Times New Roman" w:hAnsi="Times New Roman"/>
                <w:color w:val="000000"/>
              </w:rPr>
            </w:pPr>
          </w:p>
          <w:p w14:paraId="31153B88"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 xml:space="preserve"> 1.3725 (9.2713)</w:t>
            </w:r>
          </w:p>
          <w:p w14:paraId="169994BE" w14:textId="77777777" w:rsidR="004C0081" w:rsidRPr="00976E92" w:rsidRDefault="004C0081">
            <w:pPr>
              <w:pStyle w:val="TableContents"/>
              <w:widowControl w:val="0"/>
              <w:jc w:val="center"/>
              <w:rPr>
                <w:rFonts w:ascii="Times New Roman" w:hAnsi="Times New Roman"/>
                <w:color w:val="000000"/>
              </w:rPr>
            </w:pPr>
          </w:p>
          <w:p w14:paraId="1CEC09AD"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 xml:space="preserve"> 1.3725 (9.2713) </w:t>
            </w:r>
          </w:p>
          <w:p w14:paraId="263C04B8"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 xml:space="preserve">1.1580 (7.8224) </w:t>
            </w:r>
          </w:p>
          <w:p w14:paraId="678DDCA2"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0.9127 (6.1653)</w:t>
            </w:r>
          </w:p>
          <w:p w14:paraId="4856323B" w14:textId="77777777" w:rsidR="004C0081" w:rsidRPr="00976E92" w:rsidRDefault="004C0081">
            <w:pPr>
              <w:pStyle w:val="TableContents"/>
              <w:widowControl w:val="0"/>
              <w:jc w:val="center"/>
            </w:pPr>
          </w:p>
          <w:p w14:paraId="2DD1D32F" w14:textId="77777777" w:rsidR="004C0081" w:rsidRPr="00976E92" w:rsidRDefault="004C0081">
            <w:pPr>
              <w:pStyle w:val="TableContents"/>
              <w:widowControl w:val="0"/>
              <w:jc w:val="center"/>
              <w:rPr>
                <w:rFonts w:ascii="Times New Roman" w:hAnsi="Times New Roman"/>
                <w:color w:val="000000"/>
              </w:rPr>
            </w:pPr>
          </w:p>
          <w:p w14:paraId="659F6C11"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-0.5282 (-12.730)</w:t>
            </w:r>
          </w:p>
          <w:p w14:paraId="3001B8A5"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-0.6824 (-16.445)</w:t>
            </w:r>
          </w:p>
          <w:p w14:paraId="4D155E11"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 xml:space="preserve"> -0.2297 (-5.5365)</w:t>
            </w:r>
          </w:p>
          <w:p w14:paraId="47C6A0FF" w14:textId="77777777" w:rsidR="004C0081" w:rsidRPr="00976E92" w:rsidRDefault="004C0081">
            <w:pPr>
              <w:pStyle w:val="TableContents"/>
              <w:widowControl w:val="0"/>
              <w:jc w:val="center"/>
            </w:pPr>
          </w:p>
          <w:p w14:paraId="2A1B22EA" w14:textId="77777777" w:rsidR="004C0081" w:rsidRPr="00976E92" w:rsidRDefault="004C0081">
            <w:pPr>
              <w:pStyle w:val="TableContents"/>
              <w:widowControl w:val="0"/>
              <w:jc w:val="center"/>
            </w:pPr>
          </w:p>
          <w:p w14:paraId="6E174166"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3.1351 (269.8054)</w:t>
            </w:r>
          </w:p>
          <w:p w14:paraId="0D34D075"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1.470  (126.5123)</w:t>
            </w:r>
          </w:p>
          <w:p w14:paraId="3E2DC948"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0.09407 (8.096200)</w:t>
            </w:r>
          </w:p>
          <w:p w14:paraId="7D8FB282"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2.1019 (180.8921)</w:t>
            </w:r>
          </w:p>
          <w:p w14:paraId="0CC01FE3"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1.0817 (93.09720)</w:t>
            </w:r>
          </w:p>
          <w:p w14:paraId="41940847"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2.1019 (180.8921)</w:t>
            </w:r>
          </w:p>
          <w:p w14:paraId="670E6A33"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0.4124 (35.49410)</w:t>
            </w:r>
          </w:p>
          <w:p w14:paraId="2F0D21A3" w14:textId="77777777" w:rsidR="004C0081" w:rsidRPr="00976E92" w:rsidRDefault="004C0081">
            <w:pPr>
              <w:pStyle w:val="TableContents"/>
              <w:widowControl w:val="0"/>
              <w:jc w:val="center"/>
              <w:rPr>
                <w:rFonts w:ascii="Times New Roman" w:hAnsi="Times New Roman"/>
                <w:color w:val="000000"/>
              </w:rPr>
            </w:pPr>
            <w:r w:rsidRPr="00976E92">
              <w:rPr>
                <w:rFonts w:ascii="Times New Roman" w:hAnsi="Times New Roman"/>
                <w:color w:val="000000"/>
              </w:rPr>
              <w:t>1.0817 (93.09720)</w:t>
            </w:r>
          </w:p>
          <w:p w14:paraId="25D02E67" w14:textId="77777777" w:rsidR="004C0081" w:rsidRPr="00976E92" w:rsidRDefault="004C0081">
            <w:pPr>
              <w:pStyle w:val="TableContents"/>
              <w:widowControl w:val="0"/>
              <w:spacing w:after="200"/>
              <w:jc w:val="center"/>
              <w:rPr>
                <w:rFonts w:ascii="Times New Roman" w:hAnsi="Times New Roman"/>
                <w:color w:val="000000"/>
              </w:rPr>
            </w:pPr>
            <w:r w:rsidRPr="00976E92">
              <w:rPr>
                <w:rFonts w:ascii="Times New Roman" w:hAnsi="Times New Roman"/>
                <w:color w:val="000000"/>
              </w:rPr>
              <w:t>0.4124 (35.49410)</w:t>
            </w:r>
          </w:p>
        </w:tc>
        <w:tc>
          <w:tcPr>
            <w:tcW w:w="2880" w:type="dxa"/>
            <w:tcBorders>
              <w:top w:val="single" w:sz="4" w:space="0" w:color="000000"/>
              <w:left w:val="single" w:sz="4" w:space="0" w:color="000000"/>
              <w:bottom w:val="single" w:sz="4" w:space="0" w:color="000000"/>
              <w:right w:val="single" w:sz="4" w:space="0" w:color="000000"/>
            </w:tcBorders>
          </w:tcPr>
          <w:p w14:paraId="3E90E422" w14:textId="77777777" w:rsidR="004C0081" w:rsidRPr="00976E92" w:rsidRDefault="004C0081">
            <w:pPr>
              <w:pStyle w:val="TableContents"/>
              <w:widowControl w:val="0"/>
              <w:rPr>
                <w:rFonts w:ascii="Times New Roman" w:hAnsi="Times New Roman"/>
                <w:color w:val="000000"/>
                <w:lang w:val="en-US"/>
              </w:rPr>
            </w:pPr>
          </w:p>
          <w:p w14:paraId="578CC777" w14:textId="77777777" w:rsidR="004C0081" w:rsidRPr="00976E92" w:rsidRDefault="004C0081">
            <w:pPr>
              <w:pStyle w:val="TableContents"/>
              <w:widowControl w:val="0"/>
              <w:jc w:val="center"/>
              <w:rPr>
                <w:rFonts w:ascii="Times New Roman" w:hAnsi="Times New Roman"/>
                <w:color w:val="000000"/>
                <w:lang w:val="en-US"/>
              </w:rPr>
            </w:pPr>
            <w:r w:rsidRPr="00976E92">
              <w:rPr>
                <w:rFonts w:ascii="Times New Roman" w:hAnsi="Times New Roman"/>
                <w:color w:val="000000"/>
                <w:lang w:val="en-US"/>
              </w:rPr>
              <w:t>Debye (</w:t>
            </w:r>
            <w:bookmarkStart w:id="2" w:name="__DdeLink__4869_4264455461"/>
            <w:r w:rsidRPr="00976E92">
              <w:rPr>
                <w:rFonts w:ascii="Times New Roman" w:hAnsi="Times New Roman"/>
                <w:color w:val="000000"/>
                <w:lang w:val="en-US"/>
              </w:rPr>
              <w:t>atomic unit</w:t>
            </w:r>
            <w:bookmarkEnd w:id="2"/>
            <w:r w:rsidRPr="00976E92">
              <w:rPr>
                <w:rFonts w:ascii="Times New Roman" w:hAnsi="Times New Roman"/>
                <w:color w:val="000000"/>
                <w:lang w:val="en-US"/>
              </w:rPr>
              <w:t>)</w:t>
            </w:r>
          </w:p>
          <w:p w14:paraId="4ECCF546" w14:textId="77777777" w:rsidR="004C0081" w:rsidRPr="00976E92" w:rsidRDefault="004C0081">
            <w:pPr>
              <w:pStyle w:val="TableContents"/>
              <w:widowControl w:val="0"/>
              <w:rPr>
                <w:rFonts w:ascii="Times New Roman" w:hAnsi="Times New Roman"/>
                <w:color w:val="000000"/>
                <w:lang w:val="en-US"/>
              </w:rPr>
            </w:pPr>
          </w:p>
          <w:p w14:paraId="27EA5E7D" w14:textId="77777777" w:rsidR="004C0081" w:rsidRPr="00976E92" w:rsidRDefault="004C0081">
            <w:pPr>
              <w:pStyle w:val="TableContents"/>
              <w:widowControl w:val="0"/>
              <w:rPr>
                <w:rFonts w:ascii="Times New Roman" w:hAnsi="Times New Roman"/>
                <w:color w:val="000000"/>
                <w:lang w:val="en-US"/>
              </w:rPr>
            </w:pPr>
          </w:p>
          <w:p w14:paraId="6537B601" w14:textId="77777777" w:rsidR="004C0081" w:rsidRPr="00976E92" w:rsidRDefault="004C0081">
            <w:pPr>
              <w:pStyle w:val="FirstParagraph"/>
              <w:widowControl w:val="0"/>
              <w:jc w:val="center"/>
              <w:rPr>
                <w:rFonts w:ascii="Times New Roman" w:hAnsi="Times New Roman"/>
                <w:color w:val="000000"/>
                <w:lang w:val="en-US"/>
              </w:rPr>
            </w:pPr>
            <w:r w:rsidRPr="00976E92">
              <w:rPr>
                <w:rFonts w:ascii="Times New Roman" w:hAnsi="Times New Roman"/>
                <w:color w:val="000000"/>
                <w:lang w:val="en-US"/>
              </w:rPr>
              <w:t>Å</w:t>
            </w:r>
            <w:r w:rsidRPr="00976E92">
              <w:rPr>
                <w:rFonts w:ascii="Times New Roman" w:hAnsi="Times New Roman"/>
                <w:color w:val="000000"/>
                <w:vertAlign w:val="superscript"/>
                <w:lang w:val="en-US"/>
              </w:rPr>
              <w:t xml:space="preserve">3  </w:t>
            </w:r>
            <w:r w:rsidRPr="00976E92">
              <w:rPr>
                <w:rFonts w:ascii="Times New Roman" w:hAnsi="Times New Roman"/>
                <w:color w:val="000000"/>
                <w:lang w:val="en-US"/>
              </w:rPr>
              <w:t xml:space="preserve">(atomic unit)  </w:t>
            </w:r>
          </w:p>
          <w:p w14:paraId="254E20FA" w14:textId="77777777" w:rsidR="004C0081" w:rsidRPr="00976E92" w:rsidRDefault="004C0081">
            <w:pPr>
              <w:pStyle w:val="TableContents"/>
              <w:widowControl w:val="0"/>
              <w:jc w:val="center"/>
              <w:rPr>
                <w:rFonts w:ascii="Times New Roman" w:hAnsi="Times New Roman"/>
                <w:color w:val="000000"/>
                <w:lang w:val="en-US"/>
              </w:rPr>
            </w:pPr>
          </w:p>
          <w:p w14:paraId="4153DDC7" w14:textId="77777777" w:rsidR="004C0081" w:rsidRPr="00976E92" w:rsidRDefault="004C0081">
            <w:pPr>
              <w:pStyle w:val="TableContents"/>
              <w:widowControl w:val="0"/>
              <w:jc w:val="center"/>
              <w:rPr>
                <w:rFonts w:ascii="Times New Roman" w:hAnsi="Times New Roman"/>
                <w:color w:val="000000"/>
                <w:lang w:val="en-US"/>
              </w:rPr>
            </w:pPr>
          </w:p>
          <w:p w14:paraId="496FF5A8" w14:textId="77777777" w:rsidR="004C0081" w:rsidRPr="00976E92" w:rsidRDefault="004C0081">
            <w:pPr>
              <w:pStyle w:val="FirstParagraph"/>
              <w:widowControl w:val="0"/>
              <w:jc w:val="center"/>
              <w:rPr>
                <w:lang w:val="en-US"/>
              </w:rPr>
            </w:pPr>
          </w:p>
          <w:p w14:paraId="67300A1E" w14:textId="77777777" w:rsidR="004C0081" w:rsidRPr="00976E92" w:rsidRDefault="004C0081">
            <w:pPr>
              <w:pStyle w:val="FirstParagraph"/>
              <w:widowControl w:val="0"/>
              <w:jc w:val="center"/>
              <w:rPr>
                <w:lang w:val="en-US"/>
              </w:rPr>
            </w:pPr>
          </w:p>
          <w:p w14:paraId="390103CE" w14:textId="77777777" w:rsidR="004C0081" w:rsidRPr="00976E92" w:rsidRDefault="004C0081">
            <w:pPr>
              <w:pStyle w:val="FirstParagraph"/>
              <w:widowControl w:val="0"/>
              <w:jc w:val="center"/>
              <w:rPr>
                <w:rFonts w:ascii="Times New Roman" w:hAnsi="Times New Roman"/>
                <w:color w:val="000000"/>
                <w:lang w:val="en-US"/>
              </w:rPr>
            </w:pPr>
            <w:r w:rsidRPr="00976E92">
              <w:rPr>
                <w:rFonts w:ascii="Times New Roman" w:hAnsi="Times New Roman"/>
                <w:color w:val="000000"/>
                <w:lang w:val="en-US"/>
              </w:rPr>
              <w:t>Å</w:t>
            </w:r>
            <w:r w:rsidRPr="00976E92">
              <w:rPr>
                <w:rFonts w:ascii="Times New Roman" w:hAnsi="Times New Roman"/>
                <w:color w:val="000000"/>
                <w:vertAlign w:val="superscript"/>
                <w:lang w:val="en-US"/>
              </w:rPr>
              <w:t xml:space="preserve">5 </w:t>
            </w:r>
            <w:r w:rsidRPr="00976E92">
              <w:rPr>
                <w:rFonts w:ascii="Times New Roman" w:hAnsi="Times New Roman"/>
                <w:color w:val="000000"/>
                <w:lang w:val="en-US"/>
              </w:rPr>
              <w:t xml:space="preserve">(atomic unit)  </w:t>
            </w:r>
          </w:p>
          <w:p w14:paraId="76FBC6AE" w14:textId="77777777" w:rsidR="004C0081" w:rsidRPr="00976E92" w:rsidRDefault="004C0081">
            <w:pPr>
              <w:pStyle w:val="BodyText"/>
              <w:widowControl w:val="0"/>
              <w:jc w:val="center"/>
              <w:rPr>
                <w:rFonts w:ascii="Times New Roman" w:hAnsi="Times New Roman"/>
                <w:color w:val="000000"/>
                <w:lang w:val="en-US"/>
              </w:rPr>
            </w:pPr>
          </w:p>
          <w:p w14:paraId="3402010A" w14:textId="77777777" w:rsidR="004C0081" w:rsidRPr="00976E92" w:rsidRDefault="004C0081">
            <w:pPr>
              <w:pStyle w:val="BodyText"/>
              <w:widowControl w:val="0"/>
              <w:jc w:val="center"/>
              <w:rPr>
                <w:rFonts w:ascii="Times New Roman" w:hAnsi="Times New Roman"/>
                <w:color w:val="000000"/>
                <w:lang w:val="en-US"/>
              </w:rPr>
            </w:pPr>
          </w:p>
          <w:p w14:paraId="4BEEB1FA" w14:textId="77777777" w:rsidR="004C0081" w:rsidRPr="00976E92" w:rsidRDefault="004C0081">
            <w:pPr>
              <w:pStyle w:val="FirstParagraph"/>
              <w:widowControl w:val="0"/>
              <w:jc w:val="center"/>
              <w:rPr>
                <w:rFonts w:ascii="Times New Roman" w:hAnsi="Times New Roman"/>
                <w:color w:val="000000"/>
                <w:lang w:val="en-US"/>
              </w:rPr>
            </w:pPr>
          </w:p>
          <w:p w14:paraId="1F2E9964" w14:textId="77777777" w:rsidR="004C0081" w:rsidRPr="00976E92" w:rsidRDefault="004C0081">
            <w:pPr>
              <w:pStyle w:val="FirstParagraph"/>
              <w:widowControl w:val="0"/>
              <w:jc w:val="center"/>
              <w:rPr>
                <w:rFonts w:ascii="Times New Roman" w:hAnsi="Times New Roman"/>
                <w:color w:val="000000"/>
                <w:lang w:val="en-US"/>
              </w:rPr>
            </w:pPr>
          </w:p>
          <w:p w14:paraId="59BF5570" w14:textId="77777777" w:rsidR="004C0081" w:rsidRPr="00976E92" w:rsidRDefault="004C0081">
            <w:pPr>
              <w:pStyle w:val="BodyText"/>
              <w:widowControl w:val="0"/>
              <w:jc w:val="center"/>
              <w:rPr>
                <w:rFonts w:ascii="Times New Roman" w:hAnsi="Times New Roman"/>
                <w:color w:val="000000"/>
                <w:lang w:val="en-US"/>
              </w:rPr>
            </w:pPr>
          </w:p>
          <w:p w14:paraId="1C3D87CD" w14:textId="77777777" w:rsidR="004C0081" w:rsidRPr="00976E92" w:rsidRDefault="004C0081">
            <w:pPr>
              <w:pStyle w:val="BodyText"/>
              <w:widowControl w:val="0"/>
              <w:jc w:val="center"/>
              <w:rPr>
                <w:rFonts w:ascii="Times New Roman" w:hAnsi="Times New Roman"/>
                <w:color w:val="000000"/>
                <w:lang w:val="en-US"/>
              </w:rPr>
            </w:pPr>
          </w:p>
          <w:p w14:paraId="7F8F7C57" w14:textId="77777777" w:rsidR="004C0081" w:rsidRPr="00976E92" w:rsidRDefault="004C0081">
            <w:pPr>
              <w:pStyle w:val="BodyText"/>
              <w:widowControl w:val="0"/>
              <w:jc w:val="center"/>
              <w:rPr>
                <w:rFonts w:ascii="Times New Roman" w:hAnsi="Times New Roman"/>
                <w:color w:val="000000"/>
                <w:lang w:val="en-US"/>
              </w:rPr>
            </w:pPr>
          </w:p>
          <w:p w14:paraId="3EA210A3" w14:textId="77777777" w:rsidR="004C0081" w:rsidRPr="00976E92" w:rsidRDefault="004C0081">
            <w:pPr>
              <w:pStyle w:val="FirstParagraph"/>
              <w:widowControl w:val="0"/>
              <w:spacing w:before="180" w:after="180"/>
              <w:jc w:val="center"/>
              <w:rPr>
                <w:rFonts w:ascii="Times New Roman" w:hAnsi="Times New Roman"/>
                <w:color w:val="000000"/>
                <w:lang w:val="en-US"/>
              </w:rPr>
            </w:pPr>
            <w:r w:rsidRPr="00976E92">
              <w:rPr>
                <w:rFonts w:ascii="Times New Roman" w:hAnsi="Times New Roman"/>
                <w:color w:val="000000"/>
                <w:lang w:val="en-US"/>
              </w:rPr>
              <w:t>Å</w:t>
            </w:r>
            <w:r w:rsidRPr="00976E92">
              <w:rPr>
                <w:rFonts w:ascii="Times New Roman" w:hAnsi="Times New Roman"/>
                <w:color w:val="000000"/>
                <w:vertAlign w:val="superscript"/>
                <w:lang w:val="en-US"/>
              </w:rPr>
              <w:t xml:space="preserve">7  </w:t>
            </w:r>
            <w:r w:rsidRPr="00976E92">
              <w:rPr>
                <w:rFonts w:ascii="Times New Roman" w:hAnsi="Times New Roman"/>
                <w:color w:val="000000"/>
                <w:lang w:val="en-US"/>
              </w:rPr>
              <w:t xml:space="preserve">(atomic unit)  </w:t>
            </w:r>
          </w:p>
        </w:tc>
      </w:tr>
    </w:tbl>
    <w:p w14:paraId="44ADB4B0" w14:textId="77777777" w:rsidR="004C0081" w:rsidRPr="00976E92" w:rsidRDefault="004C0081" w:rsidP="004C0081">
      <w:pPr>
        <w:spacing w:before="180" w:after="180"/>
        <w:jc w:val="both"/>
        <w:rPr>
          <w:rFonts w:ascii="Times New Roman" w:eastAsia="Calibri" w:hAnsi="Times New Roman" w:cs="Times New Roman"/>
          <w:color w:val="000000"/>
          <w:lang w:val="en-US"/>
        </w:rPr>
      </w:pPr>
    </w:p>
    <w:p w14:paraId="56F9966F" w14:textId="77777777" w:rsidR="004C0081" w:rsidRPr="00976E92" w:rsidRDefault="004C0081" w:rsidP="004C0081">
      <w:pPr>
        <w:spacing w:before="180" w:after="180"/>
        <w:jc w:val="both"/>
        <w:rPr>
          <w:rFonts w:asciiTheme="majorBidi" w:hAnsiTheme="majorBidi" w:cstheme="majorBidi"/>
          <w:lang w:val="en-US"/>
        </w:rPr>
      </w:pPr>
    </w:p>
    <w:p w14:paraId="281F149E" w14:textId="77777777" w:rsidR="004C0081" w:rsidRPr="00976E92" w:rsidRDefault="004C0081" w:rsidP="004C0081">
      <w:pPr>
        <w:spacing w:before="120" w:after="120"/>
        <w:jc w:val="both"/>
        <w:rPr>
          <w:rFonts w:asciiTheme="majorBidi" w:hAnsiTheme="majorBidi" w:cstheme="majorBidi"/>
          <w:b/>
          <w:bCs/>
          <w:sz w:val="36"/>
          <w:szCs w:val="36"/>
          <w:vertAlign w:val="superscript"/>
          <w:lang w:val="en-US"/>
        </w:rPr>
      </w:pPr>
    </w:p>
    <w:p w14:paraId="4B66BD00" w14:textId="77777777" w:rsidR="004C0081" w:rsidRPr="00976E92" w:rsidRDefault="004C0081" w:rsidP="004C0081">
      <w:pPr>
        <w:spacing w:before="120" w:after="120"/>
        <w:jc w:val="both"/>
        <w:rPr>
          <w:lang w:val="en-US"/>
        </w:rPr>
      </w:pPr>
      <w:r w:rsidRPr="00976E92">
        <w:rPr>
          <w:b/>
          <w:bCs/>
          <w:sz w:val="36"/>
          <w:szCs w:val="36"/>
          <w:lang w:val="en-US"/>
        </w:rPr>
        <w:lastRenderedPageBreak/>
        <w:t>References</w:t>
      </w:r>
    </w:p>
    <w:p w14:paraId="5FCFD2BF" w14:textId="504D9365"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lang w:val="en-US"/>
        </w:rPr>
        <w:fldChar w:fldCharType="begin" w:fldLock="1"/>
      </w:r>
      <w:r w:rsidRPr="00976E92">
        <w:rPr>
          <w:lang w:val="en-US"/>
        </w:rPr>
        <w:instrText xml:space="preserve">ADDIN Mendeley Bibliography CSL_BIBLIOGRAPHY </w:instrText>
      </w:r>
      <w:r w:rsidRPr="00976E92">
        <w:rPr>
          <w:lang w:val="en-US"/>
        </w:rPr>
        <w:fldChar w:fldCharType="separate"/>
      </w:r>
      <w:r w:rsidRPr="00976E92">
        <w:rPr>
          <w:rFonts w:ascii="Calibri" w:hAnsi="Calibri" w:cs="Times New Roman"/>
          <w:noProof/>
          <w:szCs w:val="24"/>
          <w:lang w:val="en-US"/>
        </w:rPr>
        <w:t>1.</w:t>
      </w:r>
      <w:r w:rsidRPr="00976E92">
        <w:rPr>
          <w:rFonts w:ascii="Calibri" w:hAnsi="Calibri" w:cs="Times New Roman"/>
          <w:noProof/>
          <w:szCs w:val="24"/>
          <w:lang w:val="en-US"/>
        </w:rPr>
        <w:tab/>
        <w:t xml:space="preserve">Fukasawa, T. </w:t>
      </w:r>
      <w:r w:rsidRPr="00976E92">
        <w:rPr>
          <w:rFonts w:ascii="Calibri" w:hAnsi="Calibri" w:cs="Times New Roman"/>
          <w:i/>
          <w:iCs/>
          <w:noProof/>
          <w:szCs w:val="24"/>
          <w:lang w:val="en-US"/>
        </w:rPr>
        <w:t>et al.</w:t>
      </w:r>
      <w:r w:rsidRPr="00976E92">
        <w:rPr>
          <w:rFonts w:ascii="Calibri" w:hAnsi="Calibri" w:cs="Times New Roman"/>
          <w:noProof/>
          <w:szCs w:val="24"/>
          <w:lang w:val="en-US"/>
        </w:rPr>
        <w:t xml:space="preserve"> Relation between Dielectric and Low-Frequency Raman Spectra of Hydrogen-Bond Liquids. </w:t>
      </w:r>
      <w:r w:rsidRPr="00976E92">
        <w:rPr>
          <w:rFonts w:ascii="Calibri" w:hAnsi="Calibri" w:cs="Times New Roman"/>
          <w:i/>
          <w:iCs/>
          <w:noProof/>
          <w:szCs w:val="24"/>
          <w:lang w:val="en-US"/>
        </w:rPr>
        <w:t>Phys. Rev. Lett.</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95</w:t>
      </w:r>
      <w:r w:rsidRPr="00976E92">
        <w:rPr>
          <w:rFonts w:ascii="Calibri" w:hAnsi="Calibri" w:cs="Times New Roman"/>
          <w:noProof/>
          <w:szCs w:val="24"/>
          <w:lang w:val="en-US"/>
        </w:rPr>
        <w:t>, 197802 (2005).</w:t>
      </w:r>
    </w:p>
    <w:p w14:paraId="42D4D283"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2.</w:t>
      </w:r>
      <w:r w:rsidRPr="00976E92">
        <w:rPr>
          <w:rFonts w:ascii="Calibri" w:hAnsi="Calibri" w:cs="Times New Roman"/>
          <w:noProof/>
          <w:szCs w:val="24"/>
          <w:lang w:val="en-US"/>
        </w:rPr>
        <w:tab/>
        <w:t xml:space="preserve">Berendsen, H. J. C., Grigera, J. R. &amp; Straatsma, T. P. The missing term in effective pair potentials. </w:t>
      </w:r>
      <w:r w:rsidRPr="00976E92">
        <w:rPr>
          <w:rFonts w:ascii="Calibri" w:hAnsi="Calibri" w:cs="Times New Roman"/>
          <w:i/>
          <w:iCs/>
          <w:noProof/>
          <w:szCs w:val="24"/>
          <w:lang w:val="en-US"/>
        </w:rPr>
        <w:t>J. Phys. Chem.</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91</w:t>
      </w:r>
      <w:r w:rsidRPr="00976E92">
        <w:rPr>
          <w:rFonts w:ascii="Calibri" w:hAnsi="Calibri" w:cs="Times New Roman"/>
          <w:noProof/>
          <w:szCs w:val="24"/>
          <w:lang w:val="en-US"/>
        </w:rPr>
        <w:t>, 6269–6271 (1987).</w:t>
      </w:r>
    </w:p>
    <w:p w14:paraId="799CBF5B"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3.</w:t>
      </w:r>
      <w:r w:rsidRPr="00976E92">
        <w:rPr>
          <w:rFonts w:ascii="Calibri" w:hAnsi="Calibri" w:cs="Times New Roman"/>
          <w:noProof/>
          <w:szCs w:val="24"/>
          <w:lang w:val="en-US"/>
        </w:rPr>
        <w:tab/>
        <w:t xml:space="preserve">Cornell, W. D. </w:t>
      </w:r>
      <w:r w:rsidRPr="00976E92">
        <w:rPr>
          <w:rFonts w:ascii="Calibri" w:hAnsi="Calibri" w:cs="Times New Roman"/>
          <w:i/>
          <w:iCs/>
          <w:noProof/>
          <w:szCs w:val="24"/>
          <w:lang w:val="en-US"/>
        </w:rPr>
        <w:t>et al.</w:t>
      </w:r>
      <w:r w:rsidRPr="00976E92">
        <w:rPr>
          <w:rFonts w:ascii="Calibri" w:hAnsi="Calibri" w:cs="Times New Roman"/>
          <w:noProof/>
          <w:szCs w:val="24"/>
          <w:lang w:val="en-US"/>
        </w:rPr>
        <w:t xml:space="preserve"> A Second Generation Force Field for the Simulation of Proteins, Nucleic Acids, and Organic Molecules. </w:t>
      </w:r>
      <w:r w:rsidRPr="00976E92">
        <w:rPr>
          <w:rFonts w:ascii="Calibri" w:hAnsi="Calibri" w:cs="Times New Roman"/>
          <w:i/>
          <w:iCs/>
          <w:noProof/>
          <w:szCs w:val="24"/>
          <w:lang w:val="en-US"/>
        </w:rPr>
        <w:t>J. Am. Chem. Soc.</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117</w:t>
      </w:r>
      <w:r w:rsidRPr="00976E92">
        <w:rPr>
          <w:rFonts w:ascii="Calibri" w:hAnsi="Calibri" w:cs="Times New Roman"/>
          <w:noProof/>
          <w:szCs w:val="24"/>
          <w:lang w:val="en-US"/>
        </w:rPr>
        <w:t>, 5179–5197 (1995).</w:t>
      </w:r>
    </w:p>
    <w:p w14:paraId="0D66091D"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4.</w:t>
      </w:r>
      <w:r w:rsidRPr="00976E92">
        <w:rPr>
          <w:rFonts w:ascii="Calibri" w:hAnsi="Calibri" w:cs="Times New Roman"/>
          <w:noProof/>
          <w:szCs w:val="24"/>
          <w:lang w:val="en-US"/>
        </w:rPr>
        <w:tab/>
        <w:t xml:space="preserve">Kashefolgheta, S. &amp; Vila Verde, A. Developing force fields when experimental data is sparse: AMBER/GAFF-compatible parameters for inorganic and alkyl oxoanions. </w:t>
      </w:r>
      <w:r w:rsidRPr="00976E92">
        <w:rPr>
          <w:rFonts w:ascii="Calibri" w:hAnsi="Calibri" w:cs="Times New Roman"/>
          <w:i/>
          <w:iCs/>
          <w:noProof/>
          <w:szCs w:val="24"/>
          <w:lang w:val="en-US"/>
        </w:rPr>
        <w:t>Phys. Chem. Chem. Phys.</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19</w:t>
      </w:r>
      <w:r w:rsidRPr="00976E92">
        <w:rPr>
          <w:rFonts w:ascii="Calibri" w:hAnsi="Calibri" w:cs="Times New Roman"/>
          <w:noProof/>
          <w:szCs w:val="24"/>
          <w:lang w:val="en-US"/>
        </w:rPr>
        <w:t>, 20593–20607 (2017).</w:t>
      </w:r>
    </w:p>
    <w:p w14:paraId="1E78452D" w14:textId="1397D604"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5.</w:t>
      </w:r>
      <w:r w:rsidRPr="00976E92">
        <w:rPr>
          <w:rFonts w:ascii="Calibri" w:hAnsi="Calibri" w:cs="Times New Roman"/>
          <w:noProof/>
          <w:szCs w:val="24"/>
          <w:lang w:val="en-US"/>
        </w:rPr>
        <w:tab/>
        <w:t xml:space="preserve">Kashefolgheta, S. &amp; Vila Verde, A. Correction: Developing force fields when experimental data is sparse: AMBER/GAFF-compatible parameters for inorganic and alkyl oxoanions. </w:t>
      </w:r>
      <w:r w:rsidRPr="00976E92">
        <w:rPr>
          <w:rFonts w:ascii="Calibri" w:hAnsi="Calibri" w:cs="Times New Roman"/>
          <w:i/>
          <w:iCs/>
          <w:noProof/>
          <w:szCs w:val="24"/>
          <w:lang w:val="en-US"/>
        </w:rPr>
        <w:t>Phys. Chem. Chem. Phys.</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20</w:t>
      </w:r>
      <w:r w:rsidRPr="00976E92">
        <w:rPr>
          <w:rFonts w:ascii="Calibri" w:hAnsi="Calibri" w:cs="Times New Roman"/>
          <w:noProof/>
          <w:szCs w:val="24"/>
          <w:lang w:val="en-US"/>
        </w:rPr>
        <w:t>, 28346–28347 (2018).</w:t>
      </w:r>
    </w:p>
    <w:p w14:paraId="07028633"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6.</w:t>
      </w:r>
      <w:r w:rsidRPr="00976E92">
        <w:rPr>
          <w:rFonts w:ascii="Calibri" w:hAnsi="Calibri" w:cs="Times New Roman"/>
          <w:noProof/>
          <w:szCs w:val="24"/>
          <w:lang w:val="en-US"/>
        </w:rPr>
        <w:tab/>
        <w:t xml:space="preserve">Rackers, J. A. </w:t>
      </w:r>
      <w:r w:rsidRPr="00976E92">
        <w:rPr>
          <w:rFonts w:ascii="Calibri" w:hAnsi="Calibri" w:cs="Times New Roman"/>
          <w:i/>
          <w:iCs/>
          <w:noProof/>
          <w:szCs w:val="24"/>
          <w:lang w:val="en-US"/>
        </w:rPr>
        <w:t>et al.</w:t>
      </w:r>
      <w:r w:rsidRPr="00976E92">
        <w:rPr>
          <w:rFonts w:ascii="Calibri" w:hAnsi="Calibri" w:cs="Times New Roman"/>
          <w:noProof/>
          <w:szCs w:val="24"/>
          <w:lang w:val="en-US"/>
        </w:rPr>
        <w:t xml:space="preserve"> Tinker 8: Software Tools for Molecular Design. </w:t>
      </w:r>
      <w:r w:rsidRPr="00976E92">
        <w:rPr>
          <w:rFonts w:ascii="Calibri" w:hAnsi="Calibri" w:cs="Times New Roman"/>
          <w:i/>
          <w:iCs/>
          <w:noProof/>
          <w:szCs w:val="24"/>
          <w:lang w:val="en-US"/>
        </w:rPr>
        <w:t>J. Chem. Theory Comput.</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14</w:t>
      </w:r>
      <w:r w:rsidRPr="00976E92">
        <w:rPr>
          <w:rFonts w:ascii="Calibri" w:hAnsi="Calibri" w:cs="Times New Roman"/>
          <w:noProof/>
          <w:szCs w:val="24"/>
          <w:lang w:val="en-US"/>
        </w:rPr>
        <w:t>, 5273–5289 (2018).</w:t>
      </w:r>
    </w:p>
    <w:p w14:paraId="06E30482" w14:textId="42FA1352"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7.</w:t>
      </w:r>
      <w:r w:rsidRPr="00976E92">
        <w:rPr>
          <w:rFonts w:ascii="Calibri" w:hAnsi="Calibri" w:cs="Times New Roman"/>
          <w:noProof/>
          <w:szCs w:val="24"/>
          <w:lang w:val="en-US"/>
        </w:rPr>
        <w:tab/>
        <w:t>https://github.com/TinkerTools/Tinker.</w:t>
      </w:r>
    </w:p>
    <w:p w14:paraId="4E30A89F"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8.</w:t>
      </w:r>
      <w:r w:rsidRPr="00976E92">
        <w:rPr>
          <w:rFonts w:ascii="Calibri" w:hAnsi="Calibri" w:cs="Times New Roman"/>
          <w:noProof/>
          <w:szCs w:val="24"/>
          <w:lang w:val="en-US"/>
        </w:rPr>
        <w:tab/>
        <w:t xml:space="preserve">Ponder, J. W. </w:t>
      </w:r>
      <w:r w:rsidRPr="00976E92">
        <w:rPr>
          <w:rFonts w:ascii="Calibri" w:hAnsi="Calibri" w:cs="Times New Roman"/>
          <w:i/>
          <w:iCs/>
          <w:noProof/>
          <w:szCs w:val="24"/>
          <w:lang w:val="en-US"/>
        </w:rPr>
        <w:t>et al.</w:t>
      </w:r>
      <w:r w:rsidRPr="00976E92">
        <w:rPr>
          <w:rFonts w:ascii="Calibri" w:hAnsi="Calibri" w:cs="Times New Roman"/>
          <w:noProof/>
          <w:szCs w:val="24"/>
          <w:lang w:val="en-US"/>
        </w:rPr>
        <w:t xml:space="preserve"> Current status of the AMOEBA polarizable force field. </w:t>
      </w:r>
      <w:r w:rsidRPr="00976E92">
        <w:rPr>
          <w:rFonts w:ascii="Calibri" w:hAnsi="Calibri" w:cs="Times New Roman"/>
          <w:i/>
          <w:iCs/>
          <w:noProof/>
          <w:szCs w:val="24"/>
          <w:lang w:val="en-US"/>
        </w:rPr>
        <w:t>J. Phys. Chem. B</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114</w:t>
      </w:r>
      <w:r w:rsidRPr="00976E92">
        <w:rPr>
          <w:rFonts w:ascii="Calibri" w:hAnsi="Calibri" w:cs="Times New Roman"/>
          <w:noProof/>
          <w:szCs w:val="24"/>
          <w:lang w:val="en-US"/>
        </w:rPr>
        <w:t>, 2549–2564 (2010).</w:t>
      </w:r>
    </w:p>
    <w:p w14:paraId="3BC1BAD9"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9.</w:t>
      </w:r>
      <w:r w:rsidRPr="00976E92">
        <w:rPr>
          <w:rFonts w:ascii="Calibri" w:hAnsi="Calibri" w:cs="Times New Roman"/>
          <w:noProof/>
          <w:szCs w:val="24"/>
          <w:lang w:val="en-US"/>
        </w:rPr>
        <w:tab/>
        <w:t xml:space="preserve">Grossfield, A., Ren, P. &amp; Ponder, J. W. Ion Solvation Thermodynamics from Simulation with a Polarizable Force Field. </w:t>
      </w:r>
      <w:r w:rsidRPr="00976E92">
        <w:rPr>
          <w:rFonts w:ascii="Calibri" w:hAnsi="Calibri" w:cs="Times New Roman"/>
          <w:i/>
          <w:iCs/>
          <w:noProof/>
          <w:szCs w:val="24"/>
          <w:lang w:val="en-US"/>
        </w:rPr>
        <w:t>J. Am. Chem. Soc.</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125</w:t>
      </w:r>
      <w:r w:rsidRPr="00976E92">
        <w:rPr>
          <w:rFonts w:ascii="Calibri" w:hAnsi="Calibri" w:cs="Times New Roman"/>
          <w:noProof/>
          <w:szCs w:val="24"/>
          <w:lang w:val="en-US"/>
        </w:rPr>
        <w:t>, 15671–15682 (2003).</w:t>
      </w:r>
    </w:p>
    <w:p w14:paraId="1229DD91"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10.</w:t>
      </w:r>
      <w:r w:rsidRPr="00976E92">
        <w:rPr>
          <w:rFonts w:ascii="Calibri" w:hAnsi="Calibri" w:cs="Times New Roman"/>
          <w:noProof/>
          <w:szCs w:val="24"/>
          <w:lang w:val="en-US"/>
        </w:rPr>
        <w:tab/>
        <w:t xml:space="preserve">Ren, P. &amp; Ponder, J. W. Polarizable Atomic Multipole Water Model for Molecular Mechanics Simulation. </w:t>
      </w:r>
      <w:r w:rsidRPr="00976E92">
        <w:rPr>
          <w:rFonts w:ascii="Calibri" w:hAnsi="Calibri" w:cs="Times New Roman"/>
          <w:i/>
          <w:iCs/>
          <w:noProof/>
          <w:szCs w:val="24"/>
          <w:lang w:val="en-US"/>
        </w:rPr>
        <w:t>J. Phys. Chem. B</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107</w:t>
      </w:r>
      <w:r w:rsidRPr="00976E92">
        <w:rPr>
          <w:rFonts w:ascii="Calibri" w:hAnsi="Calibri" w:cs="Times New Roman"/>
          <w:noProof/>
          <w:szCs w:val="24"/>
          <w:lang w:val="en-US"/>
        </w:rPr>
        <w:t>, 5933–5947 (2003).</w:t>
      </w:r>
    </w:p>
    <w:p w14:paraId="6B25C922"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11.</w:t>
      </w:r>
      <w:r w:rsidRPr="00976E92">
        <w:rPr>
          <w:rFonts w:ascii="Calibri" w:hAnsi="Calibri" w:cs="Times New Roman"/>
          <w:noProof/>
          <w:szCs w:val="24"/>
          <w:lang w:val="en-US"/>
        </w:rPr>
        <w:tab/>
        <w:t xml:space="preserve">Shi, Y. </w:t>
      </w:r>
      <w:r w:rsidRPr="00976E92">
        <w:rPr>
          <w:rFonts w:ascii="Calibri" w:hAnsi="Calibri" w:cs="Times New Roman"/>
          <w:i/>
          <w:iCs/>
          <w:noProof/>
          <w:szCs w:val="24"/>
          <w:lang w:val="en-US"/>
        </w:rPr>
        <w:t>et al.</w:t>
      </w:r>
      <w:r w:rsidRPr="00976E92">
        <w:rPr>
          <w:rFonts w:ascii="Calibri" w:hAnsi="Calibri" w:cs="Times New Roman"/>
          <w:noProof/>
          <w:szCs w:val="24"/>
          <w:lang w:val="en-US"/>
        </w:rPr>
        <w:t xml:space="preserve"> Polarizable atomic multipole-based AMOEBA force field for proteins. </w:t>
      </w:r>
      <w:r w:rsidRPr="00976E92">
        <w:rPr>
          <w:rFonts w:ascii="Calibri" w:hAnsi="Calibri" w:cs="Times New Roman"/>
          <w:i/>
          <w:iCs/>
          <w:noProof/>
          <w:szCs w:val="24"/>
          <w:lang w:val="en-US"/>
        </w:rPr>
        <w:t>J. Chem. Theory Comput.</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9</w:t>
      </w:r>
      <w:r w:rsidRPr="00976E92">
        <w:rPr>
          <w:rFonts w:ascii="Calibri" w:hAnsi="Calibri" w:cs="Times New Roman"/>
          <w:noProof/>
          <w:szCs w:val="24"/>
          <w:lang w:val="en-US"/>
        </w:rPr>
        <w:t>, 4046–4063 (2013).</w:t>
      </w:r>
    </w:p>
    <w:p w14:paraId="23A205CE" w14:textId="12992B80"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12.</w:t>
      </w:r>
      <w:r w:rsidRPr="00976E92">
        <w:rPr>
          <w:rFonts w:ascii="Calibri" w:hAnsi="Calibri" w:cs="Times New Roman"/>
          <w:noProof/>
          <w:szCs w:val="24"/>
          <w:lang w:val="en-US"/>
        </w:rPr>
        <w:tab/>
        <w:t>Lambrecht, D. S., Clark, G. N. I., Head-Gordon, T. &amp; Head-Gordon, M. Exploring the rich energy landscape of sulfate-water clusters SO</w:t>
      </w:r>
      <w:r w:rsidRPr="00976E92">
        <w:rPr>
          <w:rFonts w:ascii="Calibri" w:hAnsi="Calibri" w:cs="Times New Roman"/>
          <w:noProof/>
          <w:szCs w:val="24"/>
          <w:vertAlign w:val="subscript"/>
          <w:lang w:val="en-US"/>
        </w:rPr>
        <w:t>4</w:t>
      </w:r>
      <w:r w:rsidRPr="00976E92">
        <w:rPr>
          <w:rFonts w:ascii="Calibri" w:hAnsi="Calibri" w:cs="Times New Roman"/>
          <w:noProof/>
          <w:szCs w:val="24"/>
          <w:vertAlign w:val="superscript"/>
          <w:lang w:val="en-US"/>
        </w:rPr>
        <w:t>2-</w:t>
      </w:r>
      <w:r w:rsidRPr="00976E92">
        <w:rPr>
          <w:rFonts w:ascii="Calibri" w:hAnsi="Calibri" w:cs="Times New Roman"/>
          <w:noProof/>
          <w:szCs w:val="24"/>
          <w:lang w:val="en-US"/>
        </w:rPr>
        <w:t xml:space="preserve"> (H</w:t>
      </w:r>
      <w:r w:rsidRPr="00976E92">
        <w:rPr>
          <w:rFonts w:ascii="Calibri" w:hAnsi="Calibri" w:cs="Times New Roman"/>
          <w:noProof/>
          <w:szCs w:val="24"/>
          <w:vertAlign w:val="subscript"/>
          <w:lang w:val="en-US"/>
        </w:rPr>
        <w:t>2</w:t>
      </w:r>
      <w:r w:rsidRPr="00976E92">
        <w:rPr>
          <w:rFonts w:ascii="Calibri" w:hAnsi="Calibri" w:cs="Times New Roman"/>
          <w:noProof/>
          <w:szCs w:val="24"/>
          <w:lang w:val="en-US"/>
        </w:rPr>
        <w:t xml:space="preserve">O) n=3-7: An electronic structure approach. </w:t>
      </w:r>
      <w:r w:rsidRPr="00976E92">
        <w:rPr>
          <w:rFonts w:ascii="Calibri" w:hAnsi="Calibri" w:cs="Times New Roman"/>
          <w:i/>
          <w:iCs/>
          <w:noProof/>
          <w:szCs w:val="24"/>
          <w:lang w:val="en-US"/>
        </w:rPr>
        <w:t>J. Phys. Chem. A</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115</w:t>
      </w:r>
      <w:r w:rsidRPr="00976E92">
        <w:rPr>
          <w:rFonts w:ascii="Calibri" w:hAnsi="Calibri" w:cs="Times New Roman"/>
          <w:noProof/>
          <w:szCs w:val="24"/>
          <w:lang w:val="en-US"/>
        </w:rPr>
        <w:t>, 11438–11454 (2011).</w:t>
      </w:r>
    </w:p>
    <w:p w14:paraId="19C56B68"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13.</w:t>
      </w:r>
      <w:r w:rsidRPr="00976E92">
        <w:rPr>
          <w:rFonts w:ascii="Calibri" w:hAnsi="Calibri" w:cs="Times New Roman"/>
          <w:noProof/>
          <w:szCs w:val="24"/>
          <w:lang w:val="en-US"/>
        </w:rPr>
        <w:tab/>
        <w:t xml:space="preserve">Halgren, T. A. Representation of van der Waals (vdW) Interactions in Molecular Mechanics Force Fields: Potential Form, Combination Rules, and vdW Parameters. </w:t>
      </w:r>
      <w:r w:rsidRPr="00976E92">
        <w:rPr>
          <w:rFonts w:ascii="Calibri" w:hAnsi="Calibri" w:cs="Times New Roman"/>
          <w:b/>
          <w:bCs/>
          <w:noProof/>
          <w:szCs w:val="24"/>
          <w:lang w:val="en-US"/>
        </w:rPr>
        <w:t>114</w:t>
      </w:r>
      <w:r w:rsidRPr="00976E92">
        <w:rPr>
          <w:rFonts w:ascii="Calibri" w:hAnsi="Calibri" w:cs="Times New Roman"/>
          <w:noProof/>
          <w:szCs w:val="24"/>
          <w:lang w:val="en-US"/>
        </w:rPr>
        <w:t>, 7827–7843 (1992).</w:t>
      </w:r>
    </w:p>
    <w:p w14:paraId="45B637C4"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14.</w:t>
      </w:r>
      <w:r w:rsidRPr="00976E92">
        <w:rPr>
          <w:rFonts w:ascii="Calibri" w:hAnsi="Calibri" w:cs="Times New Roman"/>
          <w:noProof/>
          <w:szCs w:val="24"/>
          <w:lang w:val="en-US"/>
        </w:rPr>
        <w:tab/>
        <w:t xml:space="preserve">Essmann, U. </w:t>
      </w:r>
      <w:r w:rsidRPr="00976E92">
        <w:rPr>
          <w:rFonts w:ascii="Calibri" w:hAnsi="Calibri" w:cs="Times New Roman"/>
          <w:i/>
          <w:iCs/>
          <w:noProof/>
          <w:szCs w:val="24"/>
          <w:lang w:val="en-US"/>
        </w:rPr>
        <w:t>et al.</w:t>
      </w:r>
      <w:r w:rsidRPr="00976E92">
        <w:rPr>
          <w:rFonts w:ascii="Calibri" w:hAnsi="Calibri" w:cs="Times New Roman"/>
          <w:noProof/>
          <w:szCs w:val="24"/>
          <w:lang w:val="en-US"/>
        </w:rPr>
        <w:t xml:space="preserve"> A smooth particle mesh Ewald method. </w:t>
      </w:r>
      <w:r w:rsidRPr="00976E92">
        <w:rPr>
          <w:rFonts w:ascii="Calibri" w:hAnsi="Calibri" w:cs="Times New Roman"/>
          <w:i/>
          <w:iCs/>
          <w:noProof/>
          <w:szCs w:val="24"/>
          <w:lang w:val="en-US"/>
        </w:rPr>
        <w:t>J. Chem. Phys.</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103</w:t>
      </w:r>
      <w:r w:rsidRPr="00976E92">
        <w:rPr>
          <w:rFonts w:ascii="Calibri" w:hAnsi="Calibri" w:cs="Times New Roman"/>
          <w:noProof/>
          <w:szCs w:val="24"/>
          <w:lang w:val="en-US"/>
        </w:rPr>
        <w:t>, 8577–8593 (1995).</w:t>
      </w:r>
    </w:p>
    <w:p w14:paraId="7A8642E0"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15.</w:t>
      </w:r>
      <w:r w:rsidRPr="00976E92">
        <w:rPr>
          <w:rFonts w:ascii="Calibri" w:hAnsi="Calibri" w:cs="Times New Roman"/>
          <w:noProof/>
          <w:szCs w:val="24"/>
          <w:lang w:val="en-US"/>
        </w:rPr>
        <w:tab/>
        <w:t xml:space="preserve">Aviat, F. </w:t>
      </w:r>
      <w:r w:rsidRPr="00976E92">
        <w:rPr>
          <w:rFonts w:ascii="Calibri" w:hAnsi="Calibri" w:cs="Times New Roman"/>
          <w:i/>
          <w:iCs/>
          <w:noProof/>
          <w:szCs w:val="24"/>
          <w:lang w:val="en-US"/>
        </w:rPr>
        <w:t>et al.</w:t>
      </w:r>
      <w:r w:rsidRPr="00976E92">
        <w:rPr>
          <w:rFonts w:ascii="Calibri" w:hAnsi="Calibri" w:cs="Times New Roman"/>
          <w:noProof/>
          <w:szCs w:val="24"/>
          <w:lang w:val="en-US"/>
        </w:rPr>
        <w:t xml:space="preserve"> Truncated conjugate gradient: An optimal strategy for the analytical evaluation of the many-body polarization energy and forces in molecular simulations. </w:t>
      </w:r>
      <w:r w:rsidRPr="00976E92">
        <w:rPr>
          <w:rFonts w:ascii="Calibri" w:hAnsi="Calibri" w:cs="Times New Roman"/>
          <w:i/>
          <w:iCs/>
          <w:noProof/>
          <w:szCs w:val="24"/>
          <w:lang w:val="en-US"/>
        </w:rPr>
        <w:t>J. Chem. Theory Comput.</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13</w:t>
      </w:r>
      <w:r w:rsidRPr="00976E92">
        <w:rPr>
          <w:rFonts w:ascii="Calibri" w:hAnsi="Calibri" w:cs="Times New Roman"/>
          <w:noProof/>
          <w:szCs w:val="24"/>
          <w:lang w:val="en-US"/>
        </w:rPr>
        <w:t>, 180–190 (2017).</w:t>
      </w:r>
    </w:p>
    <w:p w14:paraId="0BC08211"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16.</w:t>
      </w:r>
      <w:r w:rsidRPr="00976E92">
        <w:rPr>
          <w:rFonts w:ascii="Calibri" w:hAnsi="Calibri" w:cs="Times New Roman"/>
          <w:noProof/>
          <w:szCs w:val="24"/>
          <w:lang w:val="en-US"/>
        </w:rPr>
        <w:tab/>
        <w:t xml:space="preserve">Wang, W. &amp; Skeel, R. D. Fast evaluation of polarizable forces. </w:t>
      </w:r>
      <w:r w:rsidRPr="00976E92">
        <w:rPr>
          <w:rFonts w:ascii="Calibri" w:hAnsi="Calibri" w:cs="Times New Roman"/>
          <w:i/>
          <w:iCs/>
          <w:noProof/>
          <w:szCs w:val="24"/>
          <w:lang w:val="en-US"/>
        </w:rPr>
        <w:t>J. Chem. Phys.</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123</w:t>
      </w:r>
      <w:r w:rsidRPr="00976E92">
        <w:rPr>
          <w:rFonts w:ascii="Calibri" w:hAnsi="Calibri" w:cs="Times New Roman"/>
          <w:noProof/>
          <w:szCs w:val="24"/>
          <w:lang w:val="en-US"/>
        </w:rPr>
        <w:t>, (2005).</w:t>
      </w:r>
    </w:p>
    <w:p w14:paraId="734A6EDC"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17.</w:t>
      </w:r>
      <w:r w:rsidRPr="00976E92">
        <w:rPr>
          <w:rFonts w:ascii="Calibri" w:hAnsi="Calibri" w:cs="Times New Roman"/>
          <w:noProof/>
          <w:szCs w:val="24"/>
          <w:lang w:val="en-US"/>
        </w:rPr>
        <w:tab/>
        <w:t xml:space="preserve">Luzar, A. &amp; Chandler, D. Hydrogen-bond kinetics in liquid water. </w:t>
      </w:r>
      <w:r w:rsidRPr="00976E92">
        <w:rPr>
          <w:rFonts w:ascii="Calibri" w:hAnsi="Calibri" w:cs="Times New Roman"/>
          <w:i/>
          <w:iCs/>
          <w:noProof/>
          <w:szCs w:val="24"/>
          <w:lang w:val="en-US"/>
        </w:rPr>
        <w:t>Nature</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379</w:t>
      </w:r>
      <w:r w:rsidRPr="00976E92">
        <w:rPr>
          <w:rFonts w:ascii="Calibri" w:hAnsi="Calibri" w:cs="Times New Roman"/>
          <w:noProof/>
          <w:szCs w:val="24"/>
          <w:lang w:val="en-US"/>
        </w:rPr>
        <w:t>, 55–57 (1996).</w:t>
      </w:r>
    </w:p>
    <w:p w14:paraId="098BDFF7"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18.</w:t>
      </w:r>
      <w:r w:rsidRPr="00976E92">
        <w:rPr>
          <w:rFonts w:ascii="Calibri" w:hAnsi="Calibri" w:cs="Times New Roman"/>
          <w:noProof/>
          <w:szCs w:val="24"/>
          <w:lang w:val="en-US"/>
        </w:rPr>
        <w:tab/>
        <w:t xml:space="preserve">Kühne, T. D. </w:t>
      </w:r>
      <w:r w:rsidRPr="00976E92">
        <w:rPr>
          <w:rFonts w:ascii="Calibri" w:hAnsi="Calibri" w:cs="Times New Roman"/>
          <w:i/>
          <w:iCs/>
          <w:noProof/>
          <w:szCs w:val="24"/>
          <w:lang w:val="en-US"/>
        </w:rPr>
        <w:t>et al.</w:t>
      </w:r>
      <w:r w:rsidRPr="00976E92">
        <w:rPr>
          <w:rFonts w:ascii="Calibri" w:hAnsi="Calibri" w:cs="Times New Roman"/>
          <w:noProof/>
          <w:szCs w:val="24"/>
          <w:lang w:val="en-US"/>
        </w:rPr>
        <w:t xml:space="preserve"> CP2K: An electronic structure and molecular dynamics software package -Quickstep: Efficient and accurate electronic structure calculations. </w:t>
      </w:r>
      <w:r w:rsidRPr="00976E92">
        <w:rPr>
          <w:rFonts w:ascii="Calibri" w:hAnsi="Calibri" w:cs="Times New Roman"/>
          <w:i/>
          <w:iCs/>
          <w:noProof/>
          <w:szCs w:val="24"/>
          <w:lang w:val="en-US"/>
        </w:rPr>
        <w:t>J. Chem. Phys.</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152</w:t>
      </w:r>
      <w:r w:rsidRPr="00976E92">
        <w:rPr>
          <w:rFonts w:ascii="Calibri" w:hAnsi="Calibri" w:cs="Times New Roman"/>
          <w:noProof/>
          <w:szCs w:val="24"/>
          <w:lang w:val="en-US"/>
        </w:rPr>
        <w:t>, (2020).</w:t>
      </w:r>
    </w:p>
    <w:p w14:paraId="561BCBE3"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19.</w:t>
      </w:r>
      <w:r w:rsidRPr="00976E92">
        <w:rPr>
          <w:rFonts w:ascii="Calibri" w:hAnsi="Calibri" w:cs="Times New Roman"/>
          <w:noProof/>
          <w:szCs w:val="24"/>
          <w:lang w:val="en-US"/>
        </w:rPr>
        <w:tab/>
        <w:t xml:space="preserve">Lippert, G., Hutter, J. &amp; Parrinello, M. A hybrid Gaussian and plane wave density functional scheme. </w:t>
      </w:r>
      <w:r w:rsidRPr="00976E92">
        <w:rPr>
          <w:rFonts w:ascii="Calibri" w:hAnsi="Calibri" w:cs="Times New Roman"/>
          <w:i/>
          <w:iCs/>
          <w:noProof/>
          <w:szCs w:val="24"/>
          <w:lang w:val="en-US"/>
        </w:rPr>
        <w:t>Mol. Phys.</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92</w:t>
      </w:r>
      <w:r w:rsidRPr="00976E92">
        <w:rPr>
          <w:rFonts w:ascii="Calibri" w:hAnsi="Calibri" w:cs="Times New Roman"/>
          <w:noProof/>
          <w:szCs w:val="24"/>
          <w:lang w:val="en-US"/>
        </w:rPr>
        <w:t>, 477–488 (1997).</w:t>
      </w:r>
    </w:p>
    <w:p w14:paraId="0369B669"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lastRenderedPageBreak/>
        <w:t>20.</w:t>
      </w:r>
      <w:r w:rsidRPr="00976E92">
        <w:rPr>
          <w:rFonts w:ascii="Calibri" w:hAnsi="Calibri" w:cs="Times New Roman"/>
          <w:noProof/>
          <w:szCs w:val="24"/>
          <w:lang w:val="en-US"/>
        </w:rPr>
        <w:tab/>
        <w:t xml:space="preserve">VandeVondele, J. &amp; Hutter, J. Gaussian basis sets for accurate calculations on molecular systems in gas and condensed phases. </w:t>
      </w:r>
      <w:r w:rsidRPr="00976E92">
        <w:rPr>
          <w:rFonts w:ascii="Calibri" w:hAnsi="Calibri" w:cs="Times New Roman"/>
          <w:i/>
          <w:iCs/>
          <w:noProof/>
          <w:szCs w:val="24"/>
          <w:lang w:val="en-US"/>
        </w:rPr>
        <w:t>J. Chem. Phys.</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127</w:t>
      </w:r>
      <w:r w:rsidRPr="00976E92">
        <w:rPr>
          <w:rFonts w:ascii="Calibri" w:hAnsi="Calibri" w:cs="Times New Roman"/>
          <w:noProof/>
          <w:szCs w:val="24"/>
          <w:lang w:val="en-US"/>
        </w:rPr>
        <w:t>, (2007).</w:t>
      </w:r>
    </w:p>
    <w:p w14:paraId="09877FB0"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21.</w:t>
      </w:r>
      <w:r w:rsidRPr="00976E92">
        <w:rPr>
          <w:rFonts w:ascii="Calibri" w:hAnsi="Calibri" w:cs="Times New Roman"/>
          <w:noProof/>
          <w:szCs w:val="24"/>
          <w:lang w:val="en-US"/>
        </w:rPr>
        <w:tab/>
        <w:t xml:space="preserve">Goedecker, S. &amp; Teter, M. Separable dual-space Gaussian pseudopotentials. </w:t>
      </w:r>
      <w:r w:rsidRPr="00976E92">
        <w:rPr>
          <w:rFonts w:ascii="Calibri" w:hAnsi="Calibri" w:cs="Times New Roman"/>
          <w:i/>
          <w:iCs/>
          <w:noProof/>
          <w:szCs w:val="24"/>
          <w:lang w:val="en-US"/>
        </w:rPr>
        <w:t>Phys. Rev. B - Condens. Matter Mater. Phys.</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54</w:t>
      </w:r>
      <w:r w:rsidRPr="00976E92">
        <w:rPr>
          <w:rFonts w:ascii="Calibri" w:hAnsi="Calibri" w:cs="Times New Roman"/>
          <w:noProof/>
          <w:szCs w:val="24"/>
          <w:lang w:val="en-US"/>
        </w:rPr>
        <w:t>, 1703–1710 (1996).</w:t>
      </w:r>
    </w:p>
    <w:p w14:paraId="2E3A367D"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22.</w:t>
      </w:r>
      <w:r w:rsidRPr="00976E92">
        <w:rPr>
          <w:rFonts w:ascii="Calibri" w:hAnsi="Calibri" w:cs="Times New Roman"/>
          <w:noProof/>
          <w:szCs w:val="24"/>
          <w:lang w:val="en-US"/>
        </w:rPr>
        <w:tab/>
        <w:t xml:space="preserve">Krack, M. Pseudopotentials for H to Kr optimized for gradient-corrected exchange-correlation functionals. </w:t>
      </w:r>
      <w:r w:rsidRPr="00976E92">
        <w:rPr>
          <w:rFonts w:ascii="Calibri" w:hAnsi="Calibri" w:cs="Times New Roman"/>
          <w:i/>
          <w:iCs/>
          <w:noProof/>
          <w:szCs w:val="24"/>
          <w:lang w:val="en-US"/>
        </w:rPr>
        <w:t>Theor. Chem. Acc.</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114</w:t>
      </w:r>
      <w:r w:rsidRPr="00976E92">
        <w:rPr>
          <w:rFonts w:ascii="Calibri" w:hAnsi="Calibri" w:cs="Times New Roman"/>
          <w:noProof/>
          <w:szCs w:val="24"/>
          <w:lang w:val="en-US"/>
        </w:rPr>
        <w:t>, 145–152 (2005).</w:t>
      </w:r>
    </w:p>
    <w:p w14:paraId="0A49320E"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23.</w:t>
      </w:r>
      <w:r w:rsidRPr="00976E92">
        <w:rPr>
          <w:rFonts w:ascii="Calibri" w:hAnsi="Calibri" w:cs="Times New Roman"/>
          <w:noProof/>
          <w:szCs w:val="24"/>
          <w:lang w:val="en-US"/>
        </w:rPr>
        <w:tab/>
        <w:t xml:space="preserve">Grimme, S., Antony, J., Ehrlich, S. &amp; Krieg, H. A consistent and accurate ab initio parametrization of density functional dispersion correction (DFT-D) for the 94 elements H-Pu. </w:t>
      </w:r>
      <w:r w:rsidRPr="00976E92">
        <w:rPr>
          <w:rFonts w:ascii="Calibri" w:hAnsi="Calibri" w:cs="Times New Roman"/>
          <w:i/>
          <w:iCs/>
          <w:noProof/>
          <w:szCs w:val="24"/>
          <w:lang w:val="en-US"/>
        </w:rPr>
        <w:t>J. Chem. Phys.</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132</w:t>
      </w:r>
      <w:r w:rsidRPr="00976E92">
        <w:rPr>
          <w:rFonts w:ascii="Calibri" w:hAnsi="Calibri" w:cs="Times New Roman"/>
          <w:noProof/>
          <w:szCs w:val="24"/>
          <w:lang w:val="en-US"/>
        </w:rPr>
        <w:t>, (2010).</w:t>
      </w:r>
    </w:p>
    <w:p w14:paraId="3511F1FE"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24.</w:t>
      </w:r>
      <w:r w:rsidRPr="00976E92">
        <w:rPr>
          <w:rFonts w:ascii="Calibri" w:hAnsi="Calibri" w:cs="Times New Roman"/>
          <w:noProof/>
          <w:szCs w:val="24"/>
          <w:lang w:val="en-US"/>
        </w:rPr>
        <w:tab/>
        <w:t xml:space="preserve">Khaliullin, R. Z., Cobar, E. A., Lochan, R. C., Bell, A. T. &amp; Head-Gordon, M. Unravelling the origin of intermolecular interactions using absolutely localized molecular orbitals. </w:t>
      </w:r>
      <w:r w:rsidRPr="00976E92">
        <w:rPr>
          <w:rFonts w:ascii="Calibri" w:hAnsi="Calibri" w:cs="Times New Roman"/>
          <w:i/>
          <w:iCs/>
          <w:noProof/>
          <w:szCs w:val="24"/>
          <w:lang w:val="en-US"/>
        </w:rPr>
        <w:t>J. Phys. Chem. A</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111</w:t>
      </w:r>
      <w:r w:rsidRPr="00976E92">
        <w:rPr>
          <w:rFonts w:ascii="Calibri" w:hAnsi="Calibri" w:cs="Times New Roman"/>
          <w:noProof/>
          <w:szCs w:val="24"/>
          <w:lang w:val="en-US"/>
        </w:rPr>
        <w:t>, 8753–8765 (2007).</w:t>
      </w:r>
    </w:p>
    <w:p w14:paraId="0C7D6BE0"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25.</w:t>
      </w:r>
      <w:r w:rsidRPr="00976E92">
        <w:rPr>
          <w:rFonts w:ascii="Calibri" w:hAnsi="Calibri" w:cs="Times New Roman"/>
          <w:noProof/>
          <w:szCs w:val="24"/>
          <w:lang w:val="en-US"/>
        </w:rPr>
        <w:tab/>
        <w:t xml:space="preserve">Torii, H. Extended dipole-induced dipole mechanism for generating Raman and optical Kerr effect intensities of low-frequency dynamics in liquids. </w:t>
      </w:r>
      <w:r w:rsidRPr="00976E92">
        <w:rPr>
          <w:rFonts w:ascii="Calibri" w:hAnsi="Calibri" w:cs="Times New Roman"/>
          <w:i/>
          <w:iCs/>
          <w:noProof/>
          <w:szCs w:val="24"/>
          <w:lang w:val="en-US"/>
        </w:rPr>
        <w:t>Chem. Phys. Lett.</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353</w:t>
      </w:r>
      <w:r w:rsidRPr="00976E92">
        <w:rPr>
          <w:rFonts w:ascii="Calibri" w:hAnsi="Calibri" w:cs="Times New Roman"/>
          <w:noProof/>
          <w:szCs w:val="24"/>
          <w:lang w:val="en-US"/>
        </w:rPr>
        <w:t>, 431–438 (2002).</w:t>
      </w:r>
    </w:p>
    <w:p w14:paraId="42A0389B"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26.</w:t>
      </w:r>
      <w:r w:rsidRPr="00976E92">
        <w:rPr>
          <w:rFonts w:ascii="Calibri" w:hAnsi="Calibri" w:cs="Times New Roman"/>
          <w:noProof/>
          <w:szCs w:val="24"/>
          <w:lang w:val="en-US"/>
        </w:rPr>
        <w:tab/>
        <w:t xml:space="preserve">Molina, J. J. </w:t>
      </w:r>
      <w:r w:rsidRPr="00976E92">
        <w:rPr>
          <w:rFonts w:ascii="Calibri" w:hAnsi="Calibri" w:cs="Times New Roman"/>
          <w:i/>
          <w:iCs/>
          <w:noProof/>
          <w:szCs w:val="24"/>
          <w:lang w:val="en-US"/>
        </w:rPr>
        <w:t>et al.</w:t>
      </w:r>
      <w:r w:rsidRPr="00976E92">
        <w:rPr>
          <w:rFonts w:ascii="Calibri" w:hAnsi="Calibri" w:cs="Times New Roman"/>
          <w:noProof/>
          <w:szCs w:val="24"/>
          <w:lang w:val="en-US"/>
        </w:rPr>
        <w:t xml:space="preserve"> Ions in solutions: Determining their polarizabilities from first-principles. </w:t>
      </w:r>
      <w:r w:rsidRPr="00976E92">
        <w:rPr>
          <w:rFonts w:ascii="Calibri" w:hAnsi="Calibri" w:cs="Times New Roman"/>
          <w:i/>
          <w:iCs/>
          <w:noProof/>
          <w:szCs w:val="24"/>
          <w:lang w:val="en-US"/>
        </w:rPr>
        <w:t>J. Chem. Phys.</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134</w:t>
      </w:r>
      <w:r w:rsidRPr="00976E92">
        <w:rPr>
          <w:rFonts w:ascii="Calibri" w:hAnsi="Calibri" w:cs="Times New Roman"/>
          <w:noProof/>
          <w:szCs w:val="24"/>
          <w:lang w:val="en-US"/>
        </w:rPr>
        <w:t>, 5–10 (2011).</w:t>
      </w:r>
    </w:p>
    <w:p w14:paraId="17A8700C" w14:textId="77777777" w:rsidR="0037648F" w:rsidRPr="00976E92" w:rsidRDefault="0037648F" w:rsidP="0037648F">
      <w:pPr>
        <w:widowControl w:val="0"/>
        <w:autoSpaceDE w:val="0"/>
        <w:autoSpaceDN w:val="0"/>
        <w:adjustRightInd w:val="0"/>
        <w:spacing w:line="240" w:lineRule="auto"/>
        <w:ind w:left="640" w:hanging="640"/>
        <w:rPr>
          <w:rFonts w:ascii="Calibri" w:hAnsi="Calibri" w:cs="Times New Roman"/>
          <w:noProof/>
          <w:szCs w:val="24"/>
          <w:lang w:val="en-US"/>
        </w:rPr>
      </w:pPr>
      <w:r w:rsidRPr="00976E92">
        <w:rPr>
          <w:rFonts w:ascii="Calibri" w:hAnsi="Calibri" w:cs="Times New Roman"/>
          <w:noProof/>
          <w:szCs w:val="24"/>
          <w:lang w:val="en-US"/>
        </w:rPr>
        <w:t>27.</w:t>
      </w:r>
      <w:r w:rsidRPr="00976E92">
        <w:rPr>
          <w:rFonts w:ascii="Calibri" w:hAnsi="Calibri" w:cs="Times New Roman"/>
          <w:noProof/>
          <w:szCs w:val="24"/>
          <w:lang w:val="en-US"/>
        </w:rPr>
        <w:tab/>
        <w:t xml:space="preserve">Jungwirth, P., Curtis, J. E. &amp; Tobias, D. J. Polarizability and aqueous solvation of the sulfate dianion. </w:t>
      </w:r>
      <w:r w:rsidRPr="00976E92">
        <w:rPr>
          <w:rFonts w:ascii="Calibri" w:hAnsi="Calibri" w:cs="Times New Roman"/>
          <w:i/>
          <w:iCs/>
          <w:noProof/>
          <w:szCs w:val="24"/>
          <w:lang w:val="en-US"/>
        </w:rPr>
        <w:t>Chem. Phys. Lett.</w:t>
      </w:r>
      <w:r w:rsidRPr="00976E92">
        <w:rPr>
          <w:rFonts w:ascii="Calibri" w:hAnsi="Calibri" w:cs="Times New Roman"/>
          <w:noProof/>
          <w:szCs w:val="24"/>
          <w:lang w:val="en-US"/>
        </w:rPr>
        <w:t xml:space="preserve"> </w:t>
      </w:r>
      <w:r w:rsidRPr="00976E92">
        <w:rPr>
          <w:rFonts w:ascii="Calibri" w:hAnsi="Calibri" w:cs="Times New Roman"/>
          <w:b/>
          <w:bCs/>
          <w:noProof/>
          <w:szCs w:val="24"/>
          <w:lang w:val="en-US"/>
        </w:rPr>
        <w:t>367</w:t>
      </w:r>
      <w:r w:rsidRPr="00976E92">
        <w:rPr>
          <w:rFonts w:ascii="Calibri" w:hAnsi="Calibri" w:cs="Times New Roman"/>
          <w:noProof/>
          <w:szCs w:val="24"/>
          <w:lang w:val="en-US"/>
        </w:rPr>
        <w:t>, 704–710 (2003).</w:t>
      </w:r>
    </w:p>
    <w:p w14:paraId="33DF38C1" w14:textId="77777777" w:rsidR="0037648F" w:rsidRPr="00976E92" w:rsidRDefault="0037648F" w:rsidP="0037648F">
      <w:pPr>
        <w:widowControl w:val="0"/>
        <w:autoSpaceDE w:val="0"/>
        <w:autoSpaceDN w:val="0"/>
        <w:adjustRightInd w:val="0"/>
        <w:spacing w:line="240" w:lineRule="auto"/>
        <w:ind w:left="640" w:hanging="640"/>
        <w:rPr>
          <w:rFonts w:ascii="Calibri" w:hAnsi="Calibri"/>
          <w:noProof/>
        </w:rPr>
      </w:pPr>
      <w:r w:rsidRPr="00976E92">
        <w:rPr>
          <w:rFonts w:ascii="Calibri" w:hAnsi="Calibri" w:cs="Times New Roman"/>
          <w:noProof/>
          <w:szCs w:val="24"/>
          <w:lang w:val="en-US"/>
        </w:rPr>
        <w:t>28.</w:t>
      </w:r>
      <w:r w:rsidRPr="00976E92">
        <w:rPr>
          <w:rFonts w:ascii="Calibri" w:hAnsi="Calibri" w:cs="Times New Roman"/>
          <w:noProof/>
          <w:szCs w:val="24"/>
          <w:lang w:val="en-US"/>
        </w:rPr>
        <w:tab/>
        <w:t xml:space="preserve">Aidas, K. </w:t>
      </w:r>
      <w:r w:rsidRPr="00976E92">
        <w:rPr>
          <w:rFonts w:ascii="Calibri" w:hAnsi="Calibri" w:cs="Times New Roman"/>
          <w:i/>
          <w:iCs/>
          <w:noProof/>
          <w:szCs w:val="24"/>
          <w:lang w:val="en-US"/>
        </w:rPr>
        <w:t>et al.</w:t>
      </w:r>
      <w:r w:rsidRPr="00976E92">
        <w:rPr>
          <w:rFonts w:ascii="Calibri" w:hAnsi="Calibri" w:cs="Times New Roman"/>
          <w:noProof/>
          <w:szCs w:val="24"/>
          <w:lang w:val="en-US"/>
        </w:rPr>
        <w:t xml:space="preserve"> The Dalton quantum chemistry program system. </w:t>
      </w:r>
      <w:r w:rsidRPr="00976E92">
        <w:rPr>
          <w:rFonts w:ascii="Calibri" w:hAnsi="Calibri" w:cs="Times New Roman"/>
          <w:i/>
          <w:iCs/>
          <w:noProof/>
          <w:szCs w:val="24"/>
        </w:rPr>
        <w:t>Wiley Interdiscip. Rev. Comput. Mol. Sci.</w:t>
      </w:r>
      <w:r w:rsidRPr="00976E92">
        <w:rPr>
          <w:rFonts w:ascii="Calibri" w:hAnsi="Calibri" w:cs="Times New Roman"/>
          <w:noProof/>
          <w:szCs w:val="24"/>
        </w:rPr>
        <w:t xml:space="preserve"> </w:t>
      </w:r>
      <w:r w:rsidRPr="00976E92">
        <w:rPr>
          <w:rFonts w:ascii="Calibri" w:hAnsi="Calibri" w:cs="Times New Roman"/>
          <w:b/>
          <w:bCs/>
          <w:noProof/>
          <w:szCs w:val="24"/>
        </w:rPr>
        <w:t>4</w:t>
      </w:r>
      <w:r w:rsidRPr="00976E92">
        <w:rPr>
          <w:rFonts w:ascii="Calibri" w:hAnsi="Calibri" w:cs="Times New Roman"/>
          <w:noProof/>
          <w:szCs w:val="24"/>
        </w:rPr>
        <w:t>, 269–284 (2014).</w:t>
      </w:r>
    </w:p>
    <w:p w14:paraId="57142539" w14:textId="34C3A2E9" w:rsidR="00DA37C2" w:rsidRPr="004C0081" w:rsidRDefault="0037648F" w:rsidP="004C0081">
      <w:pPr>
        <w:ind w:firstLine="708"/>
        <w:rPr>
          <w:lang w:val="en-US"/>
        </w:rPr>
      </w:pPr>
      <w:r w:rsidRPr="00976E92">
        <w:rPr>
          <w:lang w:val="en-US"/>
        </w:rPr>
        <w:fldChar w:fldCharType="end"/>
      </w:r>
    </w:p>
    <w:sectPr w:rsidR="00DA37C2" w:rsidRPr="004C0081" w:rsidSect="00167EFB">
      <w:endnotePr>
        <w:numFmt w:val="decimal"/>
      </w:endnotePr>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36F34" w14:textId="77777777" w:rsidR="00A040FD" w:rsidRDefault="00A040FD">
      <w:pPr>
        <w:spacing w:after="0" w:line="240" w:lineRule="auto"/>
      </w:pPr>
      <w:r>
        <w:separator/>
      </w:r>
    </w:p>
  </w:endnote>
  <w:endnote w:type="continuationSeparator" w:id="0">
    <w:p w14:paraId="444C5BA9" w14:textId="77777777" w:rsidR="00A040FD" w:rsidRDefault="00A0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1"/>
    <w:family w:val="roman"/>
    <w:pitch w:val="variable"/>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cstBook">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7BAF6" w14:textId="77777777" w:rsidR="00A040FD" w:rsidRDefault="00A040FD">
      <w:pPr>
        <w:spacing w:after="0" w:line="240" w:lineRule="auto"/>
      </w:pPr>
      <w:r>
        <w:separator/>
      </w:r>
    </w:p>
  </w:footnote>
  <w:footnote w:type="continuationSeparator" w:id="0">
    <w:p w14:paraId="15D461F7" w14:textId="77777777" w:rsidR="00A040FD" w:rsidRDefault="00A04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265B1"/>
    <w:multiLevelType w:val="hybridMultilevel"/>
    <w:tmpl w:val="DCA40C22"/>
    <w:lvl w:ilvl="0" w:tplc="FC3AEFFA">
      <w:start w:val="1"/>
      <w:numFmt w:val="decimal"/>
      <w:lvlText w:val="%1."/>
      <w:lvlJc w:val="left"/>
      <w:pPr>
        <w:ind w:left="720" w:hanging="360"/>
      </w:pPr>
      <w:rPr>
        <w:rFonts w:cs="DejaVu San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4E43094"/>
    <w:multiLevelType w:val="hybridMultilevel"/>
    <w:tmpl w:val="4AA068F0"/>
    <w:lvl w:ilvl="0" w:tplc="D52208E2">
      <w:start w:val="1"/>
      <w:numFmt w:val="decimal"/>
      <w:lvlText w:val="%1)"/>
      <w:lvlJc w:val="left"/>
      <w:pPr>
        <w:ind w:left="720" w:hanging="360"/>
      </w:pPr>
      <w:rPr>
        <w:rFonts w:cs="DejaVu San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3B"/>
    <w:rsid w:val="00001704"/>
    <w:rsid w:val="00003D53"/>
    <w:rsid w:val="00010F00"/>
    <w:rsid w:val="0002502A"/>
    <w:rsid w:val="00031921"/>
    <w:rsid w:val="00033586"/>
    <w:rsid w:val="000358D4"/>
    <w:rsid w:val="00045949"/>
    <w:rsid w:val="00050502"/>
    <w:rsid w:val="00051ED6"/>
    <w:rsid w:val="000523F3"/>
    <w:rsid w:val="00057536"/>
    <w:rsid w:val="00057E81"/>
    <w:rsid w:val="0006513D"/>
    <w:rsid w:val="00072018"/>
    <w:rsid w:val="000748F0"/>
    <w:rsid w:val="0007510F"/>
    <w:rsid w:val="00084080"/>
    <w:rsid w:val="00096326"/>
    <w:rsid w:val="00097BF8"/>
    <w:rsid w:val="000A1E82"/>
    <w:rsid w:val="000B0F91"/>
    <w:rsid w:val="000C37EE"/>
    <w:rsid w:val="000D2D4F"/>
    <w:rsid w:val="000E28DF"/>
    <w:rsid w:val="000E4EB8"/>
    <w:rsid w:val="000F4CBB"/>
    <w:rsid w:val="00101EBC"/>
    <w:rsid w:val="00107516"/>
    <w:rsid w:val="00111667"/>
    <w:rsid w:val="001127DB"/>
    <w:rsid w:val="001163B8"/>
    <w:rsid w:val="00124CE9"/>
    <w:rsid w:val="0012664A"/>
    <w:rsid w:val="00130937"/>
    <w:rsid w:val="00135CF6"/>
    <w:rsid w:val="0014003B"/>
    <w:rsid w:val="00143013"/>
    <w:rsid w:val="0014730A"/>
    <w:rsid w:val="00151218"/>
    <w:rsid w:val="00153762"/>
    <w:rsid w:val="00165DBA"/>
    <w:rsid w:val="00167EFB"/>
    <w:rsid w:val="00174996"/>
    <w:rsid w:val="001755CC"/>
    <w:rsid w:val="00185F51"/>
    <w:rsid w:val="0018600F"/>
    <w:rsid w:val="001A51CB"/>
    <w:rsid w:val="001A5E1F"/>
    <w:rsid w:val="001B0D85"/>
    <w:rsid w:val="001B6CD7"/>
    <w:rsid w:val="001C35EE"/>
    <w:rsid w:val="001D0121"/>
    <w:rsid w:val="001D055D"/>
    <w:rsid w:val="001D1D1C"/>
    <w:rsid w:val="001E6ECA"/>
    <w:rsid w:val="001F2D33"/>
    <w:rsid w:val="001F3CDC"/>
    <w:rsid w:val="001F4EBD"/>
    <w:rsid w:val="001F6EE4"/>
    <w:rsid w:val="001F7C44"/>
    <w:rsid w:val="00200748"/>
    <w:rsid w:val="00201AFE"/>
    <w:rsid w:val="00212721"/>
    <w:rsid w:val="002136D1"/>
    <w:rsid w:val="00224002"/>
    <w:rsid w:val="0023127F"/>
    <w:rsid w:val="00236429"/>
    <w:rsid w:val="002469A4"/>
    <w:rsid w:val="002469A5"/>
    <w:rsid w:val="00246F2A"/>
    <w:rsid w:val="00254CC7"/>
    <w:rsid w:val="00255A87"/>
    <w:rsid w:val="00263FB4"/>
    <w:rsid w:val="00266DAC"/>
    <w:rsid w:val="0027701F"/>
    <w:rsid w:val="0027748C"/>
    <w:rsid w:val="002960C5"/>
    <w:rsid w:val="002A0F84"/>
    <w:rsid w:val="002A1D3F"/>
    <w:rsid w:val="002A3882"/>
    <w:rsid w:val="002B2174"/>
    <w:rsid w:val="002B4391"/>
    <w:rsid w:val="002C14DA"/>
    <w:rsid w:val="002C5443"/>
    <w:rsid w:val="002D1B07"/>
    <w:rsid w:val="002D493F"/>
    <w:rsid w:val="002D5CC5"/>
    <w:rsid w:val="002E1441"/>
    <w:rsid w:val="002E683E"/>
    <w:rsid w:val="002E6B7A"/>
    <w:rsid w:val="002F0FF3"/>
    <w:rsid w:val="002F4E93"/>
    <w:rsid w:val="003027C7"/>
    <w:rsid w:val="00304A65"/>
    <w:rsid w:val="00315865"/>
    <w:rsid w:val="00320C3F"/>
    <w:rsid w:val="00325F4B"/>
    <w:rsid w:val="003328DF"/>
    <w:rsid w:val="00334E70"/>
    <w:rsid w:val="00335200"/>
    <w:rsid w:val="0033761A"/>
    <w:rsid w:val="00341FD9"/>
    <w:rsid w:val="00344946"/>
    <w:rsid w:val="0035657B"/>
    <w:rsid w:val="00362B2C"/>
    <w:rsid w:val="003674C6"/>
    <w:rsid w:val="00374722"/>
    <w:rsid w:val="0037648F"/>
    <w:rsid w:val="003764F5"/>
    <w:rsid w:val="003929B8"/>
    <w:rsid w:val="003954B2"/>
    <w:rsid w:val="003B3E33"/>
    <w:rsid w:val="003B3FC8"/>
    <w:rsid w:val="003B5F27"/>
    <w:rsid w:val="003B6E7E"/>
    <w:rsid w:val="003D4634"/>
    <w:rsid w:val="003E294A"/>
    <w:rsid w:val="004003F1"/>
    <w:rsid w:val="00401F76"/>
    <w:rsid w:val="00415713"/>
    <w:rsid w:val="00422597"/>
    <w:rsid w:val="004228BF"/>
    <w:rsid w:val="00422C41"/>
    <w:rsid w:val="00422F3D"/>
    <w:rsid w:val="004333E4"/>
    <w:rsid w:val="004348D8"/>
    <w:rsid w:val="00435CFD"/>
    <w:rsid w:val="0045208C"/>
    <w:rsid w:val="004602C5"/>
    <w:rsid w:val="004639A0"/>
    <w:rsid w:val="00474CA6"/>
    <w:rsid w:val="00480DBD"/>
    <w:rsid w:val="00497D13"/>
    <w:rsid w:val="004A2620"/>
    <w:rsid w:val="004A4E5E"/>
    <w:rsid w:val="004B3347"/>
    <w:rsid w:val="004B466B"/>
    <w:rsid w:val="004C0081"/>
    <w:rsid w:val="004C03B9"/>
    <w:rsid w:val="004C130B"/>
    <w:rsid w:val="004C2E50"/>
    <w:rsid w:val="004C3D61"/>
    <w:rsid w:val="004D0B4D"/>
    <w:rsid w:val="004D36C7"/>
    <w:rsid w:val="004E041B"/>
    <w:rsid w:val="004E40AA"/>
    <w:rsid w:val="004F36EC"/>
    <w:rsid w:val="004F6BF3"/>
    <w:rsid w:val="005030EE"/>
    <w:rsid w:val="005118CD"/>
    <w:rsid w:val="00512374"/>
    <w:rsid w:val="00513C39"/>
    <w:rsid w:val="00514B06"/>
    <w:rsid w:val="0052184A"/>
    <w:rsid w:val="00522818"/>
    <w:rsid w:val="00532206"/>
    <w:rsid w:val="00533B57"/>
    <w:rsid w:val="00540444"/>
    <w:rsid w:val="0054330E"/>
    <w:rsid w:val="00554BA7"/>
    <w:rsid w:val="00556A71"/>
    <w:rsid w:val="00562952"/>
    <w:rsid w:val="005631AB"/>
    <w:rsid w:val="00563A41"/>
    <w:rsid w:val="00580112"/>
    <w:rsid w:val="0058103E"/>
    <w:rsid w:val="00586D6B"/>
    <w:rsid w:val="0059097A"/>
    <w:rsid w:val="005926EA"/>
    <w:rsid w:val="005A01A7"/>
    <w:rsid w:val="005A2923"/>
    <w:rsid w:val="005A78AA"/>
    <w:rsid w:val="005B507D"/>
    <w:rsid w:val="005B680E"/>
    <w:rsid w:val="005B7A9B"/>
    <w:rsid w:val="005C2D48"/>
    <w:rsid w:val="005C498B"/>
    <w:rsid w:val="005D139C"/>
    <w:rsid w:val="005D3F60"/>
    <w:rsid w:val="005E0BAC"/>
    <w:rsid w:val="005E70AE"/>
    <w:rsid w:val="005F09F8"/>
    <w:rsid w:val="00602BD3"/>
    <w:rsid w:val="0060511F"/>
    <w:rsid w:val="00606A77"/>
    <w:rsid w:val="00607973"/>
    <w:rsid w:val="00611D9A"/>
    <w:rsid w:val="006134B4"/>
    <w:rsid w:val="00616F23"/>
    <w:rsid w:val="00626BF8"/>
    <w:rsid w:val="00627670"/>
    <w:rsid w:val="00632365"/>
    <w:rsid w:val="00637EBA"/>
    <w:rsid w:val="00641DCA"/>
    <w:rsid w:val="006439BD"/>
    <w:rsid w:val="00644588"/>
    <w:rsid w:val="00660D46"/>
    <w:rsid w:val="00693191"/>
    <w:rsid w:val="006A02F4"/>
    <w:rsid w:val="006A20E4"/>
    <w:rsid w:val="006C25A8"/>
    <w:rsid w:val="006C3680"/>
    <w:rsid w:val="006C410C"/>
    <w:rsid w:val="006E0F2D"/>
    <w:rsid w:val="006F1043"/>
    <w:rsid w:val="006F11F1"/>
    <w:rsid w:val="006F302F"/>
    <w:rsid w:val="006F6EFB"/>
    <w:rsid w:val="00700E16"/>
    <w:rsid w:val="00703AA7"/>
    <w:rsid w:val="00705148"/>
    <w:rsid w:val="00713045"/>
    <w:rsid w:val="00715F0E"/>
    <w:rsid w:val="007160E0"/>
    <w:rsid w:val="007252FE"/>
    <w:rsid w:val="007255FE"/>
    <w:rsid w:val="00727147"/>
    <w:rsid w:val="00734F1D"/>
    <w:rsid w:val="00737E9B"/>
    <w:rsid w:val="00741082"/>
    <w:rsid w:val="00742144"/>
    <w:rsid w:val="00744CAC"/>
    <w:rsid w:val="007777D8"/>
    <w:rsid w:val="007869A7"/>
    <w:rsid w:val="00790546"/>
    <w:rsid w:val="00791CF7"/>
    <w:rsid w:val="00796C98"/>
    <w:rsid w:val="007A2D40"/>
    <w:rsid w:val="007B3C97"/>
    <w:rsid w:val="007C2B1C"/>
    <w:rsid w:val="007D1F25"/>
    <w:rsid w:val="007D7845"/>
    <w:rsid w:val="007D7D59"/>
    <w:rsid w:val="007E5821"/>
    <w:rsid w:val="007F084A"/>
    <w:rsid w:val="007F2C6C"/>
    <w:rsid w:val="007F6E52"/>
    <w:rsid w:val="007F72FA"/>
    <w:rsid w:val="007F7A40"/>
    <w:rsid w:val="00806A06"/>
    <w:rsid w:val="0081689C"/>
    <w:rsid w:val="00853C6C"/>
    <w:rsid w:val="00857478"/>
    <w:rsid w:val="00857AF0"/>
    <w:rsid w:val="00863EA7"/>
    <w:rsid w:val="00865FE1"/>
    <w:rsid w:val="008664C5"/>
    <w:rsid w:val="00880C2F"/>
    <w:rsid w:val="00884043"/>
    <w:rsid w:val="00895CC6"/>
    <w:rsid w:val="00896F92"/>
    <w:rsid w:val="008A5B0B"/>
    <w:rsid w:val="008A71C4"/>
    <w:rsid w:val="008B044D"/>
    <w:rsid w:val="008B3536"/>
    <w:rsid w:val="008B7BBA"/>
    <w:rsid w:val="008B7BEA"/>
    <w:rsid w:val="008C0701"/>
    <w:rsid w:val="008C1533"/>
    <w:rsid w:val="008C41F4"/>
    <w:rsid w:val="008D5AAA"/>
    <w:rsid w:val="008E65ED"/>
    <w:rsid w:val="009018CC"/>
    <w:rsid w:val="0090510A"/>
    <w:rsid w:val="00905B44"/>
    <w:rsid w:val="00911F8F"/>
    <w:rsid w:val="009132FF"/>
    <w:rsid w:val="0091339F"/>
    <w:rsid w:val="00923465"/>
    <w:rsid w:val="009254A1"/>
    <w:rsid w:val="009305DA"/>
    <w:rsid w:val="00930C16"/>
    <w:rsid w:val="00934B0B"/>
    <w:rsid w:val="00937729"/>
    <w:rsid w:val="00946A24"/>
    <w:rsid w:val="009476CE"/>
    <w:rsid w:val="009513CC"/>
    <w:rsid w:val="00954399"/>
    <w:rsid w:val="009551A1"/>
    <w:rsid w:val="00967670"/>
    <w:rsid w:val="00967C00"/>
    <w:rsid w:val="00970E33"/>
    <w:rsid w:val="009763C0"/>
    <w:rsid w:val="00976A71"/>
    <w:rsid w:val="00976E92"/>
    <w:rsid w:val="0098157C"/>
    <w:rsid w:val="009901F3"/>
    <w:rsid w:val="00992897"/>
    <w:rsid w:val="009A0606"/>
    <w:rsid w:val="009A3A94"/>
    <w:rsid w:val="009A5A21"/>
    <w:rsid w:val="009A5B51"/>
    <w:rsid w:val="009B2664"/>
    <w:rsid w:val="009B3444"/>
    <w:rsid w:val="009B59CB"/>
    <w:rsid w:val="009B5A4D"/>
    <w:rsid w:val="009C411A"/>
    <w:rsid w:val="009C4DA1"/>
    <w:rsid w:val="009D1A66"/>
    <w:rsid w:val="009E3993"/>
    <w:rsid w:val="009E4CAF"/>
    <w:rsid w:val="009E744D"/>
    <w:rsid w:val="009E7BE0"/>
    <w:rsid w:val="009F6689"/>
    <w:rsid w:val="00A040FD"/>
    <w:rsid w:val="00A06605"/>
    <w:rsid w:val="00A1227F"/>
    <w:rsid w:val="00A2122A"/>
    <w:rsid w:val="00A32ECB"/>
    <w:rsid w:val="00A478FB"/>
    <w:rsid w:val="00A57DF9"/>
    <w:rsid w:val="00A61E19"/>
    <w:rsid w:val="00A62414"/>
    <w:rsid w:val="00A6383D"/>
    <w:rsid w:val="00A85CB2"/>
    <w:rsid w:val="00A93AA7"/>
    <w:rsid w:val="00A94356"/>
    <w:rsid w:val="00A94702"/>
    <w:rsid w:val="00A975F0"/>
    <w:rsid w:val="00AA08D3"/>
    <w:rsid w:val="00AA26C3"/>
    <w:rsid w:val="00AB5D6C"/>
    <w:rsid w:val="00AC5548"/>
    <w:rsid w:val="00AC5F1B"/>
    <w:rsid w:val="00AD0AE0"/>
    <w:rsid w:val="00AE0711"/>
    <w:rsid w:val="00AE091A"/>
    <w:rsid w:val="00AF0255"/>
    <w:rsid w:val="00AF126A"/>
    <w:rsid w:val="00AF27C1"/>
    <w:rsid w:val="00B0607D"/>
    <w:rsid w:val="00B10EF3"/>
    <w:rsid w:val="00B11359"/>
    <w:rsid w:val="00B154DD"/>
    <w:rsid w:val="00B16FC4"/>
    <w:rsid w:val="00B20454"/>
    <w:rsid w:val="00B24105"/>
    <w:rsid w:val="00B24598"/>
    <w:rsid w:val="00B44E16"/>
    <w:rsid w:val="00B4782A"/>
    <w:rsid w:val="00B52670"/>
    <w:rsid w:val="00B61950"/>
    <w:rsid w:val="00B646F4"/>
    <w:rsid w:val="00B64F84"/>
    <w:rsid w:val="00B65B95"/>
    <w:rsid w:val="00B71DC7"/>
    <w:rsid w:val="00B7283A"/>
    <w:rsid w:val="00B73904"/>
    <w:rsid w:val="00B77398"/>
    <w:rsid w:val="00B8328E"/>
    <w:rsid w:val="00B86446"/>
    <w:rsid w:val="00B97B10"/>
    <w:rsid w:val="00BA0366"/>
    <w:rsid w:val="00BA0AD4"/>
    <w:rsid w:val="00BA724B"/>
    <w:rsid w:val="00BC1FDA"/>
    <w:rsid w:val="00BC4FB2"/>
    <w:rsid w:val="00BC7066"/>
    <w:rsid w:val="00BD0B8E"/>
    <w:rsid w:val="00BD11A3"/>
    <w:rsid w:val="00BD20ED"/>
    <w:rsid w:val="00BD2A9F"/>
    <w:rsid w:val="00BE0F8D"/>
    <w:rsid w:val="00BE4B27"/>
    <w:rsid w:val="00BE6AD1"/>
    <w:rsid w:val="00BE7D53"/>
    <w:rsid w:val="00BF448D"/>
    <w:rsid w:val="00C0328E"/>
    <w:rsid w:val="00C112BC"/>
    <w:rsid w:val="00C12DBB"/>
    <w:rsid w:val="00C14932"/>
    <w:rsid w:val="00C150DE"/>
    <w:rsid w:val="00C20929"/>
    <w:rsid w:val="00C268CE"/>
    <w:rsid w:val="00C30955"/>
    <w:rsid w:val="00C31252"/>
    <w:rsid w:val="00C33358"/>
    <w:rsid w:val="00C35E5B"/>
    <w:rsid w:val="00C42982"/>
    <w:rsid w:val="00C567B8"/>
    <w:rsid w:val="00C6133C"/>
    <w:rsid w:val="00C6225C"/>
    <w:rsid w:val="00C67A66"/>
    <w:rsid w:val="00C7556A"/>
    <w:rsid w:val="00C7779A"/>
    <w:rsid w:val="00C82353"/>
    <w:rsid w:val="00C9130B"/>
    <w:rsid w:val="00C91BEF"/>
    <w:rsid w:val="00C92A19"/>
    <w:rsid w:val="00C93E9D"/>
    <w:rsid w:val="00C9513A"/>
    <w:rsid w:val="00C9584E"/>
    <w:rsid w:val="00CA3C75"/>
    <w:rsid w:val="00CB1F1B"/>
    <w:rsid w:val="00CB4E9C"/>
    <w:rsid w:val="00CB711A"/>
    <w:rsid w:val="00CC2027"/>
    <w:rsid w:val="00CD6FDE"/>
    <w:rsid w:val="00CF1836"/>
    <w:rsid w:val="00CF6EC1"/>
    <w:rsid w:val="00CF7385"/>
    <w:rsid w:val="00D014F5"/>
    <w:rsid w:val="00D05905"/>
    <w:rsid w:val="00D05D7A"/>
    <w:rsid w:val="00D1216F"/>
    <w:rsid w:val="00D15846"/>
    <w:rsid w:val="00D15CA4"/>
    <w:rsid w:val="00D163DA"/>
    <w:rsid w:val="00D16E4B"/>
    <w:rsid w:val="00D25589"/>
    <w:rsid w:val="00D25A0A"/>
    <w:rsid w:val="00D339BB"/>
    <w:rsid w:val="00D36BDA"/>
    <w:rsid w:val="00D41B70"/>
    <w:rsid w:val="00D4366A"/>
    <w:rsid w:val="00D4684E"/>
    <w:rsid w:val="00D4759C"/>
    <w:rsid w:val="00D508B7"/>
    <w:rsid w:val="00D70E2B"/>
    <w:rsid w:val="00D76576"/>
    <w:rsid w:val="00D80644"/>
    <w:rsid w:val="00D85F0D"/>
    <w:rsid w:val="00D87825"/>
    <w:rsid w:val="00D91213"/>
    <w:rsid w:val="00D9184C"/>
    <w:rsid w:val="00D92145"/>
    <w:rsid w:val="00D92FDB"/>
    <w:rsid w:val="00D943E0"/>
    <w:rsid w:val="00DA37C2"/>
    <w:rsid w:val="00DE3282"/>
    <w:rsid w:val="00E0105D"/>
    <w:rsid w:val="00E11B35"/>
    <w:rsid w:val="00E22FFE"/>
    <w:rsid w:val="00E27492"/>
    <w:rsid w:val="00E27CED"/>
    <w:rsid w:val="00E34E7D"/>
    <w:rsid w:val="00E35C7F"/>
    <w:rsid w:val="00E44B44"/>
    <w:rsid w:val="00E54CDC"/>
    <w:rsid w:val="00E737BE"/>
    <w:rsid w:val="00E90E81"/>
    <w:rsid w:val="00E914B5"/>
    <w:rsid w:val="00EA1207"/>
    <w:rsid w:val="00EA7C63"/>
    <w:rsid w:val="00EB6091"/>
    <w:rsid w:val="00EB6758"/>
    <w:rsid w:val="00EC0458"/>
    <w:rsid w:val="00EC267A"/>
    <w:rsid w:val="00EC390F"/>
    <w:rsid w:val="00ED1C8D"/>
    <w:rsid w:val="00ED3501"/>
    <w:rsid w:val="00ED517F"/>
    <w:rsid w:val="00EE0708"/>
    <w:rsid w:val="00EF24F3"/>
    <w:rsid w:val="00F0387B"/>
    <w:rsid w:val="00F11C16"/>
    <w:rsid w:val="00F22B61"/>
    <w:rsid w:val="00F23859"/>
    <w:rsid w:val="00F30CA6"/>
    <w:rsid w:val="00F31767"/>
    <w:rsid w:val="00F32639"/>
    <w:rsid w:val="00F32CBF"/>
    <w:rsid w:val="00F34C54"/>
    <w:rsid w:val="00F37ABA"/>
    <w:rsid w:val="00F4416C"/>
    <w:rsid w:val="00F50A89"/>
    <w:rsid w:val="00F51174"/>
    <w:rsid w:val="00F62E38"/>
    <w:rsid w:val="00F65FF7"/>
    <w:rsid w:val="00F671F1"/>
    <w:rsid w:val="00F70837"/>
    <w:rsid w:val="00F74A9C"/>
    <w:rsid w:val="00F91F54"/>
    <w:rsid w:val="00F92EE7"/>
    <w:rsid w:val="00F95885"/>
    <w:rsid w:val="00F96024"/>
    <w:rsid w:val="00F96962"/>
    <w:rsid w:val="00FA44C7"/>
    <w:rsid w:val="00FA77E4"/>
    <w:rsid w:val="00FB016D"/>
    <w:rsid w:val="00FC089C"/>
    <w:rsid w:val="00FC2FC5"/>
    <w:rsid w:val="00FC415E"/>
    <w:rsid w:val="00FD08A0"/>
    <w:rsid w:val="00FE1907"/>
    <w:rsid w:val="00FF03B0"/>
    <w:rsid w:val="00FF5C71"/>
    <w:rsid w:val="00FF6686"/>
    <w:rsid w:val="00FF7BBD"/>
    <w:rsid w:val="00FF7F4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07D52"/>
  <w15:chartTrackingRefBased/>
  <w15:docId w15:val="{0FDF0017-DF2F-45C1-8E40-5B6D4536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14003B"/>
    <w:rPr>
      <w:rFonts w:ascii="Segoe UI" w:hAnsi="Segoe UI" w:cs="Segoe UI"/>
      <w:sz w:val="18"/>
      <w:szCs w:val="18"/>
    </w:rPr>
  </w:style>
  <w:style w:type="paragraph" w:styleId="BalloonText">
    <w:name w:val="Balloon Text"/>
    <w:basedOn w:val="Normal"/>
    <w:link w:val="BalloonTextChar"/>
    <w:uiPriority w:val="99"/>
    <w:semiHidden/>
    <w:unhideWhenUsed/>
    <w:rsid w:val="0014003B"/>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14003B"/>
    <w:rPr>
      <w:rFonts w:ascii="Segoe UI" w:hAnsi="Segoe UI" w:cs="Segoe UI"/>
      <w:sz w:val="18"/>
      <w:szCs w:val="18"/>
    </w:rPr>
  </w:style>
  <w:style w:type="character" w:styleId="EndnoteReference">
    <w:name w:val="endnote reference"/>
    <w:uiPriority w:val="99"/>
    <w:rsid w:val="0014003B"/>
    <w:rPr>
      <w:vertAlign w:val="superscript"/>
    </w:rPr>
  </w:style>
  <w:style w:type="character" w:customStyle="1" w:styleId="st">
    <w:name w:val="st"/>
    <w:basedOn w:val="DefaultParagraphFont"/>
    <w:rsid w:val="0014003B"/>
  </w:style>
  <w:style w:type="paragraph" w:styleId="Caption">
    <w:name w:val="caption"/>
    <w:basedOn w:val="Normal"/>
    <w:next w:val="Normal"/>
    <w:uiPriority w:val="35"/>
    <w:unhideWhenUsed/>
    <w:qFormat/>
    <w:rsid w:val="0014003B"/>
    <w:pPr>
      <w:spacing w:after="200" w:line="240" w:lineRule="auto"/>
    </w:pPr>
    <w:rPr>
      <w:i/>
      <w:iCs/>
      <w:color w:val="44546A" w:themeColor="text2"/>
      <w:sz w:val="18"/>
      <w:szCs w:val="18"/>
    </w:rPr>
  </w:style>
  <w:style w:type="character" w:customStyle="1" w:styleId="bold">
    <w:name w:val="bold"/>
    <w:basedOn w:val="DefaultParagraphFont"/>
    <w:rsid w:val="0014003B"/>
  </w:style>
  <w:style w:type="character" w:styleId="Hyperlink">
    <w:name w:val="Hyperlink"/>
    <w:uiPriority w:val="99"/>
    <w:rsid w:val="0014003B"/>
    <w:rPr>
      <w:color w:val="0000FF"/>
      <w:u w:val="single"/>
    </w:rPr>
  </w:style>
  <w:style w:type="character" w:styleId="Strong">
    <w:name w:val="Strong"/>
    <w:uiPriority w:val="22"/>
    <w:qFormat/>
    <w:rsid w:val="0014003B"/>
    <w:rPr>
      <w:b/>
      <w:bCs/>
    </w:rPr>
  </w:style>
  <w:style w:type="paragraph" w:styleId="Header">
    <w:name w:val="header"/>
    <w:basedOn w:val="Normal"/>
    <w:link w:val="HeaderChar"/>
    <w:uiPriority w:val="99"/>
    <w:unhideWhenUsed/>
    <w:rsid w:val="001400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003B"/>
  </w:style>
  <w:style w:type="paragraph" w:styleId="Footer">
    <w:name w:val="footer"/>
    <w:basedOn w:val="Normal"/>
    <w:link w:val="FooterChar"/>
    <w:uiPriority w:val="99"/>
    <w:unhideWhenUsed/>
    <w:rsid w:val="001400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003B"/>
  </w:style>
  <w:style w:type="character" w:styleId="PlaceholderText">
    <w:name w:val="Placeholder Text"/>
    <w:basedOn w:val="DefaultParagraphFont"/>
    <w:uiPriority w:val="99"/>
    <w:semiHidden/>
    <w:rsid w:val="0014003B"/>
    <w:rPr>
      <w:color w:val="808080"/>
    </w:rPr>
  </w:style>
  <w:style w:type="paragraph" w:customStyle="1" w:styleId="Default">
    <w:name w:val="Default"/>
    <w:rsid w:val="0014003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6133C"/>
    <w:rPr>
      <w:sz w:val="16"/>
      <w:szCs w:val="16"/>
    </w:rPr>
  </w:style>
  <w:style w:type="paragraph" w:styleId="CommentText">
    <w:name w:val="annotation text"/>
    <w:basedOn w:val="Normal"/>
    <w:link w:val="CommentTextChar"/>
    <w:uiPriority w:val="99"/>
    <w:unhideWhenUsed/>
    <w:rsid w:val="00C6133C"/>
    <w:pPr>
      <w:spacing w:line="240" w:lineRule="auto"/>
    </w:pPr>
    <w:rPr>
      <w:sz w:val="20"/>
      <w:szCs w:val="20"/>
    </w:rPr>
  </w:style>
  <w:style w:type="character" w:customStyle="1" w:styleId="CommentTextChar">
    <w:name w:val="Comment Text Char"/>
    <w:basedOn w:val="DefaultParagraphFont"/>
    <w:link w:val="CommentText"/>
    <w:uiPriority w:val="99"/>
    <w:rsid w:val="00C6133C"/>
    <w:rPr>
      <w:sz w:val="20"/>
      <w:szCs w:val="20"/>
    </w:rPr>
  </w:style>
  <w:style w:type="paragraph" w:styleId="CommentSubject">
    <w:name w:val="annotation subject"/>
    <w:basedOn w:val="CommentText"/>
    <w:next w:val="CommentText"/>
    <w:link w:val="CommentSubjectChar"/>
    <w:uiPriority w:val="99"/>
    <w:semiHidden/>
    <w:unhideWhenUsed/>
    <w:rsid w:val="00C6133C"/>
    <w:rPr>
      <w:b/>
      <w:bCs/>
    </w:rPr>
  </w:style>
  <w:style w:type="character" w:customStyle="1" w:styleId="CommentSubjectChar">
    <w:name w:val="Comment Subject Char"/>
    <w:basedOn w:val="CommentTextChar"/>
    <w:link w:val="CommentSubject"/>
    <w:uiPriority w:val="99"/>
    <w:semiHidden/>
    <w:rsid w:val="00C6133C"/>
    <w:rPr>
      <w:b/>
      <w:bCs/>
      <w:sz w:val="20"/>
      <w:szCs w:val="20"/>
    </w:rPr>
  </w:style>
  <w:style w:type="character" w:customStyle="1" w:styleId="highlight">
    <w:name w:val="highlight"/>
    <w:basedOn w:val="DefaultParagraphFont"/>
    <w:rsid w:val="00D15846"/>
  </w:style>
  <w:style w:type="paragraph" w:styleId="ListParagraph">
    <w:name w:val="List Paragraph"/>
    <w:basedOn w:val="Normal"/>
    <w:uiPriority w:val="34"/>
    <w:qFormat/>
    <w:rsid w:val="006C25A8"/>
    <w:pPr>
      <w:ind w:left="720"/>
      <w:contextualSpacing/>
    </w:pPr>
  </w:style>
  <w:style w:type="paragraph" w:customStyle="1" w:styleId="Figure">
    <w:name w:val="Figure"/>
    <w:basedOn w:val="Caption"/>
    <w:qFormat/>
    <w:rsid w:val="00266DAC"/>
    <w:pPr>
      <w:suppressAutoHyphens/>
      <w:overflowPunct w:val="0"/>
    </w:pPr>
    <w:rPr>
      <w:rFonts w:ascii="Calibri" w:eastAsia="Calibri" w:hAnsi="Calibri" w:cs="KacstBook"/>
      <w:color w:val="44546A"/>
    </w:rPr>
  </w:style>
  <w:style w:type="paragraph" w:styleId="BodyText">
    <w:name w:val="Body Text"/>
    <w:basedOn w:val="Normal"/>
    <w:link w:val="BodyTextChar"/>
    <w:semiHidden/>
    <w:unhideWhenUsed/>
    <w:rsid w:val="004C0081"/>
    <w:pPr>
      <w:suppressAutoHyphens/>
      <w:spacing w:after="140" w:line="276" w:lineRule="auto"/>
    </w:pPr>
  </w:style>
  <w:style w:type="character" w:customStyle="1" w:styleId="BodyTextChar">
    <w:name w:val="Body Text Char"/>
    <w:basedOn w:val="DefaultParagraphFont"/>
    <w:link w:val="BodyText"/>
    <w:semiHidden/>
    <w:rsid w:val="004C0081"/>
  </w:style>
  <w:style w:type="paragraph" w:customStyle="1" w:styleId="TableContents">
    <w:name w:val="Table Contents"/>
    <w:basedOn w:val="Normal"/>
    <w:qFormat/>
    <w:rsid w:val="004C0081"/>
    <w:pPr>
      <w:suppressLineNumbers/>
      <w:suppressAutoHyphens/>
      <w:spacing w:line="256" w:lineRule="auto"/>
    </w:pPr>
  </w:style>
  <w:style w:type="paragraph" w:customStyle="1" w:styleId="FirstParagraph">
    <w:name w:val="First Paragraph"/>
    <w:basedOn w:val="BodyText"/>
    <w:next w:val="BodyText"/>
    <w:qFormat/>
    <w:rsid w:val="004C0081"/>
  </w:style>
  <w:style w:type="character" w:customStyle="1" w:styleId="Quotation">
    <w:name w:val="Quotation"/>
    <w:qFormat/>
    <w:rsid w:val="004C0081"/>
    <w:rPr>
      <w:i/>
      <w:iCs/>
    </w:rPr>
  </w:style>
  <w:style w:type="character" w:customStyle="1" w:styleId="StrongEmphasis">
    <w:name w:val="Strong Emphasis"/>
    <w:qFormat/>
    <w:rsid w:val="004C0081"/>
    <w:rPr>
      <w:b/>
      <w:bCs/>
    </w:rPr>
  </w:style>
  <w:style w:type="character" w:styleId="Emphasis">
    <w:name w:val="Emphasis"/>
    <w:basedOn w:val="DefaultParagraphFont"/>
    <w:qFormat/>
    <w:rsid w:val="004C0081"/>
    <w:rPr>
      <w:i/>
      <w:iCs/>
    </w:rPr>
  </w:style>
  <w:style w:type="paragraph" w:styleId="NormalWeb">
    <w:name w:val="Normal (Web)"/>
    <w:basedOn w:val="Normal"/>
    <w:uiPriority w:val="99"/>
    <w:semiHidden/>
    <w:unhideWhenUsed/>
    <w:rsid w:val="009E7BE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9109">
      <w:bodyDiv w:val="1"/>
      <w:marLeft w:val="0"/>
      <w:marRight w:val="0"/>
      <w:marTop w:val="0"/>
      <w:marBottom w:val="0"/>
      <w:divBdr>
        <w:top w:val="none" w:sz="0" w:space="0" w:color="auto"/>
        <w:left w:val="none" w:sz="0" w:space="0" w:color="auto"/>
        <w:bottom w:val="none" w:sz="0" w:space="0" w:color="auto"/>
        <w:right w:val="none" w:sz="0" w:space="0" w:color="auto"/>
      </w:divBdr>
    </w:div>
    <w:div w:id="135800793">
      <w:bodyDiv w:val="1"/>
      <w:marLeft w:val="0"/>
      <w:marRight w:val="0"/>
      <w:marTop w:val="0"/>
      <w:marBottom w:val="0"/>
      <w:divBdr>
        <w:top w:val="none" w:sz="0" w:space="0" w:color="auto"/>
        <w:left w:val="none" w:sz="0" w:space="0" w:color="auto"/>
        <w:bottom w:val="none" w:sz="0" w:space="0" w:color="auto"/>
        <w:right w:val="none" w:sz="0" w:space="0" w:color="auto"/>
      </w:divBdr>
    </w:div>
    <w:div w:id="66539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3F760-2983-46FA-A72B-583E26B1E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15760</Words>
  <Characters>99289</Characters>
  <Application>Microsoft Office Word</Application>
  <DocSecurity>0</DocSecurity>
  <Lines>827</Lines>
  <Paragraphs>229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FHI der MPG</Company>
  <LinksUpToDate>false</LinksUpToDate>
  <CharactersWithSpaces>114820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Vasileios Balos</dc:creator>
  <cp:keywords/>
  <dc:description/>
  <cp:lastModifiedBy>Mohsen Sajadi Hezaveh</cp:lastModifiedBy>
  <cp:revision>3</cp:revision>
  <cp:lastPrinted>2021-05-24T15:43:00Z</cp:lastPrinted>
  <dcterms:created xsi:type="dcterms:W3CDTF">2021-08-30T18:45:00Z</dcterms:created>
  <dcterms:modified xsi:type="dcterms:W3CDTF">2021-08-31T07:36:00Z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http://www.zotero.org/styles/applied-physics-letters</vt:lpwstr>
  </property>
  <property fmtid="{D5CDD505-2E9C-101B-9397-08002B2CF9AE}" pid="9" name="Mendeley Recent Style Name 3_1">
    <vt:lpwstr>Applied Physics Letters</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f0786f72-43d4-356c-a6a9-8687afc70407</vt:lpwstr>
  </property>
  <property fmtid="{D5CDD505-2E9C-101B-9397-08002B2CF9AE}" pid="24" name="Mendeley Citation Style_1">
    <vt:lpwstr>http://www.zotero.org/styles/nature</vt:lpwstr>
  </property>
</Properties>
</file>