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457" w:rsidRDefault="00B57457" w:rsidP="00B57457">
      <w:pPr>
        <w:spacing w:after="0" w:line="288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5A5C62">
        <w:rPr>
          <w:rFonts w:ascii="Times New Roman" w:hAnsi="Times New Roman"/>
          <w:b/>
          <w:i/>
          <w:sz w:val="20"/>
          <w:szCs w:val="20"/>
          <w:lang w:val="en-US"/>
        </w:rPr>
        <w:t>Table</w:t>
      </w:r>
      <w:r w:rsidRPr="00DF379A">
        <w:rPr>
          <w:rFonts w:ascii="Times New Roman" w:hAnsi="Times New Roman"/>
          <w:b/>
          <w:i/>
          <w:sz w:val="20"/>
          <w:szCs w:val="20"/>
          <w:lang w:val="en-US"/>
        </w:rPr>
        <w:t xml:space="preserve"> 1</w:t>
      </w:r>
      <w:r w:rsidRPr="00DF379A">
        <w:rPr>
          <w:rFonts w:ascii="Times New Roman" w:hAnsi="Times New Roman"/>
          <w:b/>
          <w:sz w:val="20"/>
          <w:szCs w:val="20"/>
          <w:lang w:val="en-US"/>
        </w:rPr>
        <w:t xml:space="preserve">. </w:t>
      </w:r>
      <w:r w:rsidRPr="005A5C62">
        <w:rPr>
          <w:rFonts w:ascii="Times New Roman" w:hAnsi="Times New Roman"/>
          <w:b/>
          <w:sz w:val="20"/>
          <w:szCs w:val="20"/>
          <w:lang w:val="en-US"/>
        </w:rPr>
        <w:t xml:space="preserve">General characteristics of the </w:t>
      </w:r>
      <w:r>
        <w:rPr>
          <w:rFonts w:ascii="Times New Roman" w:hAnsi="Times New Roman"/>
          <w:b/>
          <w:sz w:val="20"/>
          <w:szCs w:val="20"/>
          <w:lang w:val="en-US"/>
        </w:rPr>
        <w:t xml:space="preserve">study </w:t>
      </w:r>
      <w:r w:rsidRPr="005A5C62">
        <w:rPr>
          <w:rFonts w:ascii="Times New Roman" w:hAnsi="Times New Roman"/>
          <w:b/>
          <w:sz w:val="20"/>
          <w:szCs w:val="20"/>
          <w:lang w:val="en-US"/>
        </w:rPr>
        <w:t>group</w:t>
      </w:r>
      <w:r>
        <w:rPr>
          <w:rFonts w:ascii="Times New Roman" w:hAnsi="Times New Roman"/>
          <w:b/>
          <w:sz w:val="20"/>
          <w:szCs w:val="20"/>
          <w:lang w:val="en-US"/>
        </w:rPr>
        <w:t>, M (SD)</w:t>
      </w:r>
    </w:p>
    <w:p w:rsidR="00B57457" w:rsidRPr="00B57457" w:rsidRDefault="00B57457" w:rsidP="00B57457">
      <w:pPr>
        <w:spacing w:after="0" w:line="288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0"/>
        <w:gridCol w:w="458"/>
        <w:gridCol w:w="1862"/>
        <w:gridCol w:w="1217"/>
        <w:gridCol w:w="1217"/>
        <w:gridCol w:w="1181"/>
      </w:tblGrid>
      <w:tr w:rsidR="00B57457" w:rsidRPr="00CF520C" w:rsidTr="00825D2D">
        <w:trPr>
          <w:trHeight w:val="635"/>
        </w:trPr>
        <w:tc>
          <w:tcPr>
            <w:tcW w:w="1825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Age category</w:t>
            </w:r>
          </w:p>
        </w:tc>
        <w:tc>
          <w:tcPr>
            <w:tcW w:w="245" w:type="pct"/>
            <w:vAlign w:val="center"/>
          </w:tcPr>
          <w:p w:rsidR="00B57457" w:rsidRPr="00CF520C" w:rsidRDefault="00B57457" w:rsidP="00825D2D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Sex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Number of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subjects</w:t>
            </w:r>
          </w:p>
        </w:tc>
        <w:tc>
          <w:tcPr>
            <w:tcW w:w="651" w:type="pct"/>
            <w:vAlign w:val="center"/>
          </w:tcPr>
          <w:p w:rsidR="00B57457" w:rsidRPr="00CF520C" w:rsidRDefault="00B57457" w:rsidP="00825D2D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BH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cm</w:t>
            </w:r>
          </w:p>
        </w:tc>
        <w:tc>
          <w:tcPr>
            <w:tcW w:w="651" w:type="pct"/>
            <w:vAlign w:val="center"/>
          </w:tcPr>
          <w:p w:rsidR="00B57457" w:rsidRPr="00CF520C" w:rsidRDefault="00B57457" w:rsidP="00825D2D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BW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kg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BMI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kg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/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CF520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B57457" w:rsidRPr="00CF520C" w:rsidTr="00825D2D">
        <w:trPr>
          <w:trHeight w:val="635"/>
        </w:trPr>
        <w:tc>
          <w:tcPr>
            <w:tcW w:w="1825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First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childhood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 (4-7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.о.)</w:t>
            </w:r>
          </w:p>
        </w:tc>
        <w:tc>
          <w:tcPr>
            <w:tcW w:w="245" w:type="pct"/>
            <w:vAlign w:val="center"/>
          </w:tcPr>
          <w:p w:rsidR="00B57457" w:rsidRPr="00E4127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1" w:name="OLE_LINK4"/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bookmarkEnd w:id="1"/>
          </w:p>
        </w:tc>
        <w:tc>
          <w:tcPr>
            <w:tcW w:w="996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119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3 (7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8)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4 (4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1)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6 (1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7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  <w:tr w:rsidR="00B57457" w:rsidRPr="00CF520C" w:rsidTr="00825D2D">
        <w:trPr>
          <w:trHeight w:val="635"/>
        </w:trPr>
        <w:tc>
          <w:tcPr>
            <w:tcW w:w="1825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First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childhood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 (4-7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.о.)</w:t>
            </w:r>
          </w:p>
        </w:tc>
        <w:tc>
          <w:tcPr>
            <w:tcW w:w="245" w:type="pct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121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5 (8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3)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4 (4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4)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 (1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4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  <w:tr w:rsidR="00B57457" w:rsidRPr="00CF520C" w:rsidTr="00825D2D">
        <w:trPr>
          <w:trHeight w:val="635"/>
        </w:trPr>
        <w:tc>
          <w:tcPr>
            <w:tcW w:w="1825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Second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childhood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 (8-11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.о.)</w:t>
            </w:r>
          </w:p>
        </w:tc>
        <w:tc>
          <w:tcPr>
            <w:tcW w:w="245" w:type="pct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139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9 (8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7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3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9*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 (7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7)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6* (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3)</w:t>
            </w:r>
          </w:p>
        </w:tc>
      </w:tr>
      <w:tr w:rsidR="00B57457" w:rsidRPr="00CF520C" w:rsidTr="00825D2D">
        <w:trPr>
          <w:trHeight w:val="635"/>
        </w:trPr>
        <w:tc>
          <w:tcPr>
            <w:tcW w:w="1825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Second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childhood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 (8-12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.о.)</w:t>
            </w:r>
          </w:p>
        </w:tc>
        <w:tc>
          <w:tcPr>
            <w:tcW w:w="245" w:type="pct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319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141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1 (10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4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5 (10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0)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5 (2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7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  <w:tr w:rsidR="00B57457" w:rsidRPr="00CF520C" w:rsidTr="00825D2D">
        <w:trPr>
          <w:trHeight w:val="635"/>
        </w:trPr>
        <w:tc>
          <w:tcPr>
            <w:tcW w:w="1825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Adolescent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age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 (12-15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.о.)</w:t>
            </w:r>
          </w:p>
        </w:tc>
        <w:tc>
          <w:tcPr>
            <w:tcW w:w="245" w:type="pct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159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1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 (8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2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6* (11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3)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8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 (3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5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  <w:tr w:rsidR="00B57457" w:rsidRPr="00CF520C" w:rsidTr="00825D2D">
        <w:trPr>
          <w:trHeight w:val="635"/>
        </w:trPr>
        <w:tc>
          <w:tcPr>
            <w:tcW w:w="1825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Adolescent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age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 (13-16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.о.)</w:t>
            </w:r>
          </w:p>
        </w:tc>
        <w:tc>
          <w:tcPr>
            <w:tcW w:w="245" w:type="pct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562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172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4 (10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9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8 (13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4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3 (3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7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  <w:tr w:rsidR="00B57457" w:rsidRPr="00CF520C" w:rsidTr="00825D2D">
        <w:trPr>
          <w:trHeight w:val="635"/>
        </w:trPr>
        <w:tc>
          <w:tcPr>
            <w:tcW w:w="1825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Youth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age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 (16-20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.о.)</w:t>
            </w:r>
          </w:p>
        </w:tc>
        <w:tc>
          <w:tcPr>
            <w:tcW w:w="245" w:type="pct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165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8 (6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4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)*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6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 (7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7)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3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 (2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5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  <w:tr w:rsidR="00B57457" w:rsidRPr="00CF520C" w:rsidTr="00825D2D">
        <w:trPr>
          <w:trHeight w:val="635"/>
        </w:trPr>
        <w:tc>
          <w:tcPr>
            <w:tcW w:w="1825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Youth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age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 (17-21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.о.)</w:t>
            </w:r>
          </w:p>
        </w:tc>
        <w:tc>
          <w:tcPr>
            <w:tcW w:w="245" w:type="pct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181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1 (7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0)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4 (12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7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9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</w:tr>
      <w:tr w:rsidR="00B57457" w:rsidRPr="00CF520C" w:rsidTr="00825D2D">
        <w:trPr>
          <w:trHeight w:val="635"/>
        </w:trPr>
        <w:tc>
          <w:tcPr>
            <w:tcW w:w="1825" w:type="pct"/>
            <w:shd w:val="clear" w:color="auto" w:fill="auto"/>
            <w:vAlign w:val="center"/>
          </w:tcPr>
          <w:p w:rsidR="00B57457" w:rsidRPr="00E4127C" w:rsidRDefault="00B57457" w:rsidP="00825D2D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Mature</w:t>
            </w:r>
            <w:r w:rsidRPr="00E4127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age</w:t>
            </w:r>
            <w:r w:rsidRPr="00E4127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1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st</w:t>
            </w:r>
            <w:r w:rsidRPr="00E4127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period</w:t>
            </w:r>
            <w:r w:rsidRPr="00E4127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(21-35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E4127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о</w:t>
            </w:r>
            <w:r w:rsidRPr="00E4127C">
              <w:rPr>
                <w:rFonts w:ascii="Times New Roman" w:hAnsi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245" w:type="pct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431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165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0*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9)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8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 (9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7)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9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* (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0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  <w:tr w:rsidR="00B57457" w:rsidRPr="00CF520C" w:rsidTr="00825D2D">
        <w:trPr>
          <w:trHeight w:val="635"/>
        </w:trPr>
        <w:tc>
          <w:tcPr>
            <w:tcW w:w="1825" w:type="pct"/>
            <w:shd w:val="clear" w:color="auto" w:fill="auto"/>
            <w:vAlign w:val="center"/>
          </w:tcPr>
          <w:p w:rsidR="00B57457" w:rsidRPr="00E4127C" w:rsidRDefault="00B57457" w:rsidP="00825D2D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Mature</w:t>
            </w:r>
            <w:r w:rsidRPr="00E4127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age</w:t>
            </w:r>
            <w:r w:rsidRPr="00E4127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1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st</w:t>
            </w:r>
            <w:r w:rsidRPr="00E4127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period</w:t>
            </w:r>
            <w:r w:rsidRPr="00E4127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(22-35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E4127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о</w:t>
            </w:r>
            <w:r w:rsidRPr="00E4127C">
              <w:rPr>
                <w:rFonts w:ascii="Times New Roman" w:hAnsi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245" w:type="pct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413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179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6 (7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3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5 (12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8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9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3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  <w:tr w:rsidR="00B57457" w:rsidRPr="00CF520C" w:rsidTr="00825D2D">
        <w:trPr>
          <w:trHeight w:val="635"/>
        </w:trPr>
        <w:tc>
          <w:tcPr>
            <w:tcW w:w="1825" w:type="pct"/>
            <w:shd w:val="clear" w:color="auto" w:fill="auto"/>
            <w:vAlign w:val="center"/>
          </w:tcPr>
          <w:p w:rsidR="00B57457" w:rsidRPr="00E4127C" w:rsidRDefault="00B57457" w:rsidP="00825D2D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Mature</w:t>
            </w:r>
            <w:r w:rsidRPr="00E4127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age</w:t>
            </w:r>
            <w:r w:rsidRPr="00E4127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2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E4127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period</w:t>
            </w:r>
            <w:r w:rsidRPr="00E4127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(36-55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E4127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о</w:t>
            </w:r>
            <w:r w:rsidRPr="00E4127C">
              <w:rPr>
                <w:rFonts w:ascii="Times New Roman" w:hAnsi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245" w:type="pct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282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165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2*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 (6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1)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9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 (11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4)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4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* (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1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  <w:tr w:rsidR="00B57457" w:rsidRPr="00CF520C" w:rsidTr="00825D2D">
        <w:trPr>
          <w:trHeight w:val="635"/>
        </w:trPr>
        <w:tc>
          <w:tcPr>
            <w:tcW w:w="1825" w:type="pct"/>
            <w:shd w:val="clear" w:color="auto" w:fill="auto"/>
            <w:vAlign w:val="center"/>
          </w:tcPr>
          <w:p w:rsidR="00B57457" w:rsidRPr="00E4127C" w:rsidRDefault="00B57457" w:rsidP="00825D2D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Mature</w:t>
            </w:r>
            <w:r w:rsidRPr="00E4127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age</w:t>
            </w:r>
            <w:r w:rsidRPr="00E4127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2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E4127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period</w:t>
            </w:r>
            <w:r w:rsidRPr="00E4127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(36-60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E4127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о</w:t>
            </w:r>
            <w:r w:rsidRPr="00E4127C">
              <w:rPr>
                <w:rFonts w:ascii="Times New Roman" w:hAnsi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245" w:type="pct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178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4 (6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6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83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9 (12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7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3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5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  <w:tr w:rsidR="00B57457" w:rsidRPr="00E5278F" w:rsidTr="00825D2D">
        <w:trPr>
          <w:trHeight w:val="635"/>
        </w:trPr>
        <w:tc>
          <w:tcPr>
            <w:tcW w:w="1825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Elderly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age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 (56-74 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.о.)</w:t>
            </w:r>
          </w:p>
        </w:tc>
        <w:tc>
          <w:tcPr>
            <w:tcW w:w="245" w:type="pct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1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2)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72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9)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B57457" w:rsidRPr="00CF520C" w:rsidRDefault="00B57457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20C">
              <w:rPr>
                <w:rFonts w:ascii="Times New Roman" w:hAnsi="Times New Roman"/>
                <w:sz w:val="20"/>
                <w:szCs w:val="20"/>
              </w:rPr>
              <w:t>2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</w:rPr>
              <w:t>0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F520C">
              <w:rPr>
                <w:rFonts w:ascii="Times New Roman" w:hAnsi="Times New Roman"/>
                <w:sz w:val="20"/>
                <w:szCs w:val="20"/>
                <w:lang w:val="en-US"/>
              </w:rPr>
              <w:t>3)</w:t>
            </w:r>
          </w:p>
        </w:tc>
      </w:tr>
    </w:tbl>
    <w:p w:rsidR="00B57457" w:rsidRPr="00CF520C" w:rsidRDefault="00B57457" w:rsidP="00B57457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CF520C">
        <w:rPr>
          <w:rFonts w:ascii="Times New Roman" w:hAnsi="Times New Roman"/>
          <w:i/>
          <w:sz w:val="20"/>
          <w:szCs w:val="20"/>
          <w:lang w:val="en-US"/>
        </w:rPr>
        <w:t>Designations</w:t>
      </w:r>
      <w:r w:rsidRPr="00CF520C">
        <w:rPr>
          <w:rFonts w:ascii="Times New Roman" w:hAnsi="Times New Roman"/>
          <w:sz w:val="20"/>
          <w:szCs w:val="20"/>
          <w:lang w:val="en-US"/>
        </w:rPr>
        <w:t xml:space="preserve">: </w:t>
      </w:r>
      <w:r>
        <w:rPr>
          <w:rFonts w:ascii="Times New Roman" w:hAnsi="Times New Roman"/>
          <w:sz w:val="20"/>
          <w:szCs w:val="20"/>
          <w:lang w:val="en-US"/>
        </w:rPr>
        <w:t xml:space="preserve">BH </w:t>
      </w:r>
      <w:r w:rsidRPr="00CF520C">
        <w:rPr>
          <w:rFonts w:ascii="Times New Roman" w:hAnsi="Times New Roman"/>
          <w:sz w:val="20"/>
          <w:szCs w:val="20"/>
          <w:lang w:val="en-US"/>
        </w:rPr>
        <w:t xml:space="preserve">– body height, </w:t>
      </w:r>
      <w:r>
        <w:rPr>
          <w:rFonts w:ascii="Times New Roman" w:hAnsi="Times New Roman"/>
          <w:sz w:val="20"/>
          <w:szCs w:val="20"/>
          <w:lang w:val="en-US"/>
        </w:rPr>
        <w:t>BW</w:t>
      </w:r>
      <w:r w:rsidRPr="00CF520C">
        <w:rPr>
          <w:rFonts w:ascii="Times New Roman" w:hAnsi="Times New Roman"/>
          <w:sz w:val="20"/>
          <w:szCs w:val="20"/>
          <w:lang w:val="en-US"/>
        </w:rPr>
        <w:t xml:space="preserve"> – body weight, BMI – body mass index, M – mean, SD – standard deviation.</w:t>
      </w:r>
    </w:p>
    <w:p w:rsidR="00B57457" w:rsidRDefault="00B57457" w:rsidP="00B57457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CF520C">
        <w:rPr>
          <w:rFonts w:ascii="Times New Roman" w:hAnsi="Times New Roman"/>
          <w:sz w:val="20"/>
          <w:szCs w:val="20"/>
          <w:lang w:val="en-US"/>
        </w:rPr>
        <w:t>*- Significant sex differences in the considered age subgroup (p&lt;0.05).</w:t>
      </w:r>
    </w:p>
    <w:p w:rsidR="00615DED" w:rsidRPr="00B57457" w:rsidRDefault="00615DED">
      <w:pPr>
        <w:rPr>
          <w:lang w:val="en-US"/>
        </w:rPr>
      </w:pPr>
    </w:p>
    <w:sectPr w:rsidR="00615DED" w:rsidRPr="00B57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CF"/>
    <w:rsid w:val="00615DED"/>
    <w:rsid w:val="00650C75"/>
    <w:rsid w:val="00801D70"/>
    <w:rsid w:val="008901CF"/>
    <w:rsid w:val="00B5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0583"/>
  <w15:chartTrackingRefBased/>
  <w15:docId w15:val="{61090129-5DA5-476A-8B16-42E21304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4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2026-01-16T07:49:00Z</dcterms:created>
  <dcterms:modified xsi:type="dcterms:W3CDTF">2026-01-16T08:05:00Z</dcterms:modified>
</cp:coreProperties>
</file>