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Supplementary material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272405"/>
            <wp:effectExtent l="0" t="0" r="10795" b="10795"/>
            <wp:docPr id="6" name="图片 6" descr="lasso_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sso_cv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S1-1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Cross-validation plot for the regularization parameter </w:t>
      </w:r>
      <w:r>
        <w:rPr>
          <w:rFonts w:ascii="Times New Roman" w:hAnsi="Times New Roman" w:cs="Times New Roman"/>
          <w:szCs w:val="21"/>
        </w:rPr>
        <w:t>(λ)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of the current dataset.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Tuning parameter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szCs w:val="21"/>
        </w:rPr>
        <w:t>(λ)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selection in the LASSO model used a 20-fold cross-validation via minimum binomial deviance criteria. The dotted vertical lines indicate the optimal values selected by the minimum deviance and the 1 standard error of the minimum deviance (1-SE criterion).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272405"/>
            <wp:effectExtent l="0" t="0" r="10795" b="10795"/>
            <wp:docPr id="7" name="图片 7" descr="lasso_lambda_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sso_lambda_path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S1</w:t>
      </w:r>
      <w:r>
        <w:rPr>
          <w:rFonts w:ascii="Times New Roman" w:hAnsi="Times New Roman" w:cs="Times New Roman"/>
          <w:b/>
          <w:bCs/>
          <w:szCs w:val="21"/>
        </w:rPr>
        <w:t>-2.</w:t>
      </w:r>
      <w:r>
        <w:rPr>
          <w:rFonts w:ascii="Times New Roman" w:hAnsi="Times New Roman" w:cs="Times New Roman"/>
          <w:szCs w:val="21"/>
        </w:rPr>
        <w:t xml:space="preserve"> Plots for LASSO regression coefficients over different values of the </w:t>
      </w:r>
      <w:bookmarkStart w:id="0" w:name="_Hlk100875865"/>
      <w:r>
        <w:rPr>
          <w:rFonts w:ascii="Times New Roman" w:hAnsi="Times New Roman" w:cs="Times New Roman"/>
          <w:szCs w:val="21"/>
        </w:rPr>
        <w:t>penalty parameter</w:t>
      </w:r>
      <w:bookmarkEnd w:id="0"/>
      <w:r>
        <w:rPr>
          <w:rFonts w:ascii="Times New Roman" w:hAnsi="Times New Roman" w:cs="Times New Roman"/>
          <w:szCs w:val="21"/>
        </w:rPr>
        <w:t xml:space="preserve"> (λ).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3055" cy="3034030"/>
            <wp:effectExtent l="0" t="0" r="4445" b="1270"/>
            <wp:docPr id="1" name="图片 1" descr="Figure 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3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eastAsiaTheme="minorEastAsia"/>
          <w:lang w:eastAsia="zh-CN"/>
        </w:rPr>
      </w:pPr>
      <w:r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/>
        </w:rPr>
        <w:t>2</w:t>
      </w:r>
      <w:r>
        <w:rPr>
          <w:rFonts w:ascii="Times New Roman" w:hAnsi="Times New Roman" w:eastAsia="宋体" w:cs="Times New Roman"/>
          <w:b/>
          <w:bCs/>
          <w:kern w:val="0"/>
          <w:szCs w:val="21"/>
        </w:rPr>
        <w:t>-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/>
        </w:rPr>
        <w:t>1</w:t>
      </w:r>
      <w:r>
        <w:rPr>
          <w:rFonts w:ascii="Times New Roman" w:hAnsi="Times New Roman" w:eastAsia="宋体" w:cs="Times New Roman"/>
          <w:b/>
          <w:bCs/>
          <w:kern w:val="0"/>
          <w:szCs w:val="21"/>
        </w:rPr>
        <w:t>.</w:t>
      </w:r>
      <w:r>
        <w:rPr>
          <w:rFonts w:ascii="Times New Roman" w:hAnsi="Times New Roman" w:eastAsia="宋体" w:cs="Times New Roman"/>
          <w:kern w:val="0"/>
          <w:szCs w:val="21"/>
        </w:rPr>
        <w:t xml:space="preserve"> Calibration </w:t>
      </w:r>
      <w:r>
        <w:rPr>
          <w:rFonts w:hint="eastAsia" w:ascii="Times New Roman" w:hAnsi="Times New Roman" w:eastAsia="宋体" w:cs="Times New Roman"/>
          <w:kern w:val="0"/>
          <w:szCs w:val="21"/>
        </w:rPr>
        <w:t>p</w:t>
      </w:r>
      <w:r>
        <w:rPr>
          <w:rFonts w:ascii="Times New Roman" w:hAnsi="Times New Roman" w:eastAsia="宋体" w:cs="Times New Roman"/>
          <w:kern w:val="0"/>
          <w:szCs w:val="21"/>
        </w:rPr>
        <w:t xml:space="preserve">lots of logistic regression (A), </w:t>
      </w:r>
      <w:r>
        <w:rPr>
          <w:rFonts w:hint="eastAsia" w:ascii="Times New Roman" w:hAnsi="Times New Roman" w:eastAsia="宋体" w:cs="Times New Roman"/>
          <w:kern w:val="0"/>
          <w:szCs w:val="21"/>
        </w:rPr>
        <w:t>k-nearest neighbors</w:t>
      </w:r>
      <w:r>
        <w:rPr>
          <w:rFonts w:ascii="Times New Roman" w:hAnsi="Times New Roman" w:eastAsia="宋体" w:cs="Times New Roman"/>
          <w:kern w:val="0"/>
          <w:szCs w:val="21"/>
        </w:rPr>
        <w:t xml:space="preserve"> (B), support vector machine (C)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,</w:t>
      </w:r>
      <w:r>
        <w:rPr>
          <w:rFonts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</w:rPr>
        <w:t>random forest</w:t>
      </w:r>
      <w:r>
        <w:rPr>
          <w:rFonts w:ascii="Times New Roman" w:hAnsi="Times New Roman" w:eastAsia="宋体" w:cs="Times New Roman"/>
          <w:kern w:val="0"/>
          <w:szCs w:val="21"/>
        </w:rPr>
        <w:t xml:space="preserve"> (D)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, </w:t>
      </w:r>
      <w:r>
        <w:rPr>
          <w:rFonts w:hint="eastAsia" w:ascii="Times New Roman" w:hAnsi="Times New Roman" w:eastAsia="宋体" w:cs="Times New Roman"/>
          <w:kern w:val="0"/>
          <w:szCs w:val="21"/>
        </w:rPr>
        <w:t>gradient boosting machine</w:t>
      </w:r>
      <w:r>
        <w:rPr>
          <w:rFonts w:ascii="Times New Roman" w:hAnsi="Times New Roman" w:eastAsia="宋体" w:cs="Times New Roman"/>
          <w:kern w:val="0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E</w:t>
      </w:r>
      <w:r>
        <w:rPr>
          <w:rFonts w:ascii="Times New Roman" w:hAnsi="Times New Roman" w:eastAsia="宋体" w:cs="Times New Roman"/>
          <w:kern w:val="0"/>
          <w:szCs w:val="21"/>
        </w:rPr>
        <w:t>)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 and </w:t>
      </w:r>
      <w:r>
        <w:rPr>
          <w:rFonts w:hint="eastAsia" w:ascii="Times New Roman" w:hAnsi="Times New Roman" w:eastAsia="宋体" w:cs="Times New Roman"/>
          <w:kern w:val="0"/>
          <w:szCs w:val="21"/>
        </w:rPr>
        <w:t>light gradient boosting machine</w:t>
      </w:r>
      <w:r>
        <w:rPr>
          <w:rFonts w:ascii="Times New Roman" w:hAnsi="Times New Roman" w:eastAsia="宋体" w:cs="Times New Roman"/>
          <w:kern w:val="0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F</w:t>
      </w:r>
      <w:r>
        <w:rPr>
          <w:rFonts w:ascii="Times New Roman" w:hAnsi="Times New Roman" w:eastAsia="宋体" w:cs="Times New Roman"/>
          <w:kern w:val="0"/>
          <w:szCs w:val="21"/>
        </w:rPr>
        <w:t xml:space="preserve">) prediction models for </w:t>
      </w:r>
      <w:r>
        <w:rPr>
          <w:rFonts w:hint="eastAsia" w:ascii="Times New Roman" w:hAnsi="Times New Roman" w:cs="Times New Roman"/>
          <w:szCs w:val="21"/>
        </w:rPr>
        <w:t>predicting 5-year major adverse cardiovascular events (MACE) in patients with coronary artery disease</w:t>
      </w:r>
      <w:r>
        <w:rPr>
          <w:rFonts w:ascii="Times New Roman" w:hAnsi="Times New Roman" w:eastAsia="宋体" w:cs="Times New Roman"/>
          <w:kern w:val="0"/>
          <w:szCs w:val="21"/>
        </w:rPr>
        <w:t xml:space="preserve"> in the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training</w:t>
      </w:r>
      <w:r>
        <w:rPr>
          <w:rFonts w:ascii="Times New Roman" w:hAnsi="Times New Roman" w:eastAsia="宋体" w:cs="Times New Roman"/>
          <w:kern w:val="0"/>
          <w:szCs w:val="21"/>
        </w:rPr>
        <w:t xml:space="preserve"> cohort</w:t>
      </w:r>
      <w:r>
        <w:rPr>
          <w:rFonts w:hint="eastAsia" w:ascii="Times New Roman" w:hAnsi="Times New Roman" w:eastAsia="宋体" w:cs="Times New Roman"/>
          <w:kern w:val="0"/>
          <w:szCs w:val="21"/>
        </w:rPr>
        <w:t>.</w:t>
      </w:r>
      <w:r>
        <w:rPr>
          <w:rFonts w:ascii="Times New Roman" w:hAnsi="Times New Roman" w:eastAsia="宋体" w:cs="Times New Roman"/>
          <w:kern w:val="0"/>
          <w:szCs w:val="21"/>
        </w:rPr>
        <w:t xml:space="preserve"> The y-axis represents the actual </w:t>
      </w:r>
      <w:r>
        <w:rPr>
          <w:rFonts w:hint="eastAsia" w:ascii="Times New Roman" w:hAnsi="Times New Roman" w:cs="Times New Roman"/>
          <w:szCs w:val="21"/>
        </w:rPr>
        <w:t>5-year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MACE</w:t>
      </w:r>
      <w:r>
        <w:rPr>
          <w:rFonts w:ascii="Times New Roman" w:hAnsi="Times New Roman" w:eastAsia="宋体" w:cs="Times New Roman"/>
          <w:kern w:val="0"/>
          <w:szCs w:val="21"/>
        </w:rPr>
        <w:t xml:space="preserve"> rate. The x-axis represents the predicted </w:t>
      </w:r>
      <w:r>
        <w:rPr>
          <w:rFonts w:hint="eastAsia" w:ascii="Times New Roman" w:hAnsi="Times New Roman" w:cs="Times New Roman"/>
          <w:szCs w:val="21"/>
        </w:rPr>
        <w:t>5-year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MACE</w:t>
      </w:r>
      <w:r>
        <w:rPr>
          <w:rFonts w:ascii="Times New Roman" w:hAnsi="Times New Roman" w:eastAsia="宋体" w:cs="Times New Roman"/>
          <w:kern w:val="0"/>
          <w:szCs w:val="21"/>
        </w:rPr>
        <w:t xml:space="preserve"> risk. The diagonal dotted line represents a perfect prediction by an ideal model. The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black</w:t>
      </w:r>
      <w:r>
        <w:rPr>
          <w:rFonts w:ascii="Times New Roman" w:hAnsi="Times New Roman" w:eastAsia="宋体" w:cs="Times New Roman"/>
          <w:kern w:val="0"/>
          <w:szCs w:val="21"/>
        </w:rPr>
        <w:t xml:space="preserve"> solid line represents the performance of the prediction models, of which a closer fit to the diagonal dotted line represents a better prediction.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4170" cy="3051810"/>
            <wp:effectExtent l="0" t="0" r="11430" b="8890"/>
            <wp:docPr id="2" name="图片 2" descr="Figure 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3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eastAsiaTheme="minorEastAsia"/>
          <w:lang w:eastAsia="zh-CN"/>
        </w:rPr>
      </w:pPr>
      <w:r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/>
        </w:rPr>
        <w:t>2</w:t>
      </w:r>
      <w:r>
        <w:rPr>
          <w:rFonts w:ascii="Times New Roman" w:hAnsi="Times New Roman" w:eastAsia="宋体" w:cs="Times New Roman"/>
          <w:b/>
          <w:bCs/>
          <w:kern w:val="0"/>
          <w:szCs w:val="21"/>
        </w:rPr>
        <w:t>-2.</w:t>
      </w:r>
      <w:r>
        <w:rPr>
          <w:rFonts w:ascii="Times New Roman" w:hAnsi="Times New Roman" w:eastAsia="宋体" w:cs="Times New Roman"/>
          <w:kern w:val="0"/>
          <w:szCs w:val="21"/>
        </w:rPr>
        <w:t xml:space="preserve"> Calibration </w:t>
      </w:r>
      <w:r>
        <w:rPr>
          <w:rFonts w:hint="eastAsia" w:ascii="Times New Roman" w:hAnsi="Times New Roman" w:eastAsia="宋体" w:cs="Times New Roman"/>
          <w:kern w:val="0"/>
          <w:szCs w:val="21"/>
        </w:rPr>
        <w:t>p</w:t>
      </w:r>
      <w:r>
        <w:rPr>
          <w:rFonts w:ascii="Times New Roman" w:hAnsi="Times New Roman" w:eastAsia="宋体" w:cs="Times New Roman"/>
          <w:kern w:val="0"/>
          <w:szCs w:val="21"/>
        </w:rPr>
        <w:t xml:space="preserve">lots of logistic regression (A), </w:t>
      </w:r>
      <w:r>
        <w:rPr>
          <w:rFonts w:hint="eastAsia" w:ascii="Times New Roman" w:hAnsi="Times New Roman" w:eastAsia="宋体" w:cs="Times New Roman"/>
          <w:kern w:val="0"/>
          <w:szCs w:val="21"/>
        </w:rPr>
        <w:t>k-nearest neighbors</w:t>
      </w:r>
      <w:r>
        <w:rPr>
          <w:rFonts w:ascii="Times New Roman" w:hAnsi="Times New Roman" w:eastAsia="宋体" w:cs="Times New Roman"/>
          <w:kern w:val="0"/>
          <w:szCs w:val="21"/>
        </w:rPr>
        <w:t xml:space="preserve"> (B), support vector machine (C)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,</w:t>
      </w:r>
      <w:r>
        <w:rPr>
          <w:rFonts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</w:rPr>
        <w:t>random forest</w:t>
      </w:r>
      <w:r>
        <w:rPr>
          <w:rFonts w:ascii="Times New Roman" w:hAnsi="Times New Roman" w:eastAsia="宋体" w:cs="Times New Roman"/>
          <w:kern w:val="0"/>
          <w:szCs w:val="21"/>
        </w:rPr>
        <w:t xml:space="preserve"> (D)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, </w:t>
      </w:r>
      <w:r>
        <w:rPr>
          <w:rFonts w:hint="eastAsia" w:ascii="Times New Roman" w:hAnsi="Times New Roman" w:eastAsia="宋体" w:cs="Times New Roman"/>
          <w:kern w:val="0"/>
          <w:szCs w:val="21"/>
        </w:rPr>
        <w:t>gradient boosting machine</w:t>
      </w:r>
      <w:r>
        <w:rPr>
          <w:rFonts w:ascii="Times New Roman" w:hAnsi="Times New Roman" w:eastAsia="宋体" w:cs="Times New Roman"/>
          <w:kern w:val="0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E</w:t>
      </w:r>
      <w:r>
        <w:rPr>
          <w:rFonts w:ascii="Times New Roman" w:hAnsi="Times New Roman" w:eastAsia="宋体" w:cs="Times New Roman"/>
          <w:kern w:val="0"/>
          <w:szCs w:val="21"/>
        </w:rPr>
        <w:t>)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 and </w:t>
      </w:r>
      <w:r>
        <w:rPr>
          <w:rFonts w:hint="eastAsia" w:ascii="Times New Roman" w:hAnsi="Times New Roman" w:eastAsia="宋体" w:cs="Times New Roman"/>
          <w:kern w:val="0"/>
          <w:szCs w:val="21"/>
        </w:rPr>
        <w:t>light gradient boosting machine</w:t>
      </w:r>
      <w:r>
        <w:rPr>
          <w:rFonts w:ascii="Times New Roman" w:hAnsi="Times New Roman" w:eastAsia="宋体" w:cs="Times New Roman"/>
          <w:kern w:val="0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F</w:t>
      </w:r>
      <w:r>
        <w:rPr>
          <w:rFonts w:ascii="Times New Roman" w:hAnsi="Times New Roman" w:eastAsia="宋体" w:cs="Times New Roman"/>
          <w:kern w:val="0"/>
          <w:szCs w:val="21"/>
        </w:rPr>
        <w:t xml:space="preserve">) prediction models for </w:t>
      </w:r>
      <w:r>
        <w:rPr>
          <w:rFonts w:hint="eastAsia" w:ascii="Times New Roman" w:hAnsi="Times New Roman" w:cs="Times New Roman"/>
          <w:szCs w:val="21"/>
        </w:rPr>
        <w:t>predicting 5-year major adverse cardiovascular events (MACE) in patients with coronary artery disease</w:t>
      </w:r>
      <w:r>
        <w:rPr>
          <w:rFonts w:ascii="Times New Roman" w:hAnsi="Times New Roman" w:eastAsia="宋体" w:cs="Times New Roman"/>
          <w:kern w:val="0"/>
          <w:szCs w:val="21"/>
        </w:rPr>
        <w:t xml:space="preserve"> in the validation cohort</w:t>
      </w:r>
      <w:r>
        <w:rPr>
          <w:rFonts w:hint="eastAsia" w:ascii="Times New Roman" w:hAnsi="Times New Roman" w:eastAsia="宋体" w:cs="Times New Roman"/>
          <w:kern w:val="0"/>
          <w:szCs w:val="21"/>
        </w:rPr>
        <w:t>.</w:t>
      </w:r>
      <w:r>
        <w:rPr>
          <w:rFonts w:ascii="Times New Roman" w:hAnsi="Times New Roman" w:eastAsia="宋体" w:cs="Times New Roman"/>
          <w:kern w:val="0"/>
          <w:szCs w:val="21"/>
        </w:rPr>
        <w:t xml:space="preserve"> The y-axis represents the actual </w:t>
      </w:r>
      <w:r>
        <w:rPr>
          <w:rFonts w:hint="eastAsia" w:ascii="Times New Roman" w:hAnsi="Times New Roman" w:cs="Times New Roman"/>
          <w:szCs w:val="21"/>
        </w:rPr>
        <w:t>5-year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MACE</w:t>
      </w:r>
      <w:r>
        <w:rPr>
          <w:rFonts w:ascii="Times New Roman" w:hAnsi="Times New Roman" w:eastAsia="宋体" w:cs="Times New Roman"/>
          <w:kern w:val="0"/>
          <w:szCs w:val="21"/>
        </w:rPr>
        <w:t xml:space="preserve"> rate. The x-axis represents the predicted </w:t>
      </w:r>
      <w:r>
        <w:rPr>
          <w:rFonts w:hint="eastAsia" w:ascii="Times New Roman" w:hAnsi="Times New Roman" w:cs="Times New Roman"/>
          <w:szCs w:val="21"/>
        </w:rPr>
        <w:t>5-year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MACE</w:t>
      </w:r>
      <w:r>
        <w:rPr>
          <w:rFonts w:ascii="Times New Roman" w:hAnsi="Times New Roman" w:eastAsia="宋体" w:cs="Times New Roman"/>
          <w:kern w:val="0"/>
          <w:szCs w:val="21"/>
        </w:rPr>
        <w:t xml:space="preserve"> risk. The diagonal dotted line represents a perfect prediction by an ideal model. The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black</w:t>
      </w:r>
      <w:r>
        <w:rPr>
          <w:rFonts w:ascii="Times New Roman" w:hAnsi="Times New Roman" w:eastAsia="宋体" w:cs="Times New Roman"/>
          <w:kern w:val="0"/>
          <w:szCs w:val="21"/>
        </w:rPr>
        <w:t xml:space="preserve"> solid line represents the performance of the prediction models, of which a closer fit to the diagonal dotted line represents a better prediction.</w:t>
      </w:r>
    </w:p>
    <w:p>
      <w:pPr>
        <w:rPr>
          <w:rFonts w:ascii="Times New Roman" w:hAnsi="Times New Roman" w:eastAsia="宋体" w:cs="Times New Roman"/>
          <w:b/>
          <w:bCs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kern w:val="0"/>
          <w:szCs w:val="21"/>
        </w:rPr>
        <w:br w:type="page"/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b/>
          <w:bCs/>
          <w:kern w:val="0"/>
          <w:szCs w:val="21"/>
        </w:rPr>
        <w:t xml:space="preserve">Table S1. </w:t>
      </w:r>
      <w:r>
        <w:rPr>
          <w:rFonts w:ascii="Times New Roman" w:hAnsi="Times New Roman" w:eastAsia="宋体" w:cs="Times New Roman"/>
          <w:kern w:val="0"/>
          <w:szCs w:val="21"/>
        </w:rPr>
        <w:t xml:space="preserve">Details of variables studied in the present study. </w:t>
      </w:r>
    </w:p>
    <w:tbl>
      <w:tblPr>
        <w:tblStyle w:val="3"/>
        <w:tblW w:w="983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6"/>
        <w:gridCol w:w="1563"/>
        <w:gridCol w:w="4397"/>
        <w:gridCol w:w="151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0" w:hRule="atLeast"/>
          <w:jc w:val="center"/>
        </w:trPr>
        <w:tc>
          <w:tcPr>
            <w:tcW w:w="2366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1"/>
                <w:szCs w:val="21"/>
                <w:lang w:eastAsia="en-US"/>
              </w:rPr>
              <w:t>Variables</w:t>
            </w:r>
          </w:p>
        </w:tc>
        <w:tc>
          <w:tcPr>
            <w:tcW w:w="156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1"/>
                <w:szCs w:val="21"/>
                <w:lang w:eastAsia="en-US"/>
              </w:rPr>
              <w:t>Measurement</w:t>
            </w:r>
          </w:p>
        </w:tc>
        <w:tc>
          <w:tcPr>
            <w:tcW w:w="439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1"/>
                <w:szCs w:val="21"/>
                <w:lang w:eastAsia="en-US"/>
              </w:rPr>
              <w:t>Description</w:t>
            </w:r>
          </w:p>
        </w:tc>
        <w:tc>
          <w:tcPr>
            <w:tcW w:w="1512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1"/>
                <w:szCs w:val="21"/>
                <w:lang w:eastAsia="en-US"/>
              </w:rPr>
              <w:t>Percentage of missing data (n=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1"/>
                <w:szCs w:val="21"/>
                <w:lang w:val="en-US" w:eastAsia="zh-CN"/>
              </w:rPr>
              <w:t>705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1"/>
                <w:szCs w:val="21"/>
                <w:lang w:eastAsia="en-US"/>
              </w:rPr>
              <w:t>) (%)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838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demographic and lifestyle factors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Age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Sex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Female, 1: Male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Body mass index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2.7(19)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Marriage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0: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Divorced or Widowed or Single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1: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Married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Education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0: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Less than 6 years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1: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7–9 years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, 2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10–12 years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More than 12 years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3.26(23)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Sleep quality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superscript"/>
                <w:lang w:val="en-US" w:eastAsia="zh-CN"/>
              </w:rPr>
              <w:t>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0: </w:t>
            </w:r>
            <w:r>
              <w:rPr>
                <w:rFonts w:ascii="Times New Roman" w:hAnsi="Times New Roman" w:eastAsia="宋体" w:cs="Times New Roman"/>
                <w:szCs w:val="21"/>
              </w:rPr>
              <w:t>Good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1: </w:t>
            </w:r>
            <w:r>
              <w:rPr>
                <w:rFonts w:ascii="Times New Roman" w:hAnsi="Times New Roman" w:eastAsia="宋体" w:cs="Times New Roman"/>
                <w:szCs w:val="21"/>
              </w:rPr>
              <w:t>Fair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, 2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eastAsia="宋体" w:cs="Times New Roman"/>
                <w:szCs w:val="21"/>
              </w:rPr>
              <w:t>Poor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Very poor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Smoking status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0: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Never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1: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Previous/current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82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8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psychological factors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Depressive symptoms</w:t>
            </w:r>
            <w:r>
              <w:rPr>
                <w:rFonts w:hint="eastAsia" w:ascii="Times New Roman" w:hAnsi="Times New Roman" w:eastAsia="宋体" w:cs="Times New Roman"/>
                <w:szCs w:val="21"/>
                <w:vertAlign w:val="superscript"/>
                <w:lang w:val="en-US" w:eastAsia="zh-CN"/>
              </w:rPr>
              <w:t>b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Anxiety symptoms</w:t>
            </w:r>
            <w:r>
              <w:rPr>
                <w:rFonts w:hint="eastAsia" w:ascii="Times New Roman" w:hAnsi="Times New Roman" w:eastAsia="宋体" w:cs="Times New Roman"/>
                <w:szCs w:val="21"/>
                <w:vertAlign w:val="superscript"/>
                <w:lang w:val="en-US" w:eastAsia="zh-CN"/>
              </w:rPr>
              <w:t>c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8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clinical history and comorbidities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CAD duration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vertAlign w:val="superscript"/>
                <w:lang w:val="en-US" w:eastAsia="zh-CN"/>
              </w:rPr>
              <w:t>d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NYHA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0: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Class I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1: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Class II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, 2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Class III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Class III-IV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Hypertension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0.28(2)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DM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0.28(2)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Stroke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20.57(145)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8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medication and intervention history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Aspirin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Clopidogrel or Ticagrelor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Anticoagulants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Statin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βBlocker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ACEI or ARB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Nitrates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CCB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8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imaging and laboratory findings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 xml:space="preserve">Previous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PCI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vertAlign w:val="superscript"/>
                <w:lang w:val="en-US" w:eastAsia="zh-CN"/>
              </w:rPr>
              <w:t>e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0: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Never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1: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One stent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, 2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Two stents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Three or more stents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Number of diseased vessels</w:t>
            </w:r>
            <w:r>
              <w:rPr>
                <w:rFonts w:hint="eastAsia" w:ascii="Times New Roman" w:hAnsi="Times New Roman" w:eastAsia="宋体" w:cs="Times New Roman"/>
                <w:szCs w:val="21"/>
                <w:vertAlign w:val="superscript"/>
                <w:lang w:val="en-US" w:eastAsia="zh-CN"/>
              </w:rPr>
              <w:t>f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0: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 vessel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1: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Single vessel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, 2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Two vessels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Three or more vessels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Left main CAD</w:t>
            </w:r>
            <w:r>
              <w:rPr>
                <w:rFonts w:hint="eastAsia" w:ascii="Times New Roman" w:hAnsi="Times New Roman" w:eastAsia="宋体" w:cs="Times New Roman"/>
                <w:szCs w:val="21"/>
                <w:vertAlign w:val="superscript"/>
                <w:lang w:val="en-US" w:eastAsia="zh-CN"/>
              </w:rPr>
              <w:t>g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Categorical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0: No, 1: Yes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HbA1c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0.99(7)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Fast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glucose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1.56(11)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CREA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BUN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TC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0.71(5)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HDLC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0.71(5)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LDLC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0.71(5)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TG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0.71(5)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apoA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3.12(22)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apoB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3.12(22)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Lpa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3.12(22)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FT3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1.13(8)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FT4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1.13(8)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TSH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0.99(7)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CK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0.71(5)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CKMB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0.71(5)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ProBNP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16.45(116)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PT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0.99(7)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APTT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0.99(7)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FIB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0.99(7)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TT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0.99(7)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INR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1.13(8)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DDI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2.41(17)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hs-CRP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20.57(145)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366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1"/>
                <w:szCs w:val="21"/>
                <w:lang w:eastAsia="en-US"/>
              </w:rPr>
              <w:t>EF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en-US"/>
              </w:rPr>
              <w:t>Continuous</w:t>
            </w:r>
          </w:p>
        </w:tc>
        <w:tc>
          <w:tcPr>
            <w:tcW w:w="439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Times New Roman" w:hAnsi="Times New Roman" w:eastAsia="Times New Roman" w:cs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11.35(80)</w:t>
            </w:r>
          </w:p>
        </w:tc>
      </w:tr>
    </w:tbl>
    <w:p>
      <w:pPr>
        <w:rPr>
          <w:rFonts w:hint="eastAsia" w:ascii="Times New Roman" w:hAnsi="Times New Roman" w:cs="Times New Roman"/>
          <w:szCs w:val="21"/>
          <w:vertAlign w:val="baseline"/>
        </w:rPr>
      </w:pPr>
      <w:r>
        <w:rPr>
          <w:rFonts w:hint="eastAsia" w:ascii="Times New Roman" w:hAnsi="Times New Roman" w:cs="Times New Roman"/>
          <w:szCs w:val="21"/>
          <w:vertAlign w:val="baseline"/>
        </w:rPr>
        <w:t>Abbreviations: CAD, coronary artery disease; NYHA, New York Heart Association functional classification; ACEI, angiotensin-converting enzyme inhibitor; ARB, angiotensin receptor blocker; CCB, calcium channel blocker; PCI, percutaneous coronary intervention; HbA1c, glycated hemoglobin A1c; Fast glucose, fasting blood glucose; CREA, creatinine; BUN, blood urea nitrogen; TC, total cholesterol; HDL-C, high density lipoprotein cholesterol; LDL-C, low density lipoprotein cholesterol; TG, triglyceride; ApoA, apolipoprotein A1; ApoB, apolipoprotein B; Lpa, lipoprotein(a); FT3, free triiodothyronine; FT4, free thyroxine; TSH, thyroid-stimulating hormone; CK, creatine kinase; CKMB, creatine kinase MB isoenzyme; NT-proBNP, N-terminal pro-brain natriuretic peptide; PT, prothrombin time; APTT, activated partial thromboplastin time; FIB, fibrinogen; TT, thrombin time; INR, international normalized ratio; hs-CRP, high sensitivity C-reactive protein; LVEF, left ventricular ejection fraction.</w:t>
      </w:r>
    </w:p>
    <w:p>
      <w:pPr>
        <w:rPr>
          <w:rFonts w:hint="eastAsia" w:ascii="Times New Roman" w:hAnsi="Times New Roman" w:cs="Times New Roman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szCs w:val="21"/>
          <w:vertAlign w:val="superscript"/>
          <w:lang w:val="en-US" w:eastAsia="zh-CN"/>
        </w:rPr>
        <w:t>a</w:t>
      </w:r>
      <w:r>
        <w:rPr>
          <w:rFonts w:hint="eastAsia" w:ascii="Times New Roman" w:hAnsi="Times New Roman" w:cs="Times New Roman"/>
          <w:szCs w:val="21"/>
          <w:vertAlign w:val="baseline"/>
          <w:lang w:val="en-US" w:eastAsia="zh-CN"/>
        </w:rPr>
        <w:t>Sleep quality was self-reported and categorized as 0 (good), 1 (fair), 2 (poor), or 3 (very poor).</w:t>
      </w:r>
    </w:p>
    <w:p>
      <w:pPr>
        <w:rPr>
          <w:rFonts w:hint="default" w:ascii="Times New Roman" w:hAnsi="Times New Roman" w:cs="Times New Roman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szCs w:val="21"/>
          <w:vertAlign w:val="superscript"/>
          <w:lang w:val="en-US" w:eastAsia="zh-CN"/>
        </w:rPr>
        <w:t>b,c</w:t>
      </w:r>
      <w:r>
        <w:rPr>
          <w:rFonts w:hint="eastAsia" w:ascii="Times New Roman" w:hAnsi="Times New Roman" w:cs="Times New Roman"/>
          <w:szCs w:val="21"/>
          <w:vertAlign w:val="baseline"/>
          <w:lang w:val="en-US" w:eastAsia="zh-CN"/>
        </w:rPr>
        <w:t>Depressive symptoms and anxiety symptoms were assessed using the Patient Health Questionnaire-9 (PHQ-9) and Generalized Anxiety Disorder-7 (GAD-7), respectively, with scores &gt;9 indicating the presence of symptoms.</w:t>
      </w:r>
    </w:p>
    <w:p>
      <w:pPr>
        <w:widowControl/>
        <w:jc w:val="left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CAD duration was defined as the time interval from the first diagnosis of coronary artery disease to the date of follow-up completion, measured in months as a continuous variable.</w:t>
      </w:r>
    </w:p>
    <w:p>
      <w:pPr>
        <w:widowControl/>
        <w:jc w:val="left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Previous PCI referred to the number of coronary stents implanted prior to the index hospitalization, and was treated as a continuous variable in the analysis.</w:t>
      </w:r>
    </w:p>
    <w:p>
      <w:pPr>
        <w:widowControl/>
        <w:jc w:val="left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Number of diseased vessels was determined based on coronary angiography findings, and represented the count of major coronary arteries with ≥50% luminal stenosis. </w:t>
      </w:r>
    </w:p>
    <w:p>
      <w:pPr>
        <w:widowControl/>
        <w:jc w:val="left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Left main CAD was defined as the presence of ≥50% diameter stenosis in the left main coronary artery based on angiographic assessment.</w:t>
      </w:r>
    </w:p>
    <w:p>
      <w:r>
        <w:br w:type="page"/>
      </w:r>
    </w:p>
    <w:p>
      <w:pPr>
        <w:jc w:val="left"/>
      </w:pPr>
      <w:r>
        <w:rPr>
          <w:rFonts w:ascii="Times New Roman" w:hAnsi="Times New Roman" w:eastAsia="宋体" w:cs="Times New Roman"/>
          <w:b/>
          <w:bCs/>
          <w:kern w:val="0"/>
          <w:szCs w:val="21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/>
        </w:rPr>
        <w:t>S2</w:t>
      </w:r>
      <w:r>
        <w:rPr>
          <w:rFonts w:ascii="Times New Roman" w:hAnsi="Times New Roman" w:eastAsia="宋体" w:cs="Times New Roman"/>
          <w:b/>
          <w:bCs/>
          <w:kern w:val="0"/>
          <w:szCs w:val="21"/>
        </w:rPr>
        <w:t xml:space="preserve">. </w:t>
      </w:r>
      <w:r>
        <w:rPr>
          <w:rFonts w:ascii="Times New Roman" w:hAnsi="Times New Roman" w:cs="Times New Roman"/>
        </w:rPr>
        <w:t xml:space="preserve">Characteristics of </w:t>
      </w:r>
      <w:r>
        <w:rPr>
          <w:rFonts w:hint="eastAsia" w:ascii="Times New Roman" w:hAnsi="Times New Roman" w:cs="Times New Roman"/>
          <w:lang w:val="en-US" w:eastAsia="zh-CN"/>
        </w:rPr>
        <w:t>t</w:t>
      </w:r>
      <w:r>
        <w:rPr>
          <w:rFonts w:hint="eastAsia" w:ascii="Times New Roman" w:hAnsi="Times New Roman" w:cs="Times New Roman"/>
        </w:rPr>
        <w:t xml:space="preserve">raining </w:t>
      </w: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hint="eastAsia" w:ascii="Times New Roman" w:hAnsi="Times New Roman" w:cs="Times New Roman"/>
        </w:rPr>
        <w:t>ohort</w:t>
      </w:r>
      <w:r>
        <w:rPr>
          <w:rFonts w:hint="eastAsia" w:ascii="Times New Roman" w:hAnsi="Times New Roman" w:cs="Times New Roman"/>
          <w:lang w:val="en-US" w:eastAsia="zh-CN"/>
        </w:rPr>
        <w:t xml:space="preserve"> and validation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hint="eastAsia" w:ascii="Times New Roman" w:hAnsi="Times New Roman" w:cs="Times New Roman"/>
        </w:rPr>
        <w:t>ohort</w:t>
      </w:r>
      <w:r>
        <w:rPr>
          <w:rFonts w:ascii="Times New Roman" w:hAnsi="Times New Roman" w:eastAsia="宋体" w:cs="Times New Roman"/>
          <w:kern w:val="0"/>
          <w:szCs w:val="21"/>
        </w:rPr>
        <w:t xml:space="preserve">. (n =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705</w:t>
      </w:r>
      <w:r>
        <w:rPr>
          <w:rFonts w:ascii="Times New Roman" w:hAnsi="Times New Roman" w:eastAsia="宋体" w:cs="Times New Roman"/>
          <w:kern w:val="0"/>
          <w:szCs w:val="21"/>
        </w:rPr>
        <w:t>)</w:t>
      </w:r>
    </w:p>
    <w:tbl>
      <w:tblPr>
        <w:tblStyle w:val="2"/>
        <w:tblW w:w="10296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3"/>
        <w:gridCol w:w="2916"/>
        <w:gridCol w:w="1809"/>
        <w:gridCol w:w="1673"/>
        <w:gridCol w:w="998"/>
        <w:gridCol w:w="106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tcBorders>
              <w:top w:val="single" w:color="auto" w:sz="12" w:space="0"/>
              <w:bottom w:val="single" w:color="auto" w:sz="4" w:space="0"/>
            </w:tcBorders>
            <w:noWrap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Predictors</w:t>
            </w:r>
          </w:p>
        </w:tc>
        <w:tc>
          <w:tcPr>
            <w:tcW w:w="2916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809" w:type="dxa"/>
            <w:tcBorders>
              <w:top w:val="single" w:color="auto" w:sz="12" w:space="0"/>
              <w:bottom w:val="single" w:color="auto" w:sz="4" w:space="0"/>
            </w:tcBorders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>Training cohort</w:t>
            </w:r>
          </w:p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(n = 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>564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1673" w:type="dxa"/>
            <w:tcBorders>
              <w:top w:val="single" w:color="auto" w:sz="12" w:space="0"/>
              <w:bottom w:val="single" w:color="auto" w:sz="4" w:space="0"/>
            </w:tcBorders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>Validation cohort</w:t>
            </w:r>
          </w:p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(n =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lang w:val="en-US" w:eastAsia="zh-CN"/>
              </w:rPr>
              <w:t>141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99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 xml:space="preserve">/t </w:t>
            </w:r>
            <w:r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a</w:t>
            </w:r>
          </w:p>
        </w:tc>
        <w:tc>
          <w:tcPr>
            <w:tcW w:w="1067" w:type="dxa"/>
            <w:tcBorders>
              <w:top w:val="single" w:color="auto" w:sz="12" w:space="0"/>
              <w:bottom w:val="single" w:color="auto" w:sz="4" w:space="0"/>
            </w:tcBorders>
            <w:noWrap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- 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749" w:type="dxa"/>
            <w:gridSpan w:val="2"/>
            <w:tcBorders>
              <w:top w:val="single" w:color="auto" w:sz="4" w:space="0"/>
            </w:tcBorders>
            <w:noWrap/>
            <w:vAlign w:val="center"/>
          </w:tcPr>
          <w:p>
            <w:pPr>
              <w:spacing w:line="276" w:lineRule="auto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Age,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Mean±SD</w:t>
            </w:r>
          </w:p>
        </w:tc>
        <w:tc>
          <w:tcPr>
            <w:tcW w:w="1809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63.27±10.37</w:t>
            </w:r>
          </w:p>
        </w:tc>
        <w:tc>
          <w:tcPr>
            <w:tcW w:w="1673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62.68±10.7</w:t>
            </w:r>
          </w:p>
        </w:tc>
        <w:tc>
          <w:tcPr>
            <w:tcW w:w="998" w:type="dxa"/>
            <w:tcBorders>
              <w:top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0.59</w:t>
            </w:r>
          </w:p>
        </w:tc>
        <w:tc>
          <w:tcPr>
            <w:tcW w:w="1067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0.554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Sex, n</w:t>
            </w:r>
            <w:r>
              <w:rPr>
                <w:rFonts w:ascii="Times New Roman" w:hAnsi="Times New Roman" w:eastAsia="宋体" w:cs="Times New Roman"/>
                <w:szCs w:val="21"/>
              </w:rPr>
              <w:t>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Female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150(27)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44(31)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0.98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0.322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Male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414(73)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97(69)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Body mass index(kg/m2),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24.3±3.25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24.97±3.3</w:t>
            </w:r>
          </w:p>
        </w:tc>
        <w:tc>
          <w:tcPr>
            <w:tcW w:w="998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-2.17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0.031*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Marriage,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Divorced or Widowed or Single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35(6)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6(4)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0.47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0.494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Married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529(94)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135(96)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Education,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Less than 6 years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164(29)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42(30)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0.28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0.964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7–9 years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164(29)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39(28)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10–12 years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115(20)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31(22)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bookmarkStart w:id="1" w:name="_Hlk96529889"/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More than 12 years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121(21)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29(21)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Sleep quality,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Good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121(21)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33(23)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0.31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Fair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226(40)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54(38)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Poor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138(24)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35 (25)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Very poor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79(14)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19(13)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Smoking status,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Never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316(56)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75(53)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0.26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0.609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Previous/current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248(44)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66(47)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Depressive symptoms, n(%)</w:t>
            </w: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480(85)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131(93)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5.29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0.022*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84(15)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10(7)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Anxiety symptoms, n(%)</w:t>
            </w: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524(93)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129(91)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0.16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0.692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40(7)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12(9)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CAD duration(mouth),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34.18±49.85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33.05±49.98</w:t>
            </w:r>
          </w:p>
        </w:tc>
        <w:tc>
          <w:tcPr>
            <w:tcW w:w="998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0.24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0.811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NYHA,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Class I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196(35)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58(41)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5.94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0.115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bookmarkStart w:id="2" w:name="_Hlk96552709"/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Class II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291(52)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64(45)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Class III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57(10)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18(13)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bookmarkEnd w:id="1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Class III-IV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20(4)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1(1)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bookmarkEnd w:id="2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0296" w:type="dxa"/>
            <w:gridSpan w:val="6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Medical history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Hypertension,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229(41)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60(43)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0.11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0.745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335(59)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81(57)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D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iabetes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mellitus,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379(67)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103(73)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1.53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185(33)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38(27)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Stroke</w:t>
            </w: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525(93)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137(97)</w:t>
            </w:r>
          </w:p>
        </w:tc>
        <w:tc>
          <w:tcPr>
            <w:tcW w:w="998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2.6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0.107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39(7)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4(3)</w:t>
            </w:r>
          </w:p>
        </w:tc>
        <w:tc>
          <w:tcPr>
            <w:tcW w:w="998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0296" w:type="dxa"/>
            <w:gridSpan w:val="6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Medication use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Aspirin,n(%)</w:t>
            </w: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101(18)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19(13)</w:t>
            </w:r>
          </w:p>
        </w:tc>
        <w:tc>
          <w:tcPr>
            <w:tcW w:w="998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1.27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463(82)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122(87)</w:t>
            </w:r>
          </w:p>
        </w:tc>
        <w:tc>
          <w:tcPr>
            <w:tcW w:w="998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Clopidogrel or Ticagrelor,n(%)</w:t>
            </w: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132(23)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34(24)</w:t>
            </w:r>
          </w:p>
        </w:tc>
        <w:tc>
          <w:tcPr>
            <w:tcW w:w="998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0.947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432(77)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107(76)</w:t>
            </w:r>
          </w:p>
        </w:tc>
        <w:tc>
          <w:tcPr>
            <w:tcW w:w="998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Anticoagulants,n(%)</w:t>
            </w: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535(95)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133(94)</w:t>
            </w:r>
          </w:p>
        </w:tc>
        <w:tc>
          <w:tcPr>
            <w:tcW w:w="998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29(5)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8(6)</w:t>
            </w:r>
          </w:p>
        </w:tc>
        <w:tc>
          <w:tcPr>
            <w:tcW w:w="998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Statin, n(%)</w:t>
            </w: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53(9)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8(6)</w:t>
            </w:r>
          </w:p>
        </w:tc>
        <w:tc>
          <w:tcPr>
            <w:tcW w:w="998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1.54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511(91)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133(94)</w:t>
            </w:r>
          </w:p>
        </w:tc>
        <w:tc>
          <w:tcPr>
            <w:tcW w:w="998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β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Blocker, n(%)</w:t>
            </w: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102(18)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27(19)</w:t>
            </w:r>
          </w:p>
        </w:tc>
        <w:tc>
          <w:tcPr>
            <w:tcW w:w="998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0.03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0.865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462(82)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114(81)</w:t>
            </w:r>
          </w:p>
        </w:tc>
        <w:tc>
          <w:tcPr>
            <w:tcW w:w="998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ACEI or ARB,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175(31)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47(33)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0.18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0.670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389(69)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94(67)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Nitrates,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497(88)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122(87)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0.14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0.708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67(12)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19(13)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CCB,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432(77)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112(79)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0.37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0.545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132(23)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29(21)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Previous PCI,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Never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398(71)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107(76)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4.46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One stent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68(12)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19(13)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Two stents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52(9)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6(4)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Three or more stents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46(8)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9(6)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Number of diseased vessels,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 vessel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97(17)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22(16)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0.42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Single vessel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98(17)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26(18)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Two vessels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103(18)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28(20)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Three or more vessels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266(47)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65(46)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restart"/>
            <w:noWrap/>
            <w:vAlign w:val="center"/>
          </w:tcPr>
          <w:p>
            <w:pPr>
              <w:spacing w:line="276" w:lineRule="auto"/>
              <w:jc w:val="left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Left main CAD, n(%)</w:t>
            </w: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No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465(82)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110(78)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1.19</w:t>
            </w:r>
          </w:p>
        </w:tc>
        <w:tc>
          <w:tcPr>
            <w:tcW w:w="1067" w:type="dxa"/>
            <w:vMerge w:val="restart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833" w:type="dxa"/>
            <w:vMerge w:val="continue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2916" w:type="dxa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Yes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99(18)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31(22)</w:t>
            </w:r>
          </w:p>
        </w:tc>
        <w:tc>
          <w:tcPr>
            <w:tcW w:w="998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  <w:tc>
          <w:tcPr>
            <w:tcW w:w="1067" w:type="dxa"/>
            <w:vMerge w:val="continue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HbA1c(%),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6.61±1.47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6.53±1.54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0.49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0.622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Fast glucose(mmol/L),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6.41±2.77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6.39±2.79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0.08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CREA(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µmol/L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99.34±48.72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94.1±25.58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1.76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0.079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BUN(mmol/L),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6.47±2.77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6.53±2.36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-0.23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0.818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TC(mmol/L),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4.38±1.28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4.61±1.29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-1.89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HDL-C(mmol/L),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0.98±0.23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1.02±0.25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-1.94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LDL-C(mmol/L),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2.84±0.89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3±0.94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-1.76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0.080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TG(mmol/L),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1.75±1.62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1.74±1.39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0.08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0.939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ApoA(g/L), Mean±SD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1.13±0.18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1.16±0.17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-1.28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ApoB(g/L),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0.9±0.26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0.95±0.28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-1.93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Lpa(nmol/L),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305.06±359.28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316.46±373.31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-0.33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0.744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FT3(pmol/L),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4.82±0.82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4.86±0.8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-0.57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0.573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FT4(pmol/L),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12.87±10.48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12.38±10.64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0.5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0.620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TSH(mIU/L),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1.86±3.03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1.99±3.13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-0.42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0.673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CK(U/L),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119.24±115.79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120.96±117.81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-0.16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0.876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CKMB(U/L),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12.13±8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12.12±8.11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0.01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0.996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NT-proBNP(ng/L),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999.43±2536.08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964.07±2994.51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0.13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0.897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PT(s),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13.73±1.17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13.66±1.17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0.6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0.547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APTT(s),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38.19±4.55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37.29±3.68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2.46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FIB(g/L),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3.96±1.11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4.08±1.13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-1.13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0.261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TT(s),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17.41±9.11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16.75±1.49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1.64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INR,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1.05±0.12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1.04±0.12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0.76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0.448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D-dimer(µg/mL),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690.75±917.84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612.59±496.09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1.37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0.170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hs-CRP(mg/L),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9.15±17.29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7.12±10.33</w:t>
            </w:r>
          </w:p>
        </w:tc>
        <w:tc>
          <w:tcPr>
            <w:tcW w:w="998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1.79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0.075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4749" w:type="dxa"/>
            <w:gridSpan w:val="2"/>
            <w:noWrap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LVEF(%), Mean ± SD</w:t>
            </w:r>
          </w:p>
        </w:tc>
        <w:tc>
          <w:tcPr>
            <w:tcW w:w="1809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58.19±11.25</w:t>
            </w:r>
          </w:p>
        </w:tc>
        <w:tc>
          <w:tcPr>
            <w:tcW w:w="1673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58.22±11.44</w:t>
            </w:r>
          </w:p>
        </w:tc>
        <w:tc>
          <w:tcPr>
            <w:tcW w:w="998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-0.03</w:t>
            </w:r>
          </w:p>
        </w:tc>
        <w:tc>
          <w:tcPr>
            <w:tcW w:w="106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0.974</w:t>
            </w:r>
          </w:p>
        </w:tc>
      </w:tr>
    </w:tbl>
    <w:p>
      <w:pPr>
        <w:rPr>
          <w:rFonts w:hint="eastAsia" w:ascii="Times New Roman" w:hAnsi="Times New Roman" w:cs="Times New Roman"/>
          <w:szCs w:val="21"/>
          <w:vertAlign w:val="baseline"/>
        </w:rPr>
      </w:pPr>
      <w:r>
        <w:rPr>
          <w:rFonts w:hint="eastAsia" w:ascii="Times New Roman" w:hAnsi="Times New Roman" w:cs="Times New Roman"/>
          <w:szCs w:val="21"/>
          <w:vertAlign w:val="baseline"/>
        </w:rPr>
        <w:t>Abbreviations: CAD, coronary artery disease; NYHA, New York Heart Association functional classification; ACEI, angiotensin-converting enzyme inhibitor; ARB, angiotensin receptor blocker; CCB, calcium channel blocker; PCI, percutaneous coronary intervention; HbA1c, glycated hemoglobin A1c; Fast glucose, fasting blood glucose; CREA, creatinine; BUN, blood urea nitrogen; TC, total cholesterol; HDL-C, high density lipoprotein cholesterol; LDL-C, low density lipoprotein cholesterol; TG, triglyceride; ApoA, apolipoprotein A1; ApoB, apolipoprotein B; Lpa, lipoprotein(a); FT3, free triiodothyronine; FT4, free thyroxine; TSH, thyroid-stimulating hormone; CK, creatine kinase; CKMB, creatine kinase MB isoenzyme; NT-proBNP, N-terminal pro-brain natriuretic peptide; PT, prothrombin time; APTT, activated partial thromboplastin time; FIB, fibrinogen; TT, thrombin time; INR, international normalized ratio; hs-CRP, high sensitivity C-reactive protein; LVEF, left ventricular ejection fraction.</w:t>
      </w:r>
    </w:p>
    <w:p>
      <w:pPr>
        <w:rPr>
          <w:rFonts w:hint="eastAsia" w:ascii="Times New Roman" w:hAnsi="Times New Roman" w:cs="Times New Roman"/>
          <w:szCs w:val="21"/>
          <w:vertAlign w:val="baseline"/>
        </w:rPr>
      </w:pPr>
    </w:p>
    <w:p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 xml:space="preserve">a </w:t>
      </w:r>
      <w:r>
        <w:rPr>
          <w:rFonts w:ascii="Times New Roman" w:hAnsi="Times New Roman" w:cs="Times New Roman"/>
          <w:szCs w:val="21"/>
        </w:rPr>
        <w:t>The comparative analyses for continuous variables and categorical variables were conducted using Student’s t test and Chi-square test, respectively.</w:t>
      </w:r>
    </w:p>
    <w:p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0.05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zYzY3YmM0MzRmNzA0YzM3NjFkMTllYjFiZGZiMTQifQ=="/>
  </w:docVars>
  <w:rsids>
    <w:rsidRoot w:val="00000000"/>
    <w:rsid w:val="1EF0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rPr>
      <w:rFonts w:ascii="Cambria" w:hAnsi="Cambria"/>
      <w:kern w:val="0"/>
      <w:sz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2025-08-29T08:53:15Z</dcterms:created>
  <dc:creator>lavandant</dc:creator>
  <cp:lastModifiedBy>蒋中行</cp:lastModifiedBy>
  <dcterms:modified xsi:type="dcterms:W3CDTF">2025-08-29T08:54:32Z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C6CF82BF172E4C0B892A68ABE0944BFC</vt:lpwstr>
  </property>
</Properties>
</file>