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254F5" w14:textId="77777777" w:rsidR="00403AA1" w:rsidRDefault="00403AA1" w:rsidP="00403AA1">
      <w:pPr>
        <w:rPr>
          <w:rFonts w:ascii="Times New Roman" w:hAnsi="Times New Roman" w:cs="Times New Roman"/>
        </w:rPr>
      </w:pPr>
      <w:r>
        <w:rPr>
          <w:rFonts w:ascii="Times New Roman" w:hAnsi="Times New Roman" w:cs="Times New Roman"/>
          <w:b/>
          <w:bCs/>
        </w:rPr>
        <w:t xml:space="preserve">Supplementary Table S1. </w:t>
      </w:r>
      <w:r>
        <w:rPr>
          <w:rFonts w:ascii="Times New Roman" w:hAnsi="Times New Roman" w:cs="Times New Roman"/>
        </w:rPr>
        <w:t>In silico characteristics of the COL4A1 variant identified in the index patient.</w:t>
      </w:r>
    </w:p>
    <w:tbl>
      <w:tblPr>
        <w:tblStyle w:val="PlainTable2"/>
        <w:tblpPr w:leftFromText="141" w:rightFromText="141" w:vertAnchor="text" w:horzAnchor="margin" w:tblpY="-35"/>
        <w:tblW w:w="9067" w:type="dxa"/>
        <w:tblLook w:val="04A0" w:firstRow="1" w:lastRow="0" w:firstColumn="1" w:lastColumn="0" w:noHBand="0" w:noVBand="1"/>
      </w:tblPr>
      <w:tblGrid>
        <w:gridCol w:w="2972"/>
        <w:gridCol w:w="2552"/>
        <w:gridCol w:w="3543"/>
      </w:tblGrid>
      <w:tr w:rsidR="00403AA1" w14:paraId="5938B65C" w14:textId="77777777" w:rsidTr="00C957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Borders>
              <w:top w:val="single" w:sz="4" w:space="0" w:color="7F7F7F" w:themeColor="text1" w:themeTint="80"/>
              <w:left w:val="nil"/>
              <w:right w:val="nil"/>
            </w:tcBorders>
            <w:hideMark/>
          </w:tcPr>
          <w:p w14:paraId="3351F839" w14:textId="77777777" w:rsidR="00403AA1" w:rsidRDefault="00403AA1" w:rsidP="00C95709">
            <w:pPr>
              <w:jc w:val="center"/>
              <w:rPr>
                <w:rFonts w:ascii="Times New Roman" w:hAnsi="Times New Roman" w:cs="Times New Roman"/>
                <w:b w:val="0"/>
                <w:bCs w:val="0"/>
              </w:rPr>
            </w:pPr>
            <w:r>
              <w:rPr>
                <w:rFonts w:ascii="Times New Roman" w:hAnsi="Times New Roman" w:cs="Times New Roman"/>
              </w:rPr>
              <w:t>Parameter</w:t>
            </w:r>
          </w:p>
        </w:tc>
        <w:tc>
          <w:tcPr>
            <w:tcW w:w="2552" w:type="dxa"/>
            <w:tcBorders>
              <w:top w:val="single" w:sz="4" w:space="0" w:color="7F7F7F" w:themeColor="text1" w:themeTint="80"/>
              <w:left w:val="nil"/>
              <w:right w:val="nil"/>
            </w:tcBorders>
            <w:hideMark/>
          </w:tcPr>
          <w:p w14:paraId="6AAC658A" w14:textId="77777777" w:rsidR="00403AA1" w:rsidRDefault="00403AA1" w:rsidP="00C9570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Pr>
                <w:rFonts w:ascii="Times New Roman" w:hAnsi="Times New Roman" w:cs="Times New Roman"/>
              </w:rPr>
              <w:t>Result / Score</w:t>
            </w:r>
          </w:p>
        </w:tc>
        <w:tc>
          <w:tcPr>
            <w:tcW w:w="3543" w:type="dxa"/>
            <w:tcBorders>
              <w:top w:val="single" w:sz="4" w:space="0" w:color="7F7F7F" w:themeColor="text1" w:themeTint="80"/>
              <w:left w:val="nil"/>
              <w:right w:val="nil"/>
            </w:tcBorders>
            <w:hideMark/>
          </w:tcPr>
          <w:p w14:paraId="72C0603B" w14:textId="77777777" w:rsidR="00403AA1" w:rsidRDefault="00403AA1" w:rsidP="00C9570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Pr>
                <w:rFonts w:ascii="Times New Roman" w:hAnsi="Times New Roman" w:cs="Times New Roman"/>
              </w:rPr>
              <w:t>Interpretation</w:t>
            </w:r>
          </w:p>
        </w:tc>
      </w:tr>
      <w:tr w:rsidR="00403AA1" w14:paraId="6D54E2A5" w14:textId="77777777" w:rsidTr="00C95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Borders>
              <w:left w:val="nil"/>
              <w:right w:val="nil"/>
            </w:tcBorders>
            <w:hideMark/>
          </w:tcPr>
          <w:p w14:paraId="6FB8DC3C"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Variant</w:t>
            </w:r>
          </w:p>
        </w:tc>
        <w:tc>
          <w:tcPr>
            <w:tcW w:w="2552" w:type="dxa"/>
            <w:tcBorders>
              <w:left w:val="nil"/>
              <w:right w:val="nil"/>
            </w:tcBorders>
            <w:hideMark/>
          </w:tcPr>
          <w:p w14:paraId="21E5CA75"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c.3662C&gt;T (p.Pro1221Leu)</w:t>
            </w:r>
          </w:p>
        </w:tc>
        <w:tc>
          <w:tcPr>
            <w:tcW w:w="3543" w:type="dxa"/>
            <w:tcBorders>
              <w:left w:val="nil"/>
              <w:right w:val="nil"/>
            </w:tcBorders>
            <w:hideMark/>
          </w:tcPr>
          <w:p w14:paraId="0794AA46"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Missense variant</w:t>
            </w:r>
          </w:p>
        </w:tc>
      </w:tr>
      <w:tr w:rsidR="00403AA1" w14:paraId="715CB0CA" w14:textId="77777777" w:rsidTr="00C95709">
        <w:tc>
          <w:tcPr>
            <w:cnfStyle w:val="001000000000" w:firstRow="0" w:lastRow="0" w:firstColumn="1" w:lastColumn="0" w:oddVBand="0" w:evenVBand="0" w:oddHBand="0" w:evenHBand="0" w:firstRowFirstColumn="0" w:firstRowLastColumn="0" w:lastRowFirstColumn="0" w:lastRowLastColumn="0"/>
            <w:tcW w:w="2972" w:type="dxa"/>
            <w:tcBorders>
              <w:top w:val="nil"/>
              <w:left w:val="nil"/>
              <w:bottom w:val="nil"/>
              <w:right w:val="nil"/>
            </w:tcBorders>
            <w:hideMark/>
          </w:tcPr>
          <w:p w14:paraId="6C87BC04"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ClinVar</w:t>
            </w:r>
          </w:p>
        </w:tc>
        <w:tc>
          <w:tcPr>
            <w:tcW w:w="2552" w:type="dxa"/>
            <w:tcBorders>
              <w:top w:val="nil"/>
              <w:left w:val="nil"/>
              <w:bottom w:val="nil"/>
              <w:right w:val="nil"/>
            </w:tcBorders>
            <w:hideMark/>
          </w:tcPr>
          <w:p w14:paraId="2E44CAD5" w14:textId="77777777" w:rsidR="00403AA1" w:rsidRDefault="00403AA1" w:rsidP="00C957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Uncertain Significance </w:t>
            </w:r>
          </w:p>
        </w:tc>
        <w:tc>
          <w:tcPr>
            <w:tcW w:w="3543" w:type="dxa"/>
            <w:tcBorders>
              <w:top w:val="nil"/>
              <w:left w:val="nil"/>
              <w:bottom w:val="nil"/>
              <w:right w:val="nil"/>
            </w:tcBorders>
            <w:hideMark/>
          </w:tcPr>
          <w:p w14:paraId="20261E14" w14:textId="77777777" w:rsidR="00403AA1" w:rsidRDefault="00403AA1" w:rsidP="00C957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No established pathogenic classification</w:t>
            </w:r>
          </w:p>
        </w:tc>
      </w:tr>
      <w:tr w:rsidR="00403AA1" w14:paraId="7315EB27" w14:textId="77777777" w:rsidTr="00C95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Borders>
              <w:left w:val="nil"/>
              <w:right w:val="nil"/>
            </w:tcBorders>
            <w:hideMark/>
          </w:tcPr>
          <w:p w14:paraId="0BF7392F"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Population frequency (gnomAD)</w:t>
            </w:r>
          </w:p>
        </w:tc>
        <w:tc>
          <w:tcPr>
            <w:tcW w:w="2552" w:type="dxa"/>
            <w:tcBorders>
              <w:left w:val="nil"/>
              <w:right w:val="nil"/>
            </w:tcBorders>
            <w:hideMark/>
          </w:tcPr>
          <w:p w14:paraId="26598709"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0.007% (Ultra-rare)</w:t>
            </w:r>
          </w:p>
        </w:tc>
        <w:tc>
          <w:tcPr>
            <w:tcW w:w="3543" w:type="dxa"/>
            <w:tcBorders>
              <w:left w:val="nil"/>
              <w:right w:val="nil"/>
            </w:tcBorders>
            <w:hideMark/>
          </w:tcPr>
          <w:p w14:paraId="539E1845"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Extremely rare</w:t>
            </w:r>
          </w:p>
        </w:tc>
      </w:tr>
      <w:tr w:rsidR="00403AA1" w14:paraId="7DC6092C" w14:textId="77777777" w:rsidTr="00C95709">
        <w:tc>
          <w:tcPr>
            <w:cnfStyle w:val="001000000000" w:firstRow="0" w:lastRow="0" w:firstColumn="1" w:lastColumn="0" w:oddVBand="0" w:evenVBand="0" w:oddHBand="0" w:evenHBand="0" w:firstRowFirstColumn="0" w:firstRowLastColumn="0" w:lastRowFirstColumn="0" w:lastRowLastColumn="0"/>
            <w:tcW w:w="2972" w:type="dxa"/>
            <w:tcBorders>
              <w:top w:val="nil"/>
              <w:left w:val="nil"/>
              <w:bottom w:val="nil"/>
              <w:right w:val="nil"/>
            </w:tcBorders>
            <w:hideMark/>
          </w:tcPr>
          <w:p w14:paraId="2AEB1A13"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Conservation (phyloP100)</w:t>
            </w:r>
          </w:p>
        </w:tc>
        <w:tc>
          <w:tcPr>
            <w:tcW w:w="2552" w:type="dxa"/>
            <w:tcBorders>
              <w:top w:val="nil"/>
              <w:left w:val="nil"/>
              <w:bottom w:val="nil"/>
              <w:right w:val="nil"/>
            </w:tcBorders>
            <w:hideMark/>
          </w:tcPr>
          <w:p w14:paraId="18541BC1" w14:textId="77777777" w:rsidR="00403AA1" w:rsidRDefault="00403AA1" w:rsidP="00C957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2.108 </w:t>
            </w:r>
          </w:p>
        </w:tc>
        <w:tc>
          <w:tcPr>
            <w:tcW w:w="3543" w:type="dxa"/>
            <w:tcBorders>
              <w:top w:val="nil"/>
              <w:left w:val="nil"/>
              <w:bottom w:val="nil"/>
              <w:right w:val="nil"/>
            </w:tcBorders>
            <w:hideMark/>
          </w:tcPr>
          <w:p w14:paraId="6DB96E36" w14:textId="77777777" w:rsidR="00403AA1" w:rsidRDefault="00403AA1" w:rsidP="00C957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Evolutionarily conserved residue</w:t>
            </w:r>
          </w:p>
        </w:tc>
      </w:tr>
      <w:tr w:rsidR="00403AA1" w14:paraId="2873A65D" w14:textId="77777777" w:rsidTr="00C95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Borders>
              <w:left w:val="nil"/>
              <w:right w:val="nil"/>
            </w:tcBorders>
            <w:hideMark/>
          </w:tcPr>
          <w:p w14:paraId="315ACB0E"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CADD Score</w:t>
            </w:r>
          </w:p>
        </w:tc>
        <w:tc>
          <w:tcPr>
            <w:tcW w:w="2552" w:type="dxa"/>
            <w:tcBorders>
              <w:left w:val="nil"/>
              <w:right w:val="nil"/>
            </w:tcBorders>
            <w:hideMark/>
          </w:tcPr>
          <w:p w14:paraId="032CAB7C"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23.5</w:t>
            </w:r>
          </w:p>
        </w:tc>
        <w:tc>
          <w:tcPr>
            <w:tcW w:w="3543" w:type="dxa"/>
            <w:tcBorders>
              <w:left w:val="nil"/>
              <w:right w:val="nil"/>
            </w:tcBorders>
            <w:hideMark/>
          </w:tcPr>
          <w:p w14:paraId="63BB6DE4"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High predicted deleteriousness</w:t>
            </w:r>
          </w:p>
        </w:tc>
      </w:tr>
      <w:tr w:rsidR="00403AA1" w14:paraId="336D995B" w14:textId="77777777" w:rsidTr="00C95709">
        <w:tc>
          <w:tcPr>
            <w:cnfStyle w:val="001000000000" w:firstRow="0" w:lastRow="0" w:firstColumn="1" w:lastColumn="0" w:oddVBand="0" w:evenVBand="0" w:oddHBand="0" w:evenHBand="0" w:firstRowFirstColumn="0" w:firstRowLastColumn="0" w:lastRowFirstColumn="0" w:lastRowLastColumn="0"/>
            <w:tcW w:w="2972" w:type="dxa"/>
            <w:tcBorders>
              <w:top w:val="nil"/>
              <w:left w:val="nil"/>
              <w:bottom w:val="nil"/>
              <w:right w:val="nil"/>
            </w:tcBorders>
            <w:hideMark/>
          </w:tcPr>
          <w:p w14:paraId="77C202CB"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Inheritance</w:t>
            </w:r>
          </w:p>
        </w:tc>
        <w:tc>
          <w:tcPr>
            <w:tcW w:w="2552" w:type="dxa"/>
            <w:tcBorders>
              <w:top w:val="nil"/>
              <w:left w:val="nil"/>
              <w:bottom w:val="nil"/>
              <w:right w:val="nil"/>
            </w:tcBorders>
            <w:hideMark/>
          </w:tcPr>
          <w:p w14:paraId="68F20ABF" w14:textId="77777777" w:rsidR="00403AA1" w:rsidRDefault="00403AA1" w:rsidP="00C957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De Novo</w:t>
            </w:r>
          </w:p>
        </w:tc>
        <w:tc>
          <w:tcPr>
            <w:tcW w:w="3543" w:type="dxa"/>
            <w:tcBorders>
              <w:top w:val="nil"/>
              <w:left w:val="nil"/>
              <w:bottom w:val="nil"/>
              <w:right w:val="nil"/>
            </w:tcBorders>
            <w:hideMark/>
          </w:tcPr>
          <w:p w14:paraId="28933BE5" w14:textId="77777777" w:rsidR="00403AA1" w:rsidRDefault="00403AA1" w:rsidP="00C957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Absent in unaffected family members.</w:t>
            </w:r>
          </w:p>
        </w:tc>
      </w:tr>
      <w:tr w:rsidR="00403AA1" w14:paraId="7F20B4E8" w14:textId="77777777" w:rsidTr="00C95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Borders>
              <w:left w:val="nil"/>
              <w:right w:val="nil"/>
            </w:tcBorders>
            <w:hideMark/>
          </w:tcPr>
          <w:p w14:paraId="0EA117BF" w14:textId="77777777" w:rsidR="00403AA1" w:rsidRDefault="00403AA1" w:rsidP="00C95709">
            <w:pPr>
              <w:rPr>
                <w:rFonts w:ascii="Times New Roman" w:hAnsi="Times New Roman" w:cs="Times New Roman"/>
                <w:b w:val="0"/>
                <w:bCs w:val="0"/>
                <w:sz w:val="20"/>
                <w:szCs w:val="20"/>
              </w:rPr>
            </w:pPr>
            <w:r>
              <w:rPr>
                <w:rFonts w:ascii="Times New Roman" w:hAnsi="Times New Roman" w:cs="Times New Roman"/>
                <w:b w:val="0"/>
                <w:bCs w:val="0"/>
                <w:sz w:val="20"/>
                <w:szCs w:val="20"/>
              </w:rPr>
              <w:t>Expression Data</w:t>
            </w:r>
          </w:p>
        </w:tc>
        <w:tc>
          <w:tcPr>
            <w:tcW w:w="2552" w:type="dxa"/>
            <w:tcBorders>
              <w:left w:val="nil"/>
              <w:right w:val="nil"/>
            </w:tcBorders>
            <w:hideMark/>
          </w:tcPr>
          <w:p w14:paraId="5518AC23"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High in Arteries</w:t>
            </w:r>
          </w:p>
        </w:tc>
        <w:tc>
          <w:tcPr>
            <w:tcW w:w="3543" w:type="dxa"/>
            <w:tcBorders>
              <w:left w:val="nil"/>
              <w:right w:val="nil"/>
            </w:tcBorders>
            <w:hideMark/>
          </w:tcPr>
          <w:p w14:paraId="2E90ABEF" w14:textId="77777777" w:rsidR="00403AA1" w:rsidRDefault="00403AA1" w:rsidP="00C9570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High expression in vascular system </w:t>
            </w:r>
          </w:p>
        </w:tc>
      </w:tr>
    </w:tbl>
    <w:p w14:paraId="24C91441" w14:textId="77777777" w:rsidR="00403AA1" w:rsidRDefault="00403AA1" w:rsidP="00403AA1">
      <w:pPr>
        <w:spacing w:line="360" w:lineRule="auto"/>
        <w:rPr>
          <w:rFonts w:ascii="Times New Roman" w:hAnsi="Times New Roman" w:cs="Times New Roman"/>
          <w:sz w:val="20"/>
          <w:szCs w:val="20"/>
        </w:rPr>
      </w:pPr>
      <w:r>
        <w:rPr>
          <w:rFonts w:ascii="Times New Roman" w:hAnsi="Times New Roman" w:cs="Times New Roman"/>
          <w:b/>
          <w:bCs/>
          <w:sz w:val="20"/>
          <w:szCs w:val="20"/>
        </w:rPr>
        <w:br/>
        <w:t>Abbreviations:</w:t>
      </w:r>
      <w:r>
        <w:rPr>
          <w:rFonts w:ascii="Times New Roman" w:hAnsi="Times New Roman" w:cs="Times New Roman"/>
          <w:sz w:val="20"/>
          <w:szCs w:val="20"/>
        </w:rPr>
        <w:t xml:space="preserve"> CADD: Combined Annotation Dependent Depletion; gnomAD: Genome Aggregation Database; NA: Not Applicable. </w:t>
      </w:r>
      <w:r>
        <w:rPr>
          <w:rFonts w:ascii="Times New Roman" w:hAnsi="Times New Roman" w:cs="Times New Roman"/>
          <w:sz w:val="20"/>
          <w:szCs w:val="20"/>
        </w:rPr>
        <w:br/>
      </w:r>
      <w:r>
        <w:rPr>
          <w:rFonts w:ascii="Times New Roman" w:hAnsi="Times New Roman" w:cs="Times New Roman"/>
          <w:b/>
          <w:bCs/>
          <w:sz w:val="20"/>
          <w:szCs w:val="20"/>
        </w:rPr>
        <w:t>Note:</w:t>
      </w:r>
      <w:r>
        <w:rPr>
          <w:rFonts w:ascii="Times New Roman" w:hAnsi="Times New Roman" w:cs="Times New Roman"/>
          <w:sz w:val="20"/>
          <w:szCs w:val="20"/>
        </w:rPr>
        <w:t xml:space="preserve"> Predicted deleteriousness was evaluated using CADD (v1.6). Conservation scores represent phyloP 100-way vertebrate alignment.</w:t>
      </w:r>
    </w:p>
    <w:p w14:paraId="511AD1B6" w14:textId="77777777" w:rsidR="00403AA1" w:rsidRDefault="00403AA1" w:rsidP="00403AA1">
      <w:pPr>
        <w:jc w:val="both"/>
        <w:rPr>
          <w:rFonts w:ascii="Times New Roman" w:hAnsi="Times New Roman" w:cs="Times New Roman"/>
          <w:b/>
          <w:bCs/>
        </w:rPr>
      </w:pPr>
    </w:p>
    <w:p w14:paraId="0CEC13A1" w14:textId="77777777" w:rsidR="00403AA1" w:rsidRDefault="00403AA1" w:rsidP="00403AA1">
      <w:pPr>
        <w:jc w:val="both"/>
        <w:rPr>
          <w:rFonts w:ascii="Times New Roman" w:hAnsi="Times New Roman" w:cs="Times New Roman"/>
          <w:b/>
          <w:bCs/>
        </w:rPr>
      </w:pPr>
    </w:p>
    <w:p w14:paraId="57B9B92A" w14:textId="77777777" w:rsidR="00403AA1" w:rsidRDefault="00403AA1" w:rsidP="00403AA1">
      <w:pPr>
        <w:jc w:val="both"/>
        <w:rPr>
          <w:rFonts w:ascii="Times New Roman" w:hAnsi="Times New Roman" w:cs="Times New Roman"/>
          <w:b/>
          <w:bCs/>
        </w:rPr>
      </w:pPr>
    </w:p>
    <w:p w14:paraId="0B016A82" w14:textId="77777777" w:rsidR="00403AA1" w:rsidRDefault="00403AA1" w:rsidP="00403AA1">
      <w:pPr>
        <w:jc w:val="both"/>
        <w:rPr>
          <w:rFonts w:ascii="Times New Roman" w:hAnsi="Times New Roman" w:cs="Times New Roman"/>
          <w:b/>
          <w:bCs/>
        </w:rPr>
      </w:pPr>
    </w:p>
    <w:p w14:paraId="505FC66E" w14:textId="77777777" w:rsidR="00403AA1" w:rsidRDefault="00403AA1" w:rsidP="00403AA1">
      <w:pPr>
        <w:jc w:val="both"/>
        <w:rPr>
          <w:rFonts w:ascii="Times New Roman" w:hAnsi="Times New Roman" w:cs="Times New Roman"/>
          <w:b/>
          <w:bCs/>
        </w:rPr>
      </w:pPr>
    </w:p>
    <w:p w14:paraId="054C5590" w14:textId="77777777" w:rsidR="00403AA1" w:rsidRDefault="00403AA1" w:rsidP="00403AA1">
      <w:pPr>
        <w:jc w:val="both"/>
        <w:rPr>
          <w:rFonts w:ascii="Times New Roman" w:hAnsi="Times New Roman" w:cs="Times New Roman"/>
          <w:b/>
          <w:bCs/>
        </w:rPr>
      </w:pPr>
    </w:p>
    <w:p w14:paraId="5C7B227E" w14:textId="77777777" w:rsidR="00403AA1" w:rsidRDefault="00403AA1" w:rsidP="00403AA1">
      <w:pPr>
        <w:jc w:val="both"/>
        <w:rPr>
          <w:rFonts w:ascii="Times New Roman" w:hAnsi="Times New Roman" w:cs="Times New Roman"/>
          <w:b/>
          <w:bCs/>
        </w:rPr>
      </w:pPr>
    </w:p>
    <w:p w14:paraId="7AE729EA" w14:textId="77777777" w:rsidR="00403AA1" w:rsidRDefault="00403AA1" w:rsidP="00403AA1">
      <w:pPr>
        <w:jc w:val="both"/>
        <w:rPr>
          <w:rFonts w:ascii="Times New Roman" w:hAnsi="Times New Roman" w:cs="Times New Roman"/>
          <w:b/>
          <w:bCs/>
        </w:rPr>
      </w:pPr>
    </w:p>
    <w:p w14:paraId="113FF6AA" w14:textId="77777777" w:rsidR="00403AA1" w:rsidRDefault="00403AA1" w:rsidP="00403AA1">
      <w:pPr>
        <w:jc w:val="both"/>
        <w:rPr>
          <w:rFonts w:ascii="Times New Roman" w:hAnsi="Times New Roman" w:cs="Times New Roman"/>
          <w:b/>
          <w:bCs/>
        </w:rPr>
      </w:pPr>
    </w:p>
    <w:p w14:paraId="5DE68696" w14:textId="77777777" w:rsidR="00403AA1" w:rsidRDefault="00403AA1" w:rsidP="00403AA1">
      <w:pPr>
        <w:jc w:val="both"/>
        <w:rPr>
          <w:rFonts w:ascii="Times New Roman" w:hAnsi="Times New Roman" w:cs="Times New Roman"/>
          <w:b/>
          <w:bCs/>
        </w:rPr>
      </w:pPr>
    </w:p>
    <w:p w14:paraId="6FC6167C" w14:textId="77777777" w:rsidR="00403AA1" w:rsidRDefault="00403AA1" w:rsidP="00403AA1">
      <w:pPr>
        <w:jc w:val="both"/>
        <w:rPr>
          <w:rFonts w:ascii="Times New Roman" w:hAnsi="Times New Roman" w:cs="Times New Roman"/>
          <w:b/>
          <w:bCs/>
        </w:rPr>
      </w:pPr>
    </w:p>
    <w:p w14:paraId="1D5985C4" w14:textId="77777777" w:rsidR="00403AA1" w:rsidRDefault="00403AA1" w:rsidP="00403AA1">
      <w:pPr>
        <w:jc w:val="both"/>
        <w:rPr>
          <w:rFonts w:ascii="Times New Roman" w:hAnsi="Times New Roman" w:cs="Times New Roman"/>
          <w:b/>
          <w:bCs/>
        </w:rPr>
      </w:pPr>
    </w:p>
    <w:p w14:paraId="0E6D6747" w14:textId="77777777" w:rsidR="00403AA1" w:rsidRDefault="00403AA1" w:rsidP="00403AA1">
      <w:pPr>
        <w:jc w:val="both"/>
        <w:rPr>
          <w:rFonts w:ascii="Times New Roman" w:hAnsi="Times New Roman" w:cs="Times New Roman"/>
          <w:b/>
          <w:bCs/>
        </w:rPr>
      </w:pPr>
    </w:p>
    <w:p w14:paraId="161FD5AE" w14:textId="77777777" w:rsidR="00403AA1" w:rsidRDefault="00403AA1" w:rsidP="00403AA1">
      <w:pPr>
        <w:jc w:val="both"/>
        <w:rPr>
          <w:rFonts w:ascii="Times New Roman" w:hAnsi="Times New Roman" w:cs="Times New Roman"/>
          <w:b/>
          <w:bCs/>
        </w:rPr>
      </w:pPr>
    </w:p>
    <w:p w14:paraId="5E55213E" w14:textId="77777777" w:rsidR="00403AA1" w:rsidRDefault="00403AA1" w:rsidP="00403AA1">
      <w:pPr>
        <w:jc w:val="both"/>
        <w:rPr>
          <w:rFonts w:ascii="Times New Roman" w:hAnsi="Times New Roman" w:cs="Times New Roman"/>
          <w:b/>
          <w:bCs/>
        </w:rPr>
      </w:pPr>
    </w:p>
    <w:p w14:paraId="02E927BC" w14:textId="77777777" w:rsidR="00403AA1" w:rsidRDefault="00403AA1" w:rsidP="00403AA1">
      <w:pPr>
        <w:jc w:val="both"/>
        <w:rPr>
          <w:rFonts w:ascii="Times New Roman" w:hAnsi="Times New Roman" w:cs="Times New Roman"/>
          <w:b/>
          <w:bCs/>
        </w:rPr>
      </w:pPr>
    </w:p>
    <w:p w14:paraId="45A61377" w14:textId="77777777" w:rsidR="00403AA1" w:rsidRDefault="00403AA1" w:rsidP="00403AA1">
      <w:pPr>
        <w:jc w:val="both"/>
        <w:rPr>
          <w:rFonts w:ascii="Times New Roman" w:hAnsi="Times New Roman" w:cs="Times New Roman"/>
          <w:b/>
          <w:bCs/>
        </w:rPr>
      </w:pPr>
    </w:p>
    <w:p w14:paraId="0F45909B" w14:textId="77777777" w:rsidR="00403AA1" w:rsidRDefault="00403AA1" w:rsidP="00403AA1">
      <w:pPr>
        <w:jc w:val="both"/>
        <w:rPr>
          <w:rFonts w:ascii="Times New Roman" w:hAnsi="Times New Roman" w:cs="Times New Roman"/>
          <w:b/>
          <w:bCs/>
        </w:rPr>
      </w:pPr>
    </w:p>
    <w:p w14:paraId="7AC942A7" w14:textId="77777777" w:rsidR="00403AA1" w:rsidRDefault="00403AA1" w:rsidP="00403AA1">
      <w:pPr>
        <w:jc w:val="both"/>
        <w:rPr>
          <w:rFonts w:ascii="Times New Roman" w:hAnsi="Times New Roman" w:cs="Times New Roman"/>
          <w:b/>
          <w:bCs/>
        </w:rPr>
      </w:pPr>
    </w:p>
    <w:p w14:paraId="160EF14A" w14:textId="77777777" w:rsidR="00403AA1" w:rsidRPr="00A259FA" w:rsidRDefault="00403AA1" w:rsidP="00403AA1">
      <w:r w:rsidRPr="00A259FA">
        <w:rPr>
          <w:noProof/>
        </w:rPr>
        <w:lastRenderedPageBreak/>
        <w:drawing>
          <wp:inline distT="0" distB="0" distL="0" distR="0" wp14:anchorId="64B61BDA" wp14:editId="39575E60">
            <wp:extent cx="5760720" cy="3241040"/>
            <wp:effectExtent l="0" t="0" r="0" b="0"/>
            <wp:docPr id="2094836426" name="Resim 2" descr="toz, pud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836426" name="Resim 2" descr="toz, pudra içeren bir resim&#10;&#10;Yapay zeka tarafından oluşturulmuş içerik yanlış olabilir."/>
                    <pic:cNvPicPr>
                      <a:picLocks noChangeAspect="1" noChangeArrowheads="1"/>
                    </pic:cNvPicPr>
                  </pic:nvPicPr>
                  <pic:blipFill>
                    <a:blip r:embed="rId4">
                      <a:extLst>
                        <a:ext uri="{28A0092B-C50C-407E-A947-70E740481C1C}">
                          <a14:useLocalDpi xmlns:a14="http://schemas.microsoft.com/office/drawing/2010/main"/>
                        </a:ext>
                      </a:extLst>
                    </a:blip>
                    <a:srcRect/>
                    <a:stretch>
                      <a:fillRect/>
                    </a:stretch>
                  </pic:blipFill>
                  <pic:spPr bwMode="auto">
                    <a:xfrm>
                      <a:off x="0" y="0"/>
                      <a:ext cx="5760720" cy="3241040"/>
                    </a:xfrm>
                    <a:prstGeom prst="rect">
                      <a:avLst/>
                    </a:prstGeom>
                    <a:noFill/>
                    <a:ln>
                      <a:noFill/>
                    </a:ln>
                  </pic:spPr>
                </pic:pic>
              </a:graphicData>
            </a:graphic>
          </wp:inline>
        </w:drawing>
      </w:r>
    </w:p>
    <w:p w14:paraId="564B57A8" w14:textId="77777777" w:rsidR="00403AA1" w:rsidRDefault="00403AA1" w:rsidP="00403AA1">
      <w:pPr>
        <w:spacing w:line="360" w:lineRule="auto"/>
        <w:rPr>
          <w:rFonts w:ascii="Times New Roman" w:hAnsi="Times New Roman" w:cs="Times New Roman"/>
        </w:rPr>
      </w:pPr>
      <w:r w:rsidRPr="00100245">
        <w:rPr>
          <w:rFonts w:ascii="Times New Roman" w:hAnsi="Times New Roman" w:cs="Times New Roman"/>
          <w:b/>
          <w:bCs/>
        </w:rPr>
        <w:t>Supplementary Figure S1.</w:t>
      </w:r>
      <w:r w:rsidRPr="006E1CBF">
        <w:t xml:space="preserve"> </w:t>
      </w:r>
      <w:r w:rsidRPr="006E1CBF">
        <w:rPr>
          <w:rFonts w:ascii="Times New Roman" w:hAnsi="Times New Roman" w:cs="Times New Roman"/>
        </w:rPr>
        <w:t>Expression patterns of COL4A1 and MAGT1 in human brain tissue.</w:t>
      </w:r>
      <w:r w:rsidRPr="00100245">
        <w:rPr>
          <w:rFonts w:ascii="Times New Roman" w:hAnsi="Times New Roman" w:cs="Times New Roman"/>
          <w:b/>
          <w:bCs/>
        </w:rPr>
        <w:t xml:space="preserve"> </w:t>
      </w:r>
      <w:r>
        <w:rPr>
          <w:rFonts w:ascii="Times New Roman" w:hAnsi="Times New Roman" w:cs="Times New Roman"/>
        </w:rPr>
        <w:br/>
      </w:r>
      <w:r w:rsidRPr="006E1CBF">
        <w:rPr>
          <w:rFonts w:ascii="Times New Roman" w:hAnsi="Times New Roman" w:cs="Times New Roman"/>
          <w:sz w:val="20"/>
          <w:szCs w:val="20"/>
        </w:rPr>
        <w:t>Representative immunohistochemistry images from the Human Protein Atlas illustrating (A) COL4A1 localization predominantly associated with vascular and basement membrane structures in cerebral microvessels, and (B) widespread MAGT1 expression in the human cerebral cortex. Images are provided for contextual support of the proposed glycosylation–matrix vulnerability axis and do not imply variant-specific or disease-specific pathology. Images reproduced from the Human Protein Atlas (</w:t>
      </w:r>
      <w:hyperlink r:id="rId5" w:tgtFrame="_blank" w:history="1">
        <w:r w:rsidRPr="006E1CBF">
          <w:rPr>
            <w:rStyle w:val="Hyperlink"/>
            <w:rFonts w:ascii="Times New Roman" w:hAnsi="Times New Roman" w:cs="Times New Roman"/>
            <w:sz w:val="20"/>
            <w:szCs w:val="20"/>
          </w:rPr>
          <w:t>https://www.proteinatlas.org</w:t>
        </w:r>
      </w:hyperlink>
      <w:r w:rsidRPr="006E1CBF">
        <w:rPr>
          <w:rFonts w:ascii="Times New Roman" w:hAnsi="Times New Roman" w:cs="Times New Roman"/>
          <w:sz w:val="20"/>
          <w:szCs w:val="20"/>
        </w:rPr>
        <w:t>) under the Creative Commons Attribution-ShareAlike 4.0 International License (CC BY-SA 4.0).</w:t>
      </w:r>
    </w:p>
    <w:p w14:paraId="236EB594" w14:textId="77777777" w:rsidR="00403AA1" w:rsidRDefault="00403AA1" w:rsidP="00403AA1">
      <w:pPr>
        <w:jc w:val="both"/>
        <w:rPr>
          <w:rFonts w:ascii="Times New Roman" w:hAnsi="Times New Roman" w:cs="Times New Roman"/>
          <w:b/>
          <w:bCs/>
        </w:rPr>
      </w:pPr>
    </w:p>
    <w:p w14:paraId="6938B7AB" w14:textId="77777777" w:rsidR="00403AA1" w:rsidRDefault="00403AA1" w:rsidP="00403AA1">
      <w:pPr>
        <w:jc w:val="both"/>
        <w:rPr>
          <w:rFonts w:ascii="Times New Roman" w:hAnsi="Times New Roman" w:cs="Times New Roman"/>
          <w:b/>
          <w:bCs/>
        </w:rPr>
      </w:pPr>
    </w:p>
    <w:p w14:paraId="3FEB1135" w14:textId="77777777" w:rsidR="00403AA1" w:rsidRDefault="00403AA1" w:rsidP="00403AA1">
      <w:pPr>
        <w:jc w:val="both"/>
        <w:rPr>
          <w:rFonts w:ascii="Times New Roman" w:hAnsi="Times New Roman" w:cs="Times New Roman"/>
          <w:b/>
          <w:bCs/>
        </w:rPr>
      </w:pPr>
    </w:p>
    <w:p w14:paraId="38000249" w14:textId="77777777" w:rsidR="00403AA1" w:rsidRDefault="00403AA1" w:rsidP="00403AA1">
      <w:pPr>
        <w:jc w:val="both"/>
        <w:rPr>
          <w:rFonts w:ascii="Times New Roman" w:hAnsi="Times New Roman" w:cs="Times New Roman"/>
          <w:b/>
          <w:bCs/>
        </w:rPr>
      </w:pPr>
    </w:p>
    <w:p w14:paraId="736470CD" w14:textId="77777777" w:rsidR="00403AA1" w:rsidRDefault="00403AA1" w:rsidP="00403AA1">
      <w:pPr>
        <w:jc w:val="both"/>
        <w:rPr>
          <w:rFonts w:ascii="Times New Roman" w:hAnsi="Times New Roman" w:cs="Times New Roman"/>
          <w:b/>
          <w:bCs/>
        </w:rPr>
      </w:pPr>
    </w:p>
    <w:p w14:paraId="6F4850D8" w14:textId="77777777" w:rsidR="00403AA1" w:rsidRDefault="00403AA1" w:rsidP="00403AA1">
      <w:pPr>
        <w:jc w:val="both"/>
        <w:rPr>
          <w:rFonts w:ascii="Times New Roman" w:hAnsi="Times New Roman" w:cs="Times New Roman"/>
          <w:b/>
          <w:bCs/>
        </w:rPr>
      </w:pPr>
    </w:p>
    <w:p w14:paraId="44526FB8" w14:textId="77777777" w:rsidR="00403AA1" w:rsidRDefault="00403AA1" w:rsidP="00403AA1">
      <w:pPr>
        <w:jc w:val="both"/>
        <w:rPr>
          <w:rFonts w:ascii="Times New Roman" w:hAnsi="Times New Roman" w:cs="Times New Roman"/>
          <w:b/>
          <w:bCs/>
        </w:rPr>
      </w:pPr>
    </w:p>
    <w:p w14:paraId="2994CC6C" w14:textId="77777777" w:rsidR="00403AA1" w:rsidRDefault="00403AA1" w:rsidP="00403AA1">
      <w:pPr>
        <w:jc w:val="both"/>
        <w:rPr>
          <w:rFonts w:ascii="Times New Roman" w:hAnsi="Times New Roman" w:cs="Times New Roman"/>
          <w:b/>
          <w:bCs/>
        </w:rPr>
      </w:pPr>
    </w:p>
    <w:p w14:paraId="4C731843" w14:textId="77777777" w:rsidR="00403AA1" w:rsidRDefault="00403AA1" w:rsidP="00403AA1">
      <w:pPr>
        <w:jc w:val="both"/>
        <w:rPr>
          <w:rFonts w:ascii="Times New Roman" w:hAnsi="Times New Roman" w:cs="Times New Roman"/>
          <w:b/>
          <w:bCs/>
        </w:rPr>
      </w:pPr>
    </w:p>
    <w:p w14:paraId="767691B0" w14:textId="77777777" w:rsidR="00403AA1" w:rsidRPr="00E3727C" w:rsidRDefault="00403AA1" w:rsidP="00403AA1">
      <w:r w:rsidRPr="00E3727C">
        <w:rPr>
          <w:noProof/>
        </w:rPr>
        <w:lastRenderedPageBreak/>
        <w:drawing>
          <wp:inline distT="0" distB="0" distL="0" distR="0" wp14:anchorId="67CC5D18" wp14:editId="261C41DB">
            <wp:extent cx="5760720" cy="5110480"/>
            <wp:effectExtent l="0" t="0" r="0" b="0"/>
            <wp:docPr id="1856252324" name="Resim 2" descr="metin, ekran görüntüsü,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252324" name="Resim 2" descr="metin, ekran görüntüsü, yazı tipi içeren bir resim&#10;&#10;Yapay zeka tarafından oluşturulmuş içerik yanlış olabili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5110480"/>
                    </a:xfrm>
                    <a:prstGeom prst="rect">
                      <a:avLst/>
                    </a:prstGeom>
                    <a:noFill/>
                    <a:ln>
                      <a:noFill/>
                    </a:ln>
                  </pic:spPr>
                </pic:pic>
              </a:graphicData>
            </a:graphic>
          </wp:inline>
        </w:drawing>
      </w:r>
    </w:p>
    <w:p w14:paraId="3DBFF47D" w14:textId="77777777" w:rsidR="00403AA1" w:rsidRPr="00F66F12" w:rsidRDefault="00403AA1" w:rsidP="00403AA1">
      <w:pPr>
        <w:spacing w:line="360" w:lineRule="auto"/>
        <w:rPr>
          <w:rFonts w:ascii="Times New Roman" w:hAnsi="Times New Roman" w:cs="Times New Roman"/>
        </w:rPr>
      </w:pPr>
      <w:r w:rsidRPr="00FE6B02">
        <w:rPr>
          <w:rFonts w:ascii="Times New Roman" w:hAnsi="Times New Roman" w:cs="Times New Roman"/>
          <w:b/>
          <w:bCs/>
        </w:rPr>
        <w:t xml:space="preserve">Supplementary Figure S2. </w:t>
      </w:r>
      <w:r w:rsidRPr="00333EDC">
        <w:rPr>
          <w:rFonts w:ascii="Times New Roman" w:hAnsi="Times New Roman" w:cs="Times New Roman"/>
        </w:rPr>
        <w:t>Conceptual model of modifier-sensitive, organ-dominant disease trajectories in XMEN disease</w:t>
      </w:r>
      <w:r>
        <w:rPr>
          <w:rFonts w:ascii="Times New Roman" w:hAnsi="Times New Roman" w:cs="Times New Roman"/>
        </w:rPr>
        <w:br/>
      </w:r>
      <w:r w:rsidRPr="00333EDC">
        <w:rPr>
          <w:rFonts w:ascii="Times New Roman" w:hAnsi="Times New Roman" w:cs="Times New Roman"/>
          <w:sz w:val="20"/>
          <w:szCs w:val="20"/>
        </w:rPr>
        <w:t>This diagram illustrates a conceptual model in which a shared MAGT1 deficiency and chronic EBV viremia give rise to modifier-sensitive, organ-dominant clinical trajectories in XMEN disease. The neurological-dominant trajectory (Type II, left panel) is characterized by progressive neurodegeneration and CNS atrophy and may be influenced by putative genetic and vascular modifiers, including a COL4A1 variant. In contrast, the hematologic–vascular trajectory (right panel) is associated with EBV-driven lymphoproliferation, autoimmune cytopenias, and thrombotic microangiopathy, potentially modulated by chronic immune activation and endothelial stress.</w:t>
      </w:r>
      <w:r>
        <w:rPr>
          <w:rFonts w:ascii="Times New Roman" w:hAnsi="Times New Roman" w:cs="Times New Roman"/>
          <w:sz w:val="20"/>
          <w:szCs w:val="20"/>
        </w:rPr>
        <w:t xml:space="preserve"> </w:t>
      </w:r>
      <w:r w:rsidRPr="0085197B">
        <w:rPr>
          <w:rFonts w:ascii="Times New Roman" w:hAnsi="Times New Roman" w:cs="Times New Roman"/>
          <w:sz w:val="20"/>
          <w:szCs w:val="20"/>
        </w:rPr>
        <w:t>Figure created with BioRender.com.</w:t>
      </w:r>
    </w:p>
    <w:p w14:paraId="08133A74" w14:textId="77777777" w:rsidR="00403AA1" w:rsidRPr="00F66F12" w:rsidRDefault="00403AA1" w:rsidP="00403AA1">
      <w:pPr>
        <w:jc w:val="both"/>
        <w:rPr>
          <w:rFonts w:ascii="Times New Roman" w:hAnsi="Times New Roman" w:cs="Times New Roman"/>
          <w:b/>
          <w:bCs/>
        </w:rPr>
      </w:pPr>
    </w:p>
    <w:p w14:paraId="7A51E845" w14:textId="77777777" w:rsidR="00767E38" w:rsidRDefault="00767E38"/>
    <w:sectPr w:rsidR="00767E38" w:rsidSect="00403AA1">
      <w:footerReference w:type="default" r:id="rI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4214876"/>
      <w:docPartObj>
        <w:docPartGallery w:val="Page Numbers (Bottom of Page)"/>
        <w:docPartUnique/>
      </w:docPartObj>
    </w:sdtPr>
    <w:sdtContent>
      <w:p w14:paraId="251723C2" w14:textId="77777777" w:rsidR="00403AA1" w:rsidRDefault="00403AA1">
        <w:pPr>
          <w:pStyle w:val="Footer"/>
          <w:jc w:val="right"/>
        </w:pPr>
        <w:r>
          <w:fldChar w:fldCharType="begin"/>
        </w:r>
        <w:r>
          <w:instrText>PAGE   \* MERGEFORMAT</w:instrText>
        </w:r>
        <w:r>
          <w:fldChar w:fldCharType="separate"/>
        </w:r>
        <w:r>
          <w:t>2</w:t>
        </w:r>
        <w:r>
          <w:fldChar w:fldCharType="end"/>
        </w:r>
      </w:p>
    </w:sdtContent>
  </w:sdt>
  <w:p w14:paraId="03C3A1F9" w14:textId="77777777" w:rsidR="00403AA1" w:rsidRDefault="00403AA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AA1"/>
    <w:rsid w:val="00403AA1"/>
    <w:rsid w:val="00767E38"/>
    <w:rsid w:val="00866F7D"/>
    <w:rsid w:val="00DC6641"/>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EB1E9"/>
  <w15:chartTrackingRefBased/>
  <w15:docId w15:val="{005428AC-9B33-46ED-B337-BB40B2000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A1"/>
    <w:rPr>
      <w:lang w:val="tr-TR"/>
    </w:rPr>
  </w:style>
  <w:style w:type="paragraph" w:styleId="Heading1">
    <w:name w:val="heading 1"/>
    <w:basedOn w:val="Normal"/>
    <w:next w:val="Normal"/>
    <w:link w:val="Heading1Char"/>
    <w:uiPriority w:val="9"/>
    <w:qFormat/>
    <w:rsid w:val="00403AA1"/>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403AA1"/>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403AA1"/>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403AA1"/>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403AA1"/>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403AA1"/>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403AA1"/>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403AA1"/>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403AA1"/>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A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3A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3A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3A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3A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3A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3A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3A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3AA1"/>
    <w:rPr>
      <w:rFonts w:eastAsiaTheme="majorEastAsia" w:cstheme="majorBidi"/>
      <w:color w:val="272727" w:themeColor="text1" w:themeTint="D8"/>
    </w:rPr>
  </w:style>
  <w:style w:type="paragraph" w:styleId="Title">
    <w:name w:val="Title"/>
    <w:basedOn w:val="Normal"/>
    <w:next w:val="Normal"/>
    <w:link w:val="TitleChar"/>
    <w:uiPriority w:val="10"/>
    <w:qFormat/>
    <w:rsid w:val="00403AA1"/>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403A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3AA1"/>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403A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3AA1"/>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403AA1"/>
    <w:rPr>
      <w:i/>
      <w:iCs/>
      <w:color w:val="404040" w:themeColor="text1" w:themeTint="BF"/>
    </w:rPr>
  </w:style>
  <w:style w:type="paragraph" w:styleId="ListParagraph">
    <w:name w:val="List Paragraph"/>
    <w:basedOn w:val="Normal"/>
    <w:uiPriority w:val="34"/>
    <w:qFormat/>
    <w:rsid w:val="00403AA1"/>
    <w:pPr>
      <w:ind w:left="720"/>
      <w:contextualSpacing/>
    </w:pPr>
    <w:rPr>
      <w:lang w:val="en-IN"/>
    </w:rPr>
  </w:style>
  <w:style w:type="character" w:styleId="IntenseEmphasis">
    <w:name w:val="Intense Emphasis"/>
    <w:basedOn w:val="DefaultParagraphFont"/>
    <w:uiPriority w:val="21"/>
    <w:qFormat/>
    <w:rsid w:val="00403AA1"/>
    <w:rPr>
      <w:i/>
      <w:iCs/>
      <w:color w:val="0F4761" w:themeColor="accent1" w:themeShade="BF"/>
    </w:rPr>
  </w:style>
  <w:style w:type="paragraph" w:styleId="IntenseQuote">
    <w:name w:val="Intense Quote"/>
    <w:basedOn w:val="Normal"/>
    <w:next w:val="Normal"/>
    <w:link w:val="IntenseQuoteChar"/>
    <w:uiPriority w:val="30"/>
    <w:qFormat/>
    <w:rsid w:val="00403A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403AA1"/>
    <w:rPr>
      <w:i/>
      <w:iCs/>
      <w:color w:val="0F4761" w:themeColor="accent1" w:themeShade="BF"/>
    </w:rPr>
  </w:style>
  <w:style w:type="character" w:styleId="IntenseReference">
    <w:name w:val="Intense Reference"/>
    <w:basedOn w:val="DefaultParagraphFont"/>
    <w:uiPriority w:val="32"/>
    <w:qFormat/>
    <w:rsid w:val="00403AA1"/>
    <w:rPr>
      <w:b/>
      <w:bCs/>
      <w:smallCaps/>
      <w:color w:val="0F4761" w:themeColor="accent1" w:themeShade="BF"/>
      <w:spacing w:val="5"/>
    </w:rPr>
  </w:style>
  <w:style w:type="table" w:styleId="PlainTable2">
    <w:name w:val="Plain Table 2"/>
    <w:basedOn w:val="TableNormal"/>
    <w:uiPriority w:val="42"/>
    <w:rsid w:val="00403AA1"/>
    <w:pPr>
      <w:spacing w:after="0" w:line="240" w:lineRule="auto"/>
    </w:pPr>
    <w:rPr>
      <w:lang w:val="tr-T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403AA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03AA1"/>
    <w:rPr>
      <w:lang w:val="tr-TR"/>
    </w:rPr>
  </w:style>
  <w:style w:type="character" w:styleId="Hyperlink">
    <w:name w:val="Hyperlink"/>
    <w:basedOn w:val="DefaultParagraphFont"/>
    <w:uiPriority w:val="99"/>
    <w:unhideWhenUsed/>
    <w:rsid w:val="00403AA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s://www.proteinatlas.or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314</Words>
  <Characters>2109</Characters>
  <Application>Microsoft Office Word</Application>
  <DocSecurity>0</DocSecurity>
  <Lines>57</Lines>
  <Paragraphs>24</Paragraphs>
  <ScaleCrop>false</ScaleCrop>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2026-01-19T07:40:00Z</dcterms:created>
  <dcterms:modified xsi:type="dcterms:W3CDTF">2026-01-19T07:41:00Z</dcterms:modified>
</cp:coreProperties>
</file>