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D27F1E" w14:textId="77777777" w:rsidR="00FF3A69" w:rsidRPr="005B0112" w:rsidRDefault="00FF3A69" w:rsidP="00FF3A69">
      <w:pPr>
        <w:pStyle w:val="Titel"/>
      </w:pPr>
      <w:r w:rsidRPr="005B0112">
        <w:t>The association between the impact factor of a journal and the trueness of findings published therein: a meta-epidemiological study</w:t>
      </w:r>
    </w:p>
    <w:p w14:paraId="5F635586" w14:textId="77777777" w:rsidR="00FF3A69" w:rsidRDefault="00FF3A69" w:rsidP="00FF3A69"/>
    <w:p w14:paraId="00D4D54B" w14:textId="77777777" w:rsidR="00FF3A69" w:rsidRDefault="00FF3A69" w:rsidP="00FF3A69">
      <w:r w:rsidRPr="00FF3A69">
        <w:rPr>
          <w:b/>
        </w:rPr>
        <w:t>Appendix</w:t>
      </w:r>
      <w:r>
        <w:t>:</w:t>
      </w:r>
    </w:p>
    <w:p w14:paraId="00074909" w14:textId="77777777" w:rsidR="00FF3A69" w:rsidRDefault="00FF3A69" w:rsidP="00FF3A69">
      <w:r>
        <w:t>The formulae for the calculation of the outcome variable are</w:t>
      </w:r>
    </w:p>
    <w:p w14:paraId="328986E2" w14:textId="77777777" w:rsidR="00FF3A69" w:rsidRPr="00A231E5" w:rsidRDefault="00FF3A69" w:rsidP="00FF3A69"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rel</m:t>
              </m:r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 xml:space="preserve">. </m:t>
              </m:r>
              <m:r>
                <w:rPr>
                  <w:rFonts w:ascii="Cambria Math" w:hAnsi="Cambria Math"/>
                  <w:lang w:val="en-US"/>
                </w:rPr>
                <m:t>deviation</m:t>
              </m:r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(</m:t>
              </m:r>
              <m:r>
                <w:rPr>
                  <w:rFonts w:ascii="Cambria Math" w:hAnsi="Cambria Math"/>
                  <w:lang w:val="en-US"/>
                </w:rPr>
                <m:t>continuous</m:t>
              </m:r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)</m:t>
              </m:r>
            </m:e>
            <m:sub>
              <m:r>
                <w:rPr>
                  <w:rFonts w:ascii="Cambria Math" w:hAnsi="Cambria Math"/>
                  <w:lang w:val="en-US"/>
                </w:rPr>
                <m:t>j</m:t>
              </m:r>
            </m:sub>
          </m:sSub>
          <m:r>
            <m:rPr>
              <m:sty m:val="p"/>
            </m:rPr>
            <w:rPr>
              <w:rFonts w:ascii="Cambria Math" w:hAnsi="Cambria Math"/>
              <w:lang w:val="en-US"/>
            </w:rPr>
            <m:t xml:space="preserve">= </m:t>
          </m:r>
          <m:f>
            <m:fPr>
              <m:ctrlPr>
                <w:rPr>
                  <w:rFonts w:ascii="Cambria Math" w:hAnsi="Cambria Math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|</m:t>
              </m:r>
              <m:sSub>
                <m:sSubPr>
                  <m:ctrlPr>
                    <w:rPr>
                      <w:rFonts w:ascii="Cambria Math" w:hAnsi="Cambria Math"/>
                      <w:lang w:val="en-US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lang w:val="en-US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Θ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j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-Θ|</m:t>
              </m:r>
            </m:num>
            <m:den>
              <m:box>
                <m:boxPr>
                  <m:ctrlPr>
                    <w:rPr>
                      <w:rFonts w:ascii="Cambria Math" w:hAnsi="Cambria Math"/>
                      <w:lang w:val="en-US"/>
                    </w:rPr>
                  </m:ctrlPr>
                </m:boxPr>
                <m:e>
                  <m:argPr>
                    <m:argSz m:val="-1"/>
                  </m:argPr>
                  <m:f>
                    <m:fPr>
                      <m:ctrlPr>
                        <w:rPr>
                          <w:rFonts w:ascii="Cambria Math" w:hAnsi="Cambria Math"/>
                          <w:lang w:val="en-US"/>
                        </w:rPr>
                      </m:ctrlPr>
                    </m:fPr>
                    <m:num>
                      <m:nary>
                        <m:naryPr>
                          <m:chr m:val="∑"/>
                          <m:limLoc m:val="subSup"/>
                          <m:ctrlPr>
                            <w:rPr>
                              <w:rFonts w:ascii="Cambria Math" w:hAnsi="Cambria Math"/>
                              <w:lang w:val="en-US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i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en-US"/>
                            </w:rPr>
                            <m:t>=1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n</m:t>
                          </m:r>
                        </m:sup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lang w:val="en-US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lang w:val="en-US"/>
                                </w:rPr>
                                <m:t>(|</m:t>
                              </m:r>
                              <m:acc>
                                <m:accPr>
                                  <m:ctrlPr>
                                    <w:rPr>
                                      <w:rFonts w:ascii="Cambria Math" w:hAnsi="Cambria Math"/>
                                      <w:lang w:val="en-US"/>
                                    </w:rPr>
                                  </m:ctrlPr>
                                </m:acc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lang w:val="en-US"/>
                                    </w:rPr>
                                    <m:t>Θ</m:t>
                                  </m:r>
                                </m:e>
                              </m:acc>
                            </m:e>
                            <m:sub>
                              <m:r>
                                <w:rPr>
                                  <w:rFonts w:ascii="Cambria Math" w:hAnsi="Cambria Math"/>
                                  <w:lang w:val="en-US"/>
                                </w:rPr>
                                <m:t>i</m:t>
                              </m:r>
                            </m:sub>
                          </m:s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en-US"/>
                            </w:rPr>
                            <m:t>-Θ|)</m:t>
                          </m:r>
                        </m:e>
                      </m:nary>
                    </m:num>
                    <m:den>
                      <m:r>
                        <w:rPr>
                          <w:rFonts w:ascii="Cambria Math" w:hAnsi="Cambria Math"/>
                          <w:lang w:val="en-US"/>
                        </w:rPr>
                        <m:t>n</m:t>
                      </m:r>
                    </m:den>
                  </m:f>
                </m:e>
              </m:box>
            </m:den>
          </m:f>
        </m:oMath>
      </m:oMathPara>
    </w:p>
    <w:p w14:paraId="61085C4F" w14:textId="77777777" w:rsidR="00FF3A69" w:rsidRDefault="00FF3A69" w:rsidP="00FF3A69">
      <w:r>
        <w:t>for continuous outcome measures and</w:t>
      </w:r>
    </w:p>
    <w:p w14:paraId="18CA2C03" w14:textId="77777777" w:rsidR="00FF3A69" w:rsidRPr="00A231E5" w:rsidRDefault="00FF3A69" w:rsidP="00FF3A69"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rel</m:t>
              </m:r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 xml:space="preserve">. </m:t>
              </m:r>
              <m:r>
                <w:rPr>
                  <w:rFonts w:ascii="Cambria Math" w:hAnsi="Cambria Math"/>
                  <w:lang w:val="en-US"/>
                </w:rPr>
                <m:t>deviation</m:t>
              </m:r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(</m:t>
              </m:r>
              <m:r>
                <w:rPr>
                  <w:rFonts w:ascii="Cambria Math" w:hAnsi="Cambria Math"/>
                  <w:lang w:val="en-US"/>
                </w:rPr>
                <m:t>dichotomous</m:t>
              </m:r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)</m:t>
              </m:r>
            </m:e>
            <m:sub>
              <m:r>
                <w:rPr>
                  <w:rFonts w:ascii="Cambria Math" w:hAnsi="Cambria Math"/>
                  <w:lang w:val="en-US"/>
                </w:rPr>
                <m:t>j</m:t>
              </m:r>
            </m:sub>
          </m:sSub>
          <m:r>
            <m:rPr>
              <m:sty m:val="p"/>
            </m:rPr>
            <w:rPr>
              <w:rFonts w:ascii="Cambria Math" w:hAnsi="Cambria Math"/>
              <w:lang w:val="en-US"/>
            </w:rPr>
            <m:t xml:space="preserve">= </m:t>
          </m:r>
          <m:f>
            <m:fPr>
              <m:ctrlPr>
                <w:rPr>
                  <w:rFonts w:ascii="Cambria Math" w:hAnsi="Cambria Math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|log⁡(</m:t>
              </m:r>
              <m:sSub>
                <m:sSubPr>
                  <m:ctrlPr>
                    <w:rPr>
                      <w:rFonts w:ascii="Cambria Math" w:hAnsi="Cambria Math"/>
                      <w:lang w:val="en-US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lang w:val="en-US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Θ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j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)-log⁡(Θ)|</m:t>
              </m:r>
            </m:num>
            <m:den>
              <m:box>
                <m:boxPr>
                  <m:ctrlPr>
                    <w:rPr>
                      <w:rFonts w:ascii="Cambria Math" w:hAnsi="Cambria Math"/>
                      <w:lang w:val="en-US"/>
                    </w:rPr>
                  </m:ctrlPr>
                </m:boxPr>
                <m:e>
                  <m:argPr>
                    <m:argSz m:val="-1"/>
                  </m:argPr>
                  <m:f>
                    <m:fPr>
                      <m:ctrlPr>
                        <w:rPr>
                          <w:rFonts w:ascii="Cambria Math" w:hAnsi="Cambria Math"/>
                          <w:lang w:val="en-US"/>
                        </w:rPr>
                      </m:ctrlPr>
                    </m:fPr>
                    <m:num>
                      <m:nary>
                        <m:naryPr>
                          <m:chr m:val="∑"/>
                          <m:limLoc m:val="subSup"/>
                          <m:ctrlPr>
                            <w:rPr>
                              <w:rFonts w:ascii="Cambria Math" w:hAnsi="Cambria Math"/>
                              <w:lang w:val="en-US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i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en-US"/>
                            </w:rPr>
                            <m:t>=1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n</m:t>
                          </m:r>
                        </m:sup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lang w:val="en-US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lang w:val="en-US"/>
                                </w:rPr>
                                <m:t>(|log⁡(</m:t>
                              </m:r>
                              <m:acc>
                                <m:accPr>
                                  <m:ctrlPr>
                                    <w:rPr>
                                      <w:rFonts w:ascii="Cambria Math" w:hAnsi="Cambria Math"/>
                                      <w:lang w:val="en-US"/>
                                    </w:rPr>
                                  </m:ctrlPr>
                                </m:acc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lang w:val="en-US"/>
                                    </w:rPr>
                                    <m:t>Θ</m:t>
                                  </m:r>
                                </m:e>
                              </m:acc>
                            </m:e>
                            <m:sub>
                              <m:r>
                                <w:rPr>
                                  <w:rFonts w:ascii="Cambria Math" w:hAnsi="Cambria Math"/>
                                  <w:lang w:val="en-US"/>
                                </w:rPr>
                                <m:t>i</m:t>
                              </m:r>
                            </m:sub>
                          </m:s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en-US"/>
                            </w:rPr>
                            <m:t>)-log⁡(Θ)|)</m:t>
                          </m:r>
                        </m:e>
                      </m:nary>
                    </m:num>
                    <m:den>
                      <m:r>
                        <w:rPr>
                          <w:rFonts w:ascii="Cambria Math" w:hAnsi="Cambria Math"/>
                          <w:lang w:val="en-US"/>
                        </w:rPr>
                        <m:t>n</m:t>
                      </m:r>
                    </m:den>
                  </m:f>
                </m:e>
              </m:box>
            </m:den>
          </m:f>
        </m:oMath>
      </m:oMathPara>
    </w:p>
    <w:p w14:paraId="1F074110" w14:textId="77777777" w:rsidR="00446933" w:rsidRPr="00FF3A69" w:rsidRDefault="00FF3A69">
      <w:pPr>
        <w:rPr>
          <w:lang w:val="en-US"/>
        </w:rPr>
      </w:pPr>
      <w:r>
        <w:t>for dichotomous outcome measures, whereas “</w:t>
      </w:r>
      <m:oMath>
        <m:r>
          <m:rPr>
            <m:sty m:val="p"/>
          </m:rPr>
          <w:rPr>
            <w:rFonts w:ascii="Cambria Math" w:hAnsi="Cambria Math"/>
            <w:lang w:val="en-US"/>
          </w:rPr>
          <m:t>Θ</m:t>
        </m:r>
      </m:oMath>
      <w:r>
        <w:t>” represents the pooled effect estimate (“true value”) and “</w:t>
      </w:r>
      <m:oMath>
        <m:acc>
          <m:accPr>
            <m:ctrlPr>
              <w:rPr>
                <w:rFonts w:ascii="Cambria Math" w:hAnsi="Cambria Math"/>
                <w:lang w:val="en-US"/>
              </w:rPr>
            </m:ctrlPr>
          </m:accPr>
          <m:e>
            <m:r>
              <m:rPr>
                <m:sty m:val="p"/>
              </m:rPr>
              <w:rPr>
                <w:rFonts w:ascii="Cambria Math" w:hAnsi="Cambria Math"/>
                <w:lang w:val="en-US"/>
              </w:rPr>
              <m:t>Θ</m:t>
            </m:r>
          </m:e>
        </m:acc>
      </m:oMath>
      <w:r>
        <w:rPr>
          <w:lang w:val="en-US"/>
        </w:rPr>
        <w:t xml:space="preserve">” represents a single study’s point estimate. Pooled effect estimates and point estimates from meta-analyses with dichotomous outcomes are transformed to a linear scale, as, e. g. the distance for a risk ratio of “2” (natural logarithm of 2 </w:t>
      </w:r>
      <w:r w:rsidRPr="00C970D3">
        <w:rPr>
          <w:rStyle w:val="e24kjd"/>
          <w:bCs/>
        </w:rPr>
        <w:t>≈</w:t>
      </w:r>
      <w:r>
        <w:rPr>
          <w:rStyle w:val="e24kjd"/>
          <w:bCs/>
        </w:rPr>
        <w:t xml:space="preserve"> </w:t>
      </w:r>
      <w:r>
        <w:rPr>
          <w:lang w:val="en-US"/>
        </w:rPr>
        <w:t>0.69) from the line of no effect is equivalent to that of “0.5” (natural logarithm of 0</w:t>
      </w:r>
      <w:r w:rsidRPr="00A21523">
        <w:rPr>
          <w:lang w:val="en-US"/>
        </w:rPr>
        <w:t xml:space="preserve">.5 </w:t>
      </w:r>
      <w:r w:rsidRPr="00A21523">
        <w:rPr>
          <w:rStyle w:val="e24kjd"/>
          <w:bCs/>
        </w:rPr>
        <w:t>≈ −0.69)</w:t>
      </w:r>
      <w:r>
        <w:rPr>
          <w:lang w:val="en-US"/>
        </w:rPr>
        <w:t>.</w:t>
      </w:r>
      <w:bookmarkStart w:id="0" w:name="_GoBack"/>
      <w:bookmarkEnd w:id="0"/>
    </w:p>
    <w:sectPr w:rsidR="00446933" w:rsidRPr="00FF3A69" w:rsidSect="009225F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7EwNzcyNjU2NrA0MLdQ0lEKTi0uzszPAykwrAUAKWXsEiwAAAA="/>
  </w:docVars>
  <w:rsids>
    <w:rsidRoot w:val="00FF3A69"/>
    <w:rsid w:val="001C3382"/>
    <w:rsid w:val="00446933"/>
    <w:rsid w:val="009225F7"/>
    <w:rsid w:val="00FF3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1D6C92"/>
  <w15:chartTrackingRefBased/>
  <w15:docId w15:val="{922A5EE8-0B94-43D1-A3F9-7C34F4632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FF3A69"/>
    <w:pPr>
      <w:spacing w:before="240" w:line="480" w:lineRule="auto"/>
    </w:p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24kjd">
    <w:name w:val="e24kjd"/>
    <w:basedOn w:val="Absatz-Standardschriftart"/>
    <w:rsid w:val="00FF3A69"/>
  </w:style>
  <w:style w:type="paragraph" w:styleId="Titel">
    <w:name w:val="Title"/>
    <w:basedOn w:val="Standard"/>
    <w:next w:val="Standard"/>
    <w:link w:val="TitelZchn"/>
    <w:uiPriority w:val="10"/>
    <w:qFormat/>
    <w:rsid w:val="00FF3A69"/>
    <w:rPr>
      <w:b/>
      <w:bCs/>
      <w:sz w:val="28"/>
      <w:szCs w:val="28"/>
    </w:rPr>
  </w:style>
  <w:style w:type="character" w:customStyle="1" w:styleId="TitelZchn">
    <w:name w:val="Titel Zchn"/>
    <w:basedOn w:val="Absatz-Standardschriftart"/>
    <w:link w:val="Titel"/>
    <w:uiPriority w:val="10"/>
    <w:rsid w:val="00FF3A69"/>
    <w:rPr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782</Characters>
  <Application>Microsoft Office Word</Application>
  <DocSecurity>0</DocSecurity>
  <Lines>6</Lines>
  <Paragraphs>1</Paragraphs>
  <ScaleCrop>false</ScaleCrop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Andreas Heidenreich</dc:creator>
  <cp:keywords/>
  <dc:description/>
  <cp:lastModifiedBy>Andreas Heidenreich</cp:lastModifiedBy>
  <cp:revision>1</cp:revision>
  <dcterms:created xsi:type="dcterms:W3CDTF">2021-08-31T09:53:00Z</dcterms:created>
  <dcterms:modified xsi:type="dcterms:W3CDTF">2021-08-31T09:55:00Z</dcterms:modified>
</cp:coreProperties>
</file>