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CAED" w14:textId="538D777C" w:rsidR="00E23F19" w:rsidRPr="002F1339" w:rsidRDefault="00AD2DD3" w:rsidP="00E23F19">
      <w:pPr>
        <w:spacing w:before="100" w:beforeAutospacing="1" w:after="100" w:afterAutospacing="1" w:line="240" w:lineRule="auto"/>
        <w:outlineLvl w:val="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S1 </w:t>
      </w:r>
      <w:r w:rsidR="00E23F19" w:rsidRPr="002F1339">
        <w:rPr>
          <w:rFonts w:asciiTheme="majorBidi" w:hAnsiTheme="majorBidi" w:cstheme="majorBidi"/>
          <w:b/>
          <w:bCs/>
          <w:sz w:val="28"/>
          <w:szCs w:val="28"/>
        </w:rPr>
        <w:t xml:space="preserve">Appendix. </w:t>
      </w:r>
      <w:r w:rsidR="00E23F19" w:rsidRPr="002F133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Information Extraction Categories Based on FDA </w:t>
      </w:r>
      <w:proofErr w:type="spellStart"/>
      <w:r w:rsidR="00E23F19" w:rsidRPr="002F133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cUTI</w:t>
      </w:r>
      <w:proofErr w:type="spellEnd"/>
      <w:r w:rsidR="00E23F19" w:rsidRPr="002F133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Guidance</w:t>
      </w:r>
    </w:p>
    <w:p w14:paraId="504BA410" w14:textId="77777777" w:rsidR="00E23F19" w:rsidRPr="00787580" w:rsidRDefault="00E23F19" w:rsidP="00E23F1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7580">
        <w:rPr>
          <w:rFonts w:ascii="Times New Roman" w:eastAsia="Times New Roman" w:hAnsi="Times New Roman" w:cs="Times New Roman"/>
          <w:kern w:val="0"/>
          <w14:ligatures w14:val="none"/>
        </w:rPr>
        <w:t xml:space="preserve">For each antibiotic, nine categories of information were defined according to the </w:t>
      </w:r>
      <w:r w:rsidRPr="002F1339">
        <w:rPr>
          <w:rFonts w:ascii="Times New Roman" w:eastAsia="Times New Roman" w:hAnsi="Times New Roman" w:cs="Times New Roman"/>
          <w:kern w:val="0"/>
          <w14:ligatures w14:val="none"/>
        </w:rPr>
        <w:t>U.S. Food and Drug Administration (FDA) Guidance for Industry: Complicated Urinary Tract Infections.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Pr="00787580">
        <w:rPr>
          <w:rFonts w:ascii="Times New Roman" w:eastAsia="Times New Roman" w:hAnsi="Times New Roman" w:cs="Times New Roman"/>
          <w:kern w:val="0"/>
          <w14:ligatures w14:val="none"/>
        </w:rPr>
        <w:t>These categories were used to structure the evaluation and prompting of large language models (LLMs).</w:t>
      </w:r>
    </w:p>
    <w:p w14:paraId="00E1DBF9" w14:textId="77777777" w:rsidR="00E23F19" w:rsidRPr="0095774A" w:rsidRDefault="00E23F19" w:rsidP="00E23F19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color w:val="000000"/>
        </w:rPr>
      </w:pPr>
      <w:r w:rsidRPr="0095774A">
        <w:rPr>
          <w:rFonts w:asciiTheme="majorBidi" w:hAnsiTheme="majorBidi" w:cstheme="majorBidi"/>
          <w:color w:val="000000"/>
        </w:rPr>
        <w:t xml:space="preserve">Patient population for a </w:t>
      </w:r>
      <w:proofErr w:type="spellStart"/>
      <w:r w:rsidRPr="0095774A">
        <w:rPr>
          <w:rFonts w:asciiTheme="majorBidi" w:hAnsiTheme="majorBidi" w:cstheme="majorBidi"/>
          <w:color w:val="000000"/>
        </w:rPr>
        <w:t>cUTI</w:t>
      </w:r>
      <w:proofErr w:type="spellEnd"/>
      <w:r w:rsidRPr="0095774A">
        <w:rPr>
          <w:rFonts w:asciiTheme="majorBidi" w:hAnsiTheme="majorBidi" w:cstheme="majorBidi"/>
          <w:color w:val="000000"/>
        </w:rPr>
        <w:t xml:space="preserve"> trial, including ≥30% with pyelonephritis.</w:t>
      </w:r>
    </w:p>
    <w:p w14:paraId="73C090FB" w14:textId="77777777" w:rsidR="00E23F19" w:rsidRPr="0095774A" w:rsidRDefault="00E23F19" w:rsidP="00E23F19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color w:val="000000"/>
        </w:rPr>
      </w:pPr>
      <w:r w:rsidRPr="0095774A">
        <w:rPr>
          <w:rFonts w:asciiTheme="majorBidi" w:hAnsiTheme="majorBidi" w:cstheme="majorBidi"/>
          <w:color w:val="000000"/>
        </w:rPr>
        <w:t xml:space="preserve">Trial design, including appropriate use of randomization, blinding, comparator, </w:t>
      </w:r>
      <w:r>
        <w:rPr>
          <w:rFonts w:asciiTheme="majorBidi" w:hAnsiTheme="majorBidi" w:cstheme="majorBidi"/>
          <w:color w:val="000000"/>
        </w:rPr>
        <w:t xml:space="preserve">and </w:t>
      </w:r>
      <w:r w:rsidRPr="0095774A">
        <w:rPr>
          <w:rFonts w:asciiTheme="majorBidi" w:hAnsiTheme="majorBidi" w:cstheme="majorBidi"/>
          <w:color w:val="000000"/>
        </w:rPr>
        <w:t>trial type (noninferiority or superiority).</w:t>
      </w:r>
    </w:p>
    <w:p w14:paraId="3D86EFDC" w14:textId="77777777" w:rsidR="00E23F19" w:rsidRPr="0095774A" w:rsidRDefault="00E23F19" w:rsidP="00E23F19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color w:val="000000"/>
        </w:rPr>
      </w:pPr>
      <w:r w:rsidRPr="0095774A">
        <w:rPr>
          <w:rFonts w:asciiTheme="majorBidi" w:hAnsiTheme="majorBidi" w:cstheme="majorBidi"/>
          <w:color w:val="000000"/>
        </w:rPr>
        <w:t>Inclusion criteria specifically require≥2 clinical symptoms and pyuria.</w:t>
      </w:r>
    </w:p>
    <w:p w14:paraId="7CACA7E8" w14:textId="77777777" w:rsidR="00E23F19" w:rsidRPr="0095774A" w:rsidRDefault="00E23F19" w:rsidP="00E23F19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color w:val="000000"/>
        </w:rPr>
      </w:pPr>
      <w:r w:rsidRPr="0095774A">
        <w:rPr>
          <w:rFonts w:asciiTheme="majorBidi" w:hAnsiTheme="majorBidi" w:cstheme="majorBidi"/>
          <w:color w:val="000000"/>
        </w:rPr>
        <w:t>Exclusion criteria include exclusion of pre-treated patients, those with unrelated infections (e.g., prostatitis), or uncomplicated UTIs.</w:t>
      </w:r>
    </w:p>
    <w:p w14:paraId="06B25915" w14:textId="77777777" w:rsidR="00E23F19" w:rsidRPr="0095774A" w:rsidRDefault="00E23F19" w:rsidP="00E23F19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color w:val="000000"/>
        </w:rPr>
      </w:pPr>
      <w:r w:rsidRPr="0095774A">
        <w:rPr>
          <w:rFonts w:asciiTheme="majorBidi" w:hAnsiTheme="majorBidi" w:cstheme="majorBidi"/>
          <w:color w:val="000000"/>
        </w:rPr>
        <w:t xml:space="preserve">Appropriately address patient diversity and address plans for pediatric and pregnant populations, including renal/hepatic impairment. </w:t>
      </w:r>
    </w:p>
    <w:p w14:paraId="03104064" w14:textId="77777777" w:rsidR="00E23F19" w:rsidRPr="0095774A" w:rsidRDefault="00E23F19" w:rsidP="00E23F19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color w:val="000000"/>
        </w:rPr>
      </w:pPr>
      <w:r w:rsidRPr="0095774A">
        <w:rPr>
          <w:rFonts w:asciiTheme="majorBidi" w:hAnsiTheme="majorBidi" w:cstheme="majorBidi"/>
          <w:color w:val="000000"/>
        </w:rPr>
        <w:t xml:space="preserve">Active comparator aligned with </w:t>
      </w:r>
      <w:r>
        <w:rPr>
          <w:rFonts w:asciiTheme="majorBidi" w:hAnsiTheme="majorBidi" w:cstheme="majorBidi"/>
          <w:color w:val="000000"/>
        </w:rPr>
        <w:t xml:space="preserve">the </w:t>
      </w:r>
      <w:r w:rsidRPr="0095774A">
        <w:rPr>
          <w:rFonts w:asciiTheme="majorBidi" w:hAnsiTheme="majorBidi" w:cstheme="majorBidi"/>
          <w:color w:val="000000"/>
        </w:rPr>
        <w:t xml:space="preserve">U.S. standard of care and expert guidance (e.g., IDSA). </w:t>
      </w:r>
    </w:p>
    <w:p w14:paraId="2182F3ED" w14:textId="77777777" w:rsidR="00E23F19" w:rsidRPr="0095774A" w:rsidRDefault="00E23F19" w:rsidP="00E23F19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color w:val="000000"/>
        </w:rPr>
      </w:pPr>
      <w:r w:rsidRPr="0095774A">
        <w:rPr>
          <w:rFonts w:asciiTheme="majorBidi" w:hAnsiTheme="majorBidi" w:cstheme="majorBidi"/>
          <w:color w:val="000000"/>
        </w:rPr>
        <w:t>Primary efficacy endpoints, including use of a responder outcome (clinical + microbiologic success)</w:t>
      </w:r>
      <w:r>
        <w:rPr>
          <w:rFonts w:asciiTheme="majorBidi" w:hAnsiTheme="majorBidi" w:cstheme="majorBidi"/>
          <w:color w:val="000000"/>
        </w:rPr>
        <w:t>, were</w:t>
      </w:r>
      <w:r w:rsidRPr="0095774A">
        <w:rPr>
          <w:rFonts w:asciiTheme="majorBidi" w:hAnsiTheme="majorBidi" w:cstheme="majorBidi"/>
          <w:color w:val="000000"/>
        </w:rPr>
        <w:t xml:space="preserve"> assessed at a fixed post-therapy time point with appropriate symptom resolution criteria. </w:t>
      </w:r>
    </w:p>
    <w:p w14:paraId="37D49C66" w14:textId="77777777" w:rsidR="00E23F19" w:rsidRPr="0095774A" w:rsidRDefault="00E23F19" w:rsidP="00E23F19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color w:val="000000"/>
        </w:rPr>
      </w:pPr>
      <w:r w:rsidRPr="0095774A">
        <w:rPr>
          <w:rFonts w:asciiTheme="majorBidi" w:hAnsiTheme="majorBidi" w:cstheme="majorBidi"/>
          <w:color w:val="000000"/>
        </w:rPr>
        <w:t xml:space="preserve">Secondary endpoints include sustained symptom resolution and microbiologic success at 21–28 days, with separate reporting of clinical and microbiological outcomes. </w:t>
      </w:r>
    </w:p>
    <w:p w14:paraId="3206E361" w14:textId="77777777" w:rsidR="00E23F19" w:rsidRDefault="00E23F19" w:rsidP="00E23F19">
      <w:pPr>
        <w:rPr>
          <w:rFonts w:asciiTheme="majorBidi" w:hAnsiTheme="majorBidi" w:cstheme="majorBidi"/>
          <w:color w:val="000000"/>
        </w:rPr>
      </w:pPr>
      <w:r w:rsidRPr="0095774A">
        <w:rPr>
          <w:rFonts w:asciiTheme="majorBidi" w:hAnsiTheme="majorBidi" w:cstheme="majorBidi"/>
          <w:color w:val="000000"/>
        </w:rPr>
        <w:t>Statistical considerations, including pre-specification of the analysis plan, definition of</w:t>
      </w:r>
    </w:p>
    <w:p w14:paraId="76D5A82B" w14:textId="1DC88E46" w:rsidR="00046A31" w:rsidRDefault="00E23F19" w:rsidP="00E23F19">
      <w:pPr>
        <w:rPr>
          <w:rFonts w:asciiTheme="majorBidi" w:hAnsiTheme="majorBidi" w:cstheme="majorBidi"/>
          <w:color w:val="000000"/>
        </w:rPr>
      </w:pPr>
      <w:r w:rsidRPr="0095774A">
        <w:rPr>
          <w:rFonts w:asciiTheme="majorBidi" w:hAnsiTheme="majorBidi" w:cstheme="majorBidi"/>
          <w:color w:val="000000"/>
        </w:rPr>
        <w:t>ITT/micro-ITT populations, and use of micro-ITT for primary efficacy analysis</w:t>
      </w:r>
      <w:r>
        <w:rPr>
          <w:rFonts w:asciiTheme="majorBidi" w:hAnsiTheme="majorBidi" w:cstheme="majorBidi"/>
          <w:color w:val="000000"/>
        </w:rPr>
        <w:t xml:space="preserve">. </w:t>
      </w:r>
    </w:p>
    <w:p w14:paraId="71B3B404" w14:textId="77777777" w:rsidR="00E23F19" w:rsidRDefault="00E23F19" w:rsidP="00E23F19">
      <w:pPr>
        <w:rPr>
          <w:rFonts w:asciiTheme="majorBidi" w:hAnsiTheme="majorBidi" w:cstheme="majorBidi"/>
          <w:color w:val="000000"/>
        </w:rPr>
      </w:pPr>
    </w:p>
    <w:p w14:paraId="2F0B8756" w14:textId="77777777" w:rsidR="00E23F19" w:rsidRDefault="00E23F19" w:rsidP="00E23F19">
      <w:pPr>
        <w:rPr>
          <w:rFonts w:asciiTheme="majorBidi" w:hAnsiTheme="majorBidi" w:cstheme="majorBidi"/>
          <w:color w:val="000000"/>
        </w:rPr>
      </w:pPr>
    </w:p>
    <w:p w14:paraId="3DCE0706" w14:textId="0D2EA5F6" w:rsidR="00E23F19" w:rsidRPr="002F1339" w:rsidRDefault="00AD2DD3" w:rsidP="00E23F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 xml:space="preserve">S2 </w:t>
      </w:r>
      <w:r w:rsidR="00E23F19" w:rsidRPr="002F13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Appendix. Example of Prompt Templates Used for Information Extraction</w:t>
      </w:r>
    </w:p>
    <w:p w14:paraId="23F03BBC" w14:textId="77777777" w:rsidR="00E23F19" w:rsidRDefault="00E23F19" w:rsidP="00E23F1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92470F">
        <w:rPr>
          <w:rFonts w:ascii="Times New Roman" w:eastAsia="Times New Roman" w:hAnsi="Times New Roman" w:cs="Times New Roman"/>
          <w:kern w:val="0"/>
          <w14:ligatures w14:val="none"/>
        </w:rPr>
        <w:t xml:space="preserve">The following example illustrates how general and detailed prompts were structured to evaluate whether </w:t>
      </w:r>
      <w:proofErr w:type="spellStart"/>
      <w:r w:rsidRPr="002F1339">
        <w:rPr>
          <w:rFonts w:ascii="Times New Roman" w:eastAsia="Times New Roman" w:hAnsi="Times New Roman" w:cs="Times New Roman"/>
          <w:kern w:val="0"/>
          <w14:ligatures w14:val="none"/>
        </w:rPr>
        <w:t>Cefiderocol</w:t>
      </w:r>
      <w:proofErr w:type="spellEnd"/>
      <w:r w:rsidRPr="0092470F">
        <w:rPr>
          <w:rFonts w:ascii="Times New Roman" w:eastAsia="Times New Roman" w:hAnsi="Times New Roman" w:cs="Times New Roman"/>
          <w:kern w:val="0"/>
          <w14:ligatures w14:val="none"/>
        </w:rPr>
        <w:t xml:space="preserve"> clinical trials included an appropriate patient population, as defined in the FDA’s </w:t>
      </w:r>
      <w:r w:rsidRPr="0092470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Guidance for Industry: Complicated Urinary Tract Infections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. </w:t>
      </w:r>
    </w:p>
    <w:p w14:paraId="52306ADF" w14:textId="77777777" w:rsidR="00E23F19" w:rsidRPr="00C61946" w:rsidRDefault="00E23F19" w:rsidP="00E23F19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</w:rPr>
      </w:pPr>
      <w:r w:rsidRPr="00C61946">
        <w:rPr>
          <w:rFonts w:asciiTheme="majorBidi" w:hAnsiTheme="majorBidi" w:cstheme="majorBidi"/>
        </w:rPr>
        <w:t xml:space="preserve">General prompts: </w:t>
      </w:r>
    </w:p>
    <w:p w14:paraId="2680C31B" w14:textId="77777777" w:rsidR="00E23F19" w:rsidRPr="0095774A" w:rsidRDefault="00E23F19" w:rsidP="00E23F19">
      <w:pPr>
        <w:spacing w:line="480" w:lineRule="auto"/>
        <w:jc w:val="both"/>
        <w:rPr>
          <w:rFonts w:asciiTheme="majorBidi" w:hAnsiTheme="majorBidi" w:cstheme="majorBidi"/>
          <w:color w:val="000000"/>
        </w:rPr>
      </w:pPr>
      <w:r w:rsidRPr="0095774A">
        <w:rPr>
          <w:rFonts w:asciiTheme="majorBidi" w:hAnsiTheme="majorBidi" w:cstheme="majorBidi"/>
          <w:color w:val="000000"/>
        </w:rPr>
        <w:t xml:space="preserve">“Using both the FDA </w:t>
      </w:r>
      <w:proofErr w:type="spellStart"/>
      <w:r w:rsidRPr="0095774A">
        <w:rPr>
          <w:rFonts w:asciiTheme="majorBidi" w:hAnsiTheme="majorBidi" w:cstheme="majorBidi"/>
          <w:color w:val="000000"/>
        </w:rPr>
        <w:t>Cefiderocol</w:t>
      </w:r>
      <w:proofErr w:type="spellEnd"/>
      <w:r w:rsidRPr="0095774A">
        <w:rPr>
          <w:rFonts w:asciiTheme="majorBidi" w:hAnsiTheme="majorBidi" w:cstheme="majorBidi"/>
          <w:color w:val="000000"/>
        </w:rPr>
        <w:t xml:space="preserve"> review and the FDA </w:t>
      </w:r>
      <w:proofErr w:type="spellStart"/>
      <w:r w:rsidRPr="0095774A">
        <w:rPr>
          <w:rFonts w:asciiTheme="majorBidi" w:hAnsiTheme="majorBidi" w:cstheme="majorBidi"/>
          <w:color w:val="000000"/>
        </w:rPr>
        <w:t>cUTI</w:t>
      </w:r>
      <w:proofErr w:type="spellEnd"/>
      <w:r w:rsidRPr="0095774A">
        <w:rPr>
          <w:rFonts w:asciiTheme="majorBidi" w:hAnsiTheme="majorBidi" w:cstheme="majorBidi"/>
          <w:color w:val="000000"/>
        </w:rPr>
        <w:t xml:space="preserve"> guidance, Does the clinical trial described in this </w:t>
      </w:r>
      <w:proofErr w:type="spellStart"/>
      <w:r w:rsidRPr="0095774A">
        <w:rPr>
          <w:rFonts w:asciiTheme="majorBidi" w:hAnsiTheme="majorBidi" w:cstheme="majorBidi"/>
          <w:color w:val="000000"/>
        </w:rPr>
        <w:t>Cefiderocol</w:t>
      </w:r>
      <w:proofErr w:type="spellEnd"/>
      <w:r w:rsidRPr="0095774A">
        <w:rPr>
          <w:rFonts w:asciiTheme="majorBidi" w:hAnsiTheme="majorBidi" w:cstheme="majorBidi"/>
          <w:color w:val="000000"/>
        </w:rPr>
        <w:t xml:space="preserve"> review include an appropriate patient population for the indication of complicated urinary tract infections (</w:t>
      </w:r>
      <w:proofErr w:type="spellStart"/>
      <w:r w:rsidRPr="0095774A">
        <w:rPr>
          <w:rFonts w:asciiTheme="majorBidi" w:hAnsiTheme="majorBidi" w:cstheme="majorBidi"/>
          <w:color w:val="000000"/>
        </w:rPr>
        <w:t>cUTI</w:t>
      </w:r>
      <w:proofErr w:type="spellEnd"/>
      <w:r w:rsidRPr="0095774A">
        <w:rPr>
          <w:rFonts w:asciiTheme="majorBidi" w:hAnsiTheme="majorBidi" w:cstheme="majorBidi"/>
          <w:color w:val="000000"/>
        </w:rPr>
        <w:t>) including pyelonephritis? Specifically, does the trial meet the FDA recommendation that at least 30% of enrolled patients should have pyelonephritis?”</w:t>
      </w:r>
    </w:p>
    <w:p w14:paraId="34C9B156" w14:textId="77777777" w:rsidR="00E23F19" w:rsidRPr="00C61946" w:rsidRDefault="00E23F19" w:rsidP="00E23F19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</w:rPr>
      </w:pPr>
      <w:r w:rsidRPr="00C61946">
        <w:rPr>
          <w:rFonts w:asciiTheme="majorBidi" w:hAnsiTheme="majorBidi" w:cstheme="majorBidi"/>
        </w:rPr>
        <w:t xml:space="preserve">Detailed Prompts: </w:t>
      </w:r>
    </w:p>
    <w:p w14:paraId="38A4F181" w14:textId="77777777" w:rsidR="00E23F19" w:rsidRDefault="00E23F19" w:rsidP="00E23F19">
      <w:pPr>
        <w:spacing w:line="480" w:lineRule="auto"/>
        <w:rPr>
          <w:rFonts w:asciiTheme="majorBidi" w:hAnsiTheme="majorBidi" w:cstheme="majorBidi"/>
          <w:color w:val="000000"/>
        </w:rPr>
      </w:pPr>
      <w:r w:rsidRPr="0095774A">
        <w:rPr>
          <w:rFonts w:asciiTheme="majorBidi" w:hAnsiTheme="majorBidi" w:cstheme="majorBidi"/>
          <w:color w:val="000000"/>
        </w:rPr>
        <w:t>“You are a regulatory affairs expert. Based on the FDA guidance titled “Complicated Urinary Tract Infections: Developing Drugs for Treatment,” please evaluate whether the clinical trial described in the following FDA review adheres to the patient population requirement. Specifically, answer the following</w:t>
      </w:r>
      <w:r>
        <w:rPr>
          <w:rFonts w:asciiTheme="majorBidi" w:hAnsiTheme="majorBidi" w:cstheme="majorBidi"/>
          <w:color w:val="000000"/>
        </w:rPr>
        <w:t xml:space="preserve"> </w:t>
      </w:r>
      <w:r w:rsidRPr="0095774A">
        <w:rPr>
          <w:rFonts w:asciiTheme="majorBidi" w:hAnsiTheme="majorBidi" w:cstheme="majorBidi"/>
          <w:color w:val="000000"/>
        </w:rPr>
        <w:t>questions:</w:t>
      </w:r>
    </w:p>
    <w:p w14:paraId="2AD1C3B9" w14:textId="77777777" w:rsidR="00E23F19" w:rsidRPr="00BF5FB6" w:rsidRDefault="00E23F19" w:rsidP="00E23F19">
      <w:pPr>
        <w:pStyle w:val="ListParagraph"/>
        <w:numPr>
          <w:ilvl w:val="0"/>
          <w:numId w:val="3"/>
        </w:numPr>
        <w:spacing w:after="0" w:line="480" w:lineRule="auto"/>
        <w:rPr>
          <w:rFonts w:asciiTheme="majorBidi" w:hAnsiTheme="majorBidi" w:cstheme="majorBidi"/>
          <w:color w:val="000000"/>
        </w:rPr>
      </w:pPr>
      <w:r w:rsidRPr="00BF5FB6">
        <w:rPr>
          <w:rFonts w:asciiTheme="majorBidi" w:hAnsiTheme="majorBidi" w:cstheme="majorBidi"/>
          <w:color w:val="000000"/>
        </w:rPr>
        <w:t>Did the trial enroll patients with complicated urinary tract infections (</w:t>
      </w:r>
      <w:proofErr w:type="spellStart"/>
      <w:r w:rsidRPr="00BF5FB6">
        <w:rPr>
          <w:rFonts w:asciiTheme="majorBidi" w:hAnsiTheme="majorBidi" w:cstheme="majorBidi"/>
          <w:color w:val="000000"/>
        </w:rPr>
        <w:t>cUTI</w:t>
      </w:r>
      <w:proofErr w:type="spellEnd"/>
      <w:r w:rsidRPr="00BF5FB6">
        <w:rPr>
          <w:rFonts w:asciiTheme="majorBidi" w:hAnsiTheme="majorBidi" w:cstheme="majorBidi"/>
          <w:color w:val="000000"/>
        </w:rPr>
        <w:t>)?</w:t>
      </w:r>
    </w:p>
    <w:p w14:paraId="4C4E4C39" w14:textId="77777777" w:rsidR="00E23F19" w:rsidRPr="00BF5FB6" w:rsidRDefault="00E23F19" w:rsidP="00E23F19">
      <w:pPr>
        <w:pStyle w:val="ListParagraph"/>
        <w:numPr>
          <w:ilvl w:val="0"/>
          <w:numId w:val="3"/>
        </w:numPr>
        <w:spacing w:after="0" w:line="480" w:lineRule="auto"/>
        <w:rPr>
          <w:rFonts w:asciiTheme="majorBidi" w:hAnsiTheme="majorBidi" w:cstheme="majorBidi"/>
          <w:color w:val="000000"/>
        </w:rPr>
      </w:pPr>
      <w:r w:rsidRPr="00BF5FB6">
        <w:rPr>
          <w:rFonts w:asciiTheme="majorBidi" w:hAnsiTheme="majorBidi" w:cstheme="majorBidi"/>
          <w:color w:val="000000"/>
        </w:rPr>
        <w:t>Did the trial include patients diagnosed with pyelonephritis?</w:t>
      </w:r>
    </w:p>
    <w:p w14:paraId="72CF1380" w14:textId="77777777" w:rsidR="00E23F19" w:rsidRPr="00BF5FB6" w:rsidRDefault="00E23F19" w:rsidP="00E23F19">
      <w:pPr>
        <w:pStyle w:val="ListParagraph"/>
        <w:numPr>
          <w:ilvl w:val="0"/>
          <w:numId w:val="3"/>
        </w:numPr>
        <w:spacing w:after="0" w:line="480" w:lineRule="auto"/>
        <w:rPr>
          <w:rFonts w:asciiTheme="majorBidi" w:hAnsiTheme="majorBidi" w:cstheme="majorBidi"/>
          <w:color w:val="000000"/>
        </w:rPr>
      </w:pPr>
      <w:r w:rsidRPr="00BF5FB6">
        <w:rPr>
          <w:rFonts w:asciiTheme="majorBidi" w:hAnsiTheme="majorBidi" w:cstheme="majorBidi"/>
          <w:color w:val="000000"/>
        </w:rPr>
        <w:t xml:space="preserve">Did at least 30% of the enrolled population have pyelonephritis, as required by FDA guidance for the indication “treatment of </w:t>
      </w:r>
      <w:proofErr w:type="spellStart"/>
      <w:r w:rsidRPr="00BF5FB6">
        <w:rPr>
          <w:rFonts w:asciiTheme="majorBidi" w:hAnsiTheme="majorBidi" w:cstheme="majorBidi"/>
          <w:color w:val="000000"/>
        </w:rPr>
        <w:t>cUTI</w:t>
      </w:r>
      <w:proofErr w:type="spellEnd"/>
      <w:r w:rsidRPr="00BF5FB6">
        <w:rPr>
          <w:rFonts w:asciiTheme="majorBidi" w:hAnsiTheme="majorBidi" w:cstheme="majorBidi"/>
          <w:color w:val="000000"/>
        </w:rPr>
        <w:t xml:space="preserve"> including pyelonephritis”?</w:t>
      </w:r>
    </w:p>
    <w:p w14:paraId="0D2C0BD1" w14:textId="77777777" w:rsidR="00E23F19" w:rsidRPr="004568D8" w:rsidRDefault="00E23F19" w:rsidP="00E23F19">
      <w:pPr>
        <w:pStyle w:val="ListParagraph"/>
        <w:numPr>
          <w:ilvl w:val="0"/>
          <w:numId w:val="3"/>
        </w:numPr>
        <w:spacing w:after="0" w:line="480" w:lineRule="auto"/>
        <w:rPr>
          <w:rFonts w:asciiTheme="majorBidi" w:hAnsiTheme="majorBidi" w:cstheme="majorBidi"/>
          <w:color w:val="000000"/>
        </w:rPr>
      </w:pPr>
      <w:r w:rsidRPr="00BF5FB6">
        <w:rPr>
          <w:rFonts w:asciiTheme="majorBidi" w:hAnsiTheme="majorBidi" w:cstheme="majorBidi"/>
          <w:color w:val="000000"/>
        </w:rPr>
        <w:t>Is the trial population appropriate to support this combined indication?</w:t>
      </w:r>
    </w:p>
    <w:p w14:paraId="6DCDFD35" w14:textId="77777777" w:rsidR="00E23F19" w:rsidRPr="00BF5FB6" w:rsidRDefault="00E23F19" w:rsidP="00E23F19">
      <w:pPr>
        <w:pStyle w:val="ListParagraph"/>
        <w:spacing w:after="0" w:line="480" w:lineRule="auto"/>
        <w:ind w:left="0"/>
        <w:rPr>
          <w:rFonts w:asciiTheme="majorBidi" w:hAnsiTheme="majorBidi" w:cstheme="majorBidi"/>
          <w:color w:val="000000"/>
        </w:rPr>
      </w:pPr>
      <w:r w:rsidRPr="00BF5FB6">
        <w:rPr>
          <w:rFonts w:asciiTheme="majorBidi" w:hAnsiTheme="majorBidi" w:cstheme="majorBidi"/>
          <w:color w:val="000000"/>
        </w:rPr>
        <w:t>Provide your answer in a checklist format (Yes/No) with justification from the FDA review.</w:t>
      </w:r>
    </w:p>
    <w:p w14:paraId="1277C182" w14:textId="77777777" w:rsidR="00E23F19" w:rsidRDefault="00E23F19" w:rsidP="00E23F19">
      <w:pPr>
        <w:spacing w:after="0" w:line="480" w:lineRule="auto"/>
        <w:jc w:val="both"/>
        <w:rPr>
          <w:rFonts w:asciiTheme="majorBidi" w:hAnsiTheme="majorBidi" w:cstheme="majorBidi"/>
          <w:color w:val="000000"/>
        </w:rPr>
      </w:pPr>
      <w:r w:rsidRPr="0095774A">
        <w:rPr>
          <w:rFonts w:asciiTheme="majorBidi" w:hAnsiTheme="majorBidi" w:cstheme="majorBidi"/>
          <w:color w:val="000000"/>
        </w:rPr>
        <w:t xml:space="preserve">Each question was asked twice per model to assess consistency. </w:t>
      </w:r>
    </w:p>
    <w:p w14:paraId="6DA0684B" w14:textId="77777777" w:rsidR="00E23F19" w:rsidRDefault="00E23F19" w:rsidP="00E23F19"/>
    <w:sectPr w:rsidR="00E23F19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8F37" w14:textId="77777777" w:rsidR="00EA526A" w:rsidRDefault="00EA526A" w:rsidP="00E23F19">
      <w:pPr>
        <w:spacing w:after="0" w:line="240" w:lineRule="auto"/>
      </w:pPr>
      <w:r>
        <w:separator/>
      </w:r>
    </w:p>
  </w:endnote>
  <w:endnote w:type="continuationSeparator" w:id="0">
    <w:p w14:paraId="60500B2B" w14:textId="77777777" w:rsidR="00EA526A" w:rsidRDefault="00EA526A" w:rsidP="00E2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49E1D" w14:textId="77777777" w:rsidR="00EA526A" w:rsidRDefault="00EA526A" w:rsidP="00E23F19">
      <w:pPr>
        <w:spacing w:after="0" w:line="240" w:lineRule="auto"/>
      </w:pPr>
      <w:r>
        <w:separator/>
      </w:r>
    </w:p>
  </w:footnote>
  <w:footnote w:type="continuationSeparator" w:id="0">
    <w:p w14:paraId="5BC2CE19" w14:textId="77777777" w:rsidR="00EA526A" w:rsidRDefault="00EA526A" w:rsidP="00E2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2FB8" w14:textId="35A3EB1A" w:rsidR="00E23F19" w:rsidRDefault="00E23F1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C7F094D" wp14:editId="0557B705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383665" cy="251460"/>
              <wp:effectExtent l="0" t="457200" r="0" b="459740"/>
              <wp:wrapNone/>
              <wp:docPr id="374242943" name="Text Box 5" descr="مقيد |TU|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138366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AE1FF" w14:textId="3B8CABC2" w:rsidR="00E23F19" w:rsidRPr="00E23F19" w:rsidRDefault="00E23F19" w:rsidP="00E23F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00"/>
                              <w:sz w:val="28"/>
                              <w:szCs w:val="28"/>
                              <w14:textFill>
                                <w14:solidFill>
                                  <w14:srgbClr w14:val="FFFF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E23F19">
                            <w:rPr>
                              <w:rFonts w:ascii="Aptos" w:eastAsia="Aptos" w:hAnsi="Aptos" w:cs="Aptos"/>
                              <w:noProof/>
                              <w:color w:val="FFFF00"/>
                              <w:sz w:val="28"/>
                              <w:szCs w:val="28"/>
                              <w:rtl/>
                              <w14:textFill>
                                <w14:solidFill>
                                  <w14:srgbClr w14:val="FFFF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مقيد</w:t>
                          </w:r>
                          <w:r w:rsidRPr="00E23F19">
                            <w:rPr>
                              <w:rFonts w:ascii="Aptos" w:eastAsia="Aptos" w:hAnsi="Aptos" w:cs="Aptos"/>
                              <w:noProof/>
                              <w:color w:val="FFFF00"/>
                              <w:sz w:val="28"/>
                              <w:szCs w:val="28"/>
                              <w14:textFill>
                                <w14:solidFill>
                                  <w14:srgbClr w14:val="FFFF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 |TU|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F094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مقيد |TU| Restricted" style="position:absolute;margin-left:0;margin-top:0;width:108.95pt;height:19.8pt;rotation:-45;z-index:-25165414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" filled="f" stroked="f">
              <v:fill o:detectmouseclick="t"/>
              <v:textbox style="mso-fit-shape-to-text:t" inset="0,0,0,0">
                <w:txbxContent>
                  <w:p w14:paraId="0B0AE1FF" w14:textId="3B8CABC2" w:rsidR="00E23F19" w:rsidRPr="00E23F19" w:rsidRDefault="00E23F19" w:rsidP="00E23F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00"/>
                        <w:sz w:val="28"/>
                        <w:szCs w:val="28"/>
                        <w14:textFill>
                          <w14:solidFill>
                            <w14:srgbClr w14:val="FFFF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E23F19">
                      <w:rPr>
                        <w:rFonts w:ascii="Aptos" w:eastAsia="Aptos" w:hAnsi="Aptos" w:cs="Aptos"/>
                        <w:noProof/>
                        <w:color w:val="FFFF00"/>
                        <w:sz w:val="28"/>
                        <w:szCs w:val="28"/>
                        <w:rtl/>
                        <w14:textFill>
                          <w14:solidFill>
                            <w14:srgbClr w14:val="FFFF00">
                              <w14:alpha w14:val="50000"/>
                            </w14:srgbClr>
                          </w14:solidFill>
                        </w14:textFill>
                      </w:rPr>
                      <w:t>مقيد</w:t>
                    </w:r>
                    <w:r w:rsidRPr="00E23F19">
                      <w:rPr>
                        <w:rFonts w:ascii="Aptos" w:eastAsia="Aptos" w:hAnsi="Aptos" w:cs="Aptos"/>
                        <w:noProof/>
                        <w:color w:val="FFFF00"/>
                        <w:sz w:val="28"/>
                        <w:szCs w:val="28"/>
                        <w14:textFill>
                          <w14:solidFill>
                            <w14:srgbClr w14:val="FFFF00">
                              <w14:alpha w14:val="50000"/>
                            </w14:srgbClr>
                          </w14:solidFill>
                        </w14:textFill>
                      </w:rPr>
                      <w:t xml:space="preserve"> |TU| Restricted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A29B9E" wp14:editId="390D7A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67740" cy="405765"/>
              <wp:effectExtent l="0" t="0" r="10160" b="635"/>
              <wp:wrapNone/>
              <wp:docPr id="1763619096" name="Text Box 2" descr="مقيد |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774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29F7F" w14:textId="2B1D9FCF" w:rsidR="00E23F19" w:rsidRPr="00E23F19" w:rsidRDefault="00E23F19" w:rsidP="00E23F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00"/>
                            </w:rPr>
                          </w:pPr>
                          <w:r w:rsidRPr="00E23F19">
                            <w:rPr>
                              <w:rFonts w:ascii="Aptos" w:eastAsia="Aptos" w:hAnsi="Aptos" w:cs="Aptos"/>
                              <w:noProof/>
                              <w:color w:val="FFFF00"/>
                              <w:rtl/>
                            </w:rPr>
                            <w:t>مقيد</w:t>
                          </w:r>
                          <w:r w:rsidRPr="00E23F19">
                            <w:rPr>
                              <w:rFonts w:ascii="Aptos" w:eastAsia="Aptos" w:hAnsi="Aptos" w:cs="Aptos"/>
                              <w:noProof/>
                              <w:color w:val="FFFF00"/>
                            </w:rPr>
                            <w:t xml:space="preserve"> |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A29B9E" id="Text Box 2" o:spid="_x0000_s1027" type="#_x0000_t202" alt="مقيد | Restricted" style="position:absolute;margin-left:0;margin-top:0;width:76.2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42329F7F" w14:textId="2B1D9FCF" w:rsidR="00E23F19" w:rsidRPr="00E23F19" w:rsidRDefault="00E23F19" w:rsidP="00E23F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00"/>
                      </w:rPr>
                    </w:pPr>
                    <w:r w:rsidRPr="00E23F19">
                      <w:rPr>
                        <w:rFonts w:ascii="Aptos" w:eastAsia="Aptos" w:hAnsi="Aptos" w:cs="Aptos"/>
                        <w:noProof/>
                        <w:color w:val="FFFF00"/>
                        <w:rtl/>
                      </w:rPr>
                      <w:t>مقيد</w:t>
                    </w:r>
                    <w:r w:rsidRPr="00E23F19">
                      <w:rPr>
                        <w:rFonts w:ascii="Aptos" w:eastAsia="Aptos" w:hAnsi="Aptos" w:cs="Aptos"/>
                        <w:noProof/>
                        <w:color w:val="FFFF00"/>
                      </w:rPr>
                      <w:t xml:space="preserve"> |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25F9" w14:textId="6D3FB6CE" w:rsidR="00E23F19" w:rsidRDefault="00E23F1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054F946" wp14:editId="6DA4DB2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383665" cy="251460"/>
              <wp:effectExtent l="0" t="457200" r="0" b="459740"/>
              <wp:wrapNone/>
              <wp:docPr id="2145522698" name="Text Box 6" descr="مقيد |TU|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138366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AD914" w14:textId="0186B7B3" w:rsidR="00E23F19" w:rsidRPr="00E23F19" w:rsidRDefault="00E23F19" w:rsidP="00E23F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00"/>
                              <w:sz w:val="28"/>
                              <w:szCs w:val="28"/>
                              <w14:textFill>
                                <w14:solidFill>
                                  <w14:srgbClr w14:val="FFFF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E23F19">
                            <w:rPr>
                              <w:rFonts w:ascii="Aptos" w:eastAsia="Aptos" w:hAnsi="Aptos" w:cs="Aptos"/>
                              <w:noProof/>
                              <w:color w:val="FFFF00"/>
                              <w:sz w:val="28"/>
                              <w:szCs w:val="28"/>
                              <w:rtl/>
                              <w14:textFill>
                                <w14:solidFill>
                                  <w14:srgbClr w14:val="FFFF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مقيد</w:t>
                          </w:r>
                          <w:r w:rsidRPr="00E23F19">
                            <w:rPr>
                              <w:rFonts w:ascii="Aptos" w:eastAsia="Aptos" w:hAnsi="Aptos" w:cs="Aptos"/>
                              <w:noProof/>
                              <w:color w:val="FFFF00"/>
                              <w:sz w:val="28"/>
                              <w:szCs w:val="28"/>
                              <w14:textFill>
                                <w14:solidFill>
                                  <w14:srgbClr w14:val="FFFF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 |TU|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4F9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مقيد |TU| Restricted" style="position:absolute;margin-left:0;margin-top:0;width:108.95pt;height:19.8pt;rotation:-45;z-index:-25165312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" filled="f" stroked="f">
              <v:fill o:detectmouseclick="t"/>
              <v:textbox style="mso-fit-shape-to-text:t" inset="0,0,0,0">
                <w:txbxContent>
                  <w:p w14:paraId="5A9AD914" w14:textId="0186B7B3" w:rsidR="00E23F19" w:rsidRPr="00E23F19" w:rsidRDefault="00E23F19" w:rsidP="00E23F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00"/>
                        <w:sz w:val="28"/>
                        <w:szCs w:val="28"/>
                        <w14:textFill>
                          <w14:solidFill>
                            <w14:srgbClr w14:val="FFFF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E23F19">
                      <w:rPr>
                        <w:rFonts w:ascii="Aptos" w:eastAsia="Aptos" w:hAnsi="Aptos" w:cs="Aptos"/>
                        <w:noProof/>
                        <w:color w:val="FFFF00"/>
                        <w:sz w:val="28"/>
                        <w:szCs w:val="28"/>
                        <w:rtl/>
                        <w14:textFill>
                          <w14:solidFill>
                            <w14:srgbClr w14:val="FFFF00">
                              <w14:alpha w14:val="50000"/>
                            </w14:srgbClr>
                          </w14:solidFill>
                        </w14:textFill>
                      </w:rPr>
                      <w:t>مقيد</w:t>
                    </w:r>
                    <w:r w:rsidRPr="00E23F19">
                      <w:rPr>
                        <w:rFonts w:ascii="Aptos" w:eastAsia="Aptos" w:hAnsi="Aptos" w:cs="Aptos"/>
                        <w:noProof/>
                        <w:color w:val="FFFF00"/>
                        <w:sz w:val="28"/>
                        <w:szCs w:val="28"/>
                        <w14:textFill>
                          <w14:solidFill>
                            <w14:srgbClr w14:val="FFFF00">
                              <w14:alpha w14:val="50000"/>
                            </w14:srgbClr>
                          </w14:solidFill>
                        </w14:textFill>
                      </w:rPr>
                      <w:t xml:space="preserve"> |TU| Restricted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8C35F2" wp14:editId="196ECF8E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967740" cy="405765"/>
              <wp:effectExtent l="0" t="0" r="10160" b="635"/>
              <wp:wrapNone/>
              <wp:docPr id="1419052978" name="Text Box 3" descr="مقيد |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774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11E15" w14:textId="77777777" w:rsidR="00E23F19" w:rsidRPr="00E23F19" w:rsidRDefault="00E23F19" w:rsidP="00E23F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8C35F2" id="Text Box 3" o:spid="_x0000_s1029" type="#_x0000_t202" alt="مقيد | Restricted" style="position:absolute;margin-left:0;margin-top:0;width:76.2pt;height:31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" filled="f" stroked="f">
              <v:fill o:detectmouseclick="t"/>
              <v:textbox style="mso-fit-shape-to-text:t" inset="0,15pt,0,0">
                <w:txbxContent>
                  <w:p w14:paraId="66D11E15" w14:textId="77777777" w:rsidR="00E23F19" w:rsidRPr="00E23F19" w:rsidRDefault="00E23F19" w:rsidP="00E23F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031E" w14:textId="3D11E43B" w:rsidR="00E23F19" w:rsidRDefault="00E23F1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26D7A8E" wp14:editId="3328EEAF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383665" cy="251460"/>
              <wp:effectExtent l="0" t="457200" r="0" b="459740"/>
              <wp:wrapNone/>
              <wp:docPr id="1903748349" name="Text Box 4" descr="مقيد |TU|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138366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F2E07" w14:textId="77777777" w:rsidR="00E23F19" w:rsidRPr="00E23F19" w:rsidRDefault="00E23F19" w:rsidP="00E23F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00"/>
                              <w:sz w:val="28"/>
                              <w:szCs w:val="28"/>
                              <w14:textFill>
                                <w14:solidFill>
                                  <w14:srgbClr w14:val="FFFF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D7A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مقيد |TU| Restricted" style="position:absolute;margin-left:0;margin-top:0;width:108.95pt;height:19.8pt;rotation:-45;z-index:-25165516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" filled="f" stroked="f">
              <v:fill o:detectmouseclick="t"/>
              <v:textbox style="mso-fit-shape-to-text:t" inset="0,0,0,0">
                <w:txbxContent>
                  <w:p w14:paraId="534F2E07" w14:textId="77777777" w:rsidR="00E23F19" w:rsidRPr="00E23F19" w:rsidRDefault="00E23F19" w:rsidP="00E23F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00"/>
                        <w:sz w:val="28"/>
                        <w:szCs w:val="28"/>
                        <w14:textFill>
                          <w14:solidFill>
                            <w14:srgbClr w14:val="FFFF00">
                              <w14:alpha w14:val="50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2E6807" wp14:editId="54E59DC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67740" cy="405765"/>
              <wp:effectExtent l="0" t="0" r="10160" b="635"/>
              <wp:wrapNone/>
              <wp:docPr id="1683190182" name="Text Box 1" descr="مقيد |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774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02C8C" w14:textId="1109B3A1" w:rsidR="00E23F19" w:rsidRPr="00E23F19" w:rsidRDefault="00E23F19" w:rsidP="00E23F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00"/>
                            </w:rPr>
                          </w:pPr>
                          <w:r w:rsidRPr="00E23F19">
                            <w:rPr>
                              <w:rFonts w:ascii="Aptos" w:eastAsia="Aptos" w:hAnsi="Aptos" w:cs="Aptos"/>
                              <w:noProof/>
                              <w:color w:val="FFFF00"/>
                              <w:rtl/>
                            </w:rPr>
                            <w:t>مقيد</w:t>
                          </w:r>
                          <w:r w:rsidRPr="00E23F19">
                            <w:rPr>
                              <w:rFonts w:ascii="Aptos" w:eastAsia="Aptos" w:hAnsi="Aptos" w:cs="Aptos"/>
                              <w:noProof/>
                              <w:color w:val="FFFF00"/>
                            </w:rPr>
                            <w:t xml:space="preserve"> |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2E6807" id="Text Box 1" o:spid="_x0000_s1031" type="#_x0000_t202" alt="مقيد | Restricted" style="position:absolute;margin-left:0;margin-top:0;width:76.2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17902C8C" w14:textId="1109B3A1" w:rsidR="00E23F19" w:rsidRPr="00E23F19" w:rsidRDefault="00E23F19" w:rsidP="00E23F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00"/>
                      </w:rPr>
                    </w:pPr>
                    <w:r w:rsidRPr="00E23F19">
                      <w:rPr>
                        <w:rFonts w:ascii="Aptos" w:eastAsia="Aptos" w:hAnsi="Aptos" w:cs="Aptos"/>
                        <w:noProof/>
                        <w:color w:val="FFFF00"/>
                        <w:rtl/>
                      </w:rPr>
                      <w:t>مقيد</w:t>
                    </w:r>
                    <w:r w:rsidRPr="00E23F19">
                      <w:rPr>
                        <w:rFonts w:ascii="Aptos" w:eastAsia="Aptos" w:hAnsi="Aptos" w:cs="Aptos"/>
                        <w:noProof/>
                        <w:color w:val="FFFF00"/>
                      </w:rPr>
                      <w:t xml:space="preserve"> |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598D"/>
    <w:multiLevelType w:val="hybridMultilevel"/>
    <w:tmpl w:val="67080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40EB3"/>
    <w:multiLevelType w:val="hybridMultilevel"/>
    <w:tmpl w:val="ED8CC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4D008D"/>
    <w:multiLevelType w:val="hybridMultilevel"/>
    <w:tmpl w:val="A90CB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720211">
    <w:abstractNumId w:val="2"/>
  </w:num>
  <w:num w:numId="2" w16cid:durableId="1488590814">
    <w:abstractNumId w:val="1"/>
  </w:num>
  <w:num w:numId="3" w16cid:durableId="95941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19"/>
    <w:rsid w:val="00000CDE"/>
    <w:rsid w:val="00010F0E"/>
    <w:rsid w:val="0001437A"/>
    <w:rsid w:val="000426FC"/>
    <w:rsid w:val="00046A31"/>
    <w:rsid w:val="0004740B"/>
    <w:rsid w:val="0005030F"/>
    <w:rsid w:val="00053EB2"/>
    <w:rsid w:val="00080A75"/>
    <w:rsid w:val="0008154B"/>
    <w:rsid w:val="000B5080"/>
    <w:rsid w:val="000D2670"/>
    <w:rsid w:val="000F779A"/>
    <w:rsid w:val="00104303"/>
    <w:rsid w:val="00111522"/>
    <w:rsid w:val="00131BD4"/>
    <w:rsid w:val="00141ADC"/>
    <w:rsid w:val="001500DC"/>
    <w:rsid w:val="00163D8D"/>
    <w:rsid w:val="00164930"/>
    <w:rsid w:val="00165660"/>
    <w:rsid w:val="0017402D"/>
    <w:rsid w:val="001A0194"/>
    <w:rsid w:val="001A16CB"/>
    <w:rsid w:val="001B4C87"/>
    <w:rsid w:val="001D05B1"/>
    <w:rsid w:val="001D1EC9"/>
    <w:rsid w:val="001E6B78"/>
    <w:rsid w:val="001F7B97"/>
    <w:rsid w:val="0020037B"/>
    <w:rsid w:val="00204A40"/>
    <w:rsid w:val="00213985"/>
    <w:rsid w:val="00232FF4"/>
    <w:rsid w:val="00235152"/>
    <w:rsid w:val="00255756"/>
    <w:rsid w:val="0025776A"/>
    <w:rsid w:val="002658BB"/>
    <w:rsid w:val="00283575"/>
    <w:rsid w:val="002D51F3"/>
    <w:rsid w:val="003554B7"/>
    <w:rsid w:val="003615ED"/>
    <w:rsid w:val="0037665C"/>
    <w:rsid w:val="00380AF0"/>
    <w:rsid w:val="00384979"/>
    <w:rsid w:val="00394ADF"/>
    <w:rsid w:val="003B1873"/>
    <w:rsid w:val="003D2CB6"/>
    <w:rsid w:val="003E5350"/>
    <w:rsid w:val="00421E73"/>
    <w:rsid w:val="00424D74"/>
    <w:rsid w:val="00436E4F"/>
    <w:rsid w:val="00460060"/>
    <w:rsid w:val="0046233A"/>
    <w:rsid w:val="00466F2F"/>
    <w:rsid w:val="0047614E"/>
    <w:rsid w:val="00495E8A"/>
    <w:rsid w:val="004A487F"/>
    <w:rsid w:val="004A4BBC"/>
    <w:rsid w:val="004A67D9"/>
    <w:rsid w:val="004B589F"/>
    <w:rsid w:val="004B6E58"/>
    <w:rsid w:val="004C06FC"/>
    <w:rsid w:val="004E0320"/>
    <w:rsid w:val="004F4B7D"/>
    <w:rsid w:val="004F4D0D"/>
    <w:rsid w:val="00523BE5"/>
    <w:rsid w:val="005453C3"/>
    <w:rsid w:val="00555A05"/>
    <w:rsid w:val="00566F3E"/>
    <w:rsid w:val="005729C1"/>
    <w:rsid w:val="005735B8"/>
    <w:rsid w:val="00593922"/>
    <w:rsid w:val="00593DA8"/>
    <w:rsid w:val="005957F9"/>
    <w:rsid w:val="005A73FB"/>
    <w:rsid w:val="005C7698"/>
    <w:rsid w:val="005D358E"/>
    <w:rsid w:val="005D5508"/>
    <w:rsid w:val="005D5A3A"/>
    <w:rsid w:val="005D7B31"/>
    <w:rsid w:val="00600575"/>
    <w:rsid w:val="00603035"/>
    <w:rsid w:val="006039CB"/>
    <w:rsid w:val="00642271"/>
    <w:rsid w:val="00654531"/>
    <w:rsid w:val="00664F8D"/>
    <w:rsid w:val="00672591"/>
    <w:rsid w:val="00672FE6"/>
    <w:rsid w:val="006754BD"/>
    <w:rsid w:val="006A5473"/>
    <w:rsid w:val="006B71A1"/>
    <w:rsid w:val="006D11AF"/>
    <w:rsid w:val="006E0FF3"/>
    <w:rsid w:val="006E1DCE"/>
    <w:rsid w:val="006E2B8F"/>
    <w:rsid w:val="00713D96"/>
    <w:rsid w:val="00716786"/>
    <w:rsid w:val="00740F95"/>
    <w:rsid w:val="00742531"/>
    <w:rsid w:val="007571F0"/>
    <w:rsid w:val="007729A6"/>
    <w:rsid w:val="007847B9"/>
    <w:rsid w:val="0079374B"/>
    <w:rsid w:val="007D071A"/>
    <w:rsid w:val="007D3B40"/>
    <w:rsid w:val="007E54C0"/>
    <w:rsid w:val="007F36CE"/>
    <w:rsid w:val="0081070B"/>
    <w:rsid w:val="0084156F"/>
    <w:rsid w:val="00847D6E"/>
    <w:rsid w:val="008845BE"/>
    <w:rsid w:val="0088554E"/>
    <w:rsid w:val="00885FBA"/>
    <w:rsid w:val="008A37F9"/>
    <w:rsid w:val="008B1185"/>
    <w:rsid w:val="008B2C9D"/>
    <w:rsid w:val="008B4831"/>
    <w:rsid w:val="008D3507"/>
    <w:rsid w:val="00906ED1"/>
    <w:rsid w:val="00914EA6"/>
    <w:rsid w:val="00927ECC"/>
    <w:rsid w:val="00960A51"/>
    <w:rsid w:val="009805AC"/>
    <w:rsid w:val="00982C19"/>
    <w:rsid w:val="009839FA"/>
    <w:rsid w:val="009A2FE8"/>
    <w:rsid w:val="009A7973"/>
    <w:rsid w:val="009B60D3"/>
    <w:rsid w:val="009B70F6"/>
    <w:rsid w:val="009B7972"/>
    <w:rsid w:val="009C1636"/>
    <w:rsid w:val="009D2894"/>
    <w:rsid w:val="009E08A9"/>
    <w:rsid w:val="009E6553"/>
    <w:rsid w:val="009E774E"/>
    <w:rsid w:val="00A00E79"/>
    <w:rsid w:val="00A10E8B"/>
    <w:rsid w:val="00A40528"/>
    <w:rsid w:val="00A56F1C"/>
    <w:rsid w:val="00A608A9"/>
    <w:rsid w:val="00A70667"/>
    <w:rsid w:val="00AB4388"/>
    <w:rsid w:val="00AD243C"/>
    <w:rsid w:val="00AD2DD3"/>
    <w:rsid w:val="00AF34EC"/>
    <w:rsid w:val="00AF779A"/>
    <w:rsid w:val="00B71C3D"/>
    <w:rsid w:val="00B81D4F"/>
    <w:rsid w:val="00B836E9"/>
    <w:rsid w:val="00B838D1"/>
    <w:rsid w:val="00BC7505"/>
    <w:rsid w:val="00BD3DCE"/>
    <w:rsid w:val="00BD6DC2"/>
    <w:rsid w:val="00BE2973"/>
    <w:rsid w:val="00BF0990"/>
    <w:rsid w:val="00BF0AA7"/>
    <w:rsid w:val="00BF5D9F"/>
    <w:rsid w:val="00C013C8"/>
    <w:rsid w:val="00C07BFA"/>
    <w:rsid w:val="00C1691A"/>
    <w:rsid w:val="00C2267B"/>
    <w:rsid w:val="00C51405"/>
    <w:rsid w:val="00C61602"/>
    <w:rsid w:val="00C72B4D"/>
    <w:rsid w:val="00C82E49"/>
    <w:rsid w:val="00C90748"/>
    <w:rsid w:val="00CB4463"/>
    <w:rsid w:val="00CE2400"/>
    <w:rsid w:val="00CE3D0A"/>
    <w:rsid w:val="00D138D5"/>
    <w:rsid w:val="00D35785"/>
    <w:rsid w:val="00D423F0"/>
    <w:rsid w:val="00D55DB2"/>
    <w:rsid w:val="00D77B45"/>
    <w:rsid w:val="00D8447C"/>
    <w:rsid w:val="00D94CD6"/>
    <w:rsid w:val="00D96B46"/>
    <w:rsid w:val="00DC0C62"/>
    <w:rsid w:val="00DC13F0"/>
    <w:rsid w:val="00DC1AF2"/>
    <w:rsid w:val="00DE0009"/>
    <w:rsid w:val="00DE15B9"/>
    <w:rsid w:val="00E23045"/>
    <w:rsid w:val="00E23F19"/>
    <w:rsid w:val="00E40B63"/>
    <w:rsid w:val="00E47F10"/>
    <w:rsid w:val="00E538EC"/>
    <w:rsid w:val="00E576E6"/>
    <w:rsid w:val="00E86ECF"/>
    <w:rsid w:val="00E97027"/>
    <w:rsid w:val="00EA526A"/>
    <w:rsid w:val="00EE1E48"/>
    <w:rsid w:val="00EE1E74"/>
    <w:rsid w:val="00EE7D4C"/>
    <w:rsid w:val="00F01F45"/>
    <w:rsid w:val="00F0535C"/>
    <w:rsid w:val="00F27A9C"/>
    <w:rsid w:val="00F35727"/>
    <w:rsid w:val="00F4159C"/>
    <w:rsid w:val="00F549B7"/>
    <w:rsid w:val="00F56044"/>
    <w:rsid w:val="00F64C50"/>
    <w:rsid w:val="00F8314A"/>
    <w:rsid w:val="00FA7EEC"/>
    <w:rsid w:val="00FB108A"/>
    <w:rsid w:val="00FC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40C77"/>
  <w15:chartTrackingRefBased/>
  <w15:docId w15:val="{275AD6BC-C475-8F40-BC12-71B9A154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F19"/>
  </w:style>
  <w:style w:type="paragraph" w:styleId="Heading1">
    <w:name w:val="heading 1"/>
    <w:basedOn w:val="Normal"/>
    <w:next w:val="Normal"/>
    <w:link w:val="Heading1Char"/>
    <w:uiPriority w:val="9"/>
    <w:qFormat/>
    <w:rsid w:val="00E23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F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F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F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F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F1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23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F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F1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23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7b842b-8c74-4f80-ad6f-ce4fa12d793c}" enabled="1" method="Standard" siteId="{e26bab4b-97e6-4754-b163-60f8237e8531}" contentBits="5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2668</Characters>
  <Application>Microsoft Office Word</Application>
  <DocSecurity>4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عبدالرحيم حسن بخاري</dc:creator>
  <cp:keywords/>
  <dc:description/>
  <cp:lastModifiedBy>Rodriguez-Monguio, Rosa</cp:lastModifiedBy>
  <cp:revision>2</cp:revision>
  <dcterms:created xsi:type="dcterms:W3CDTF">2025-12-16T19:32:00Z</dcterms:created>
  <dcterms:modified xsi:type="dcterms:W3CDTF">2025-12-16T19:32:00Z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645371a6,691eb118,549507b2</vt:lpwstr>
  </property>
  <property fmtid="{D5CDD505-2E9C-101B-9397-08002B2CF9AE}" pid="3" name="ClassificationContentMarkingHeaderFontProps">
    <vt:lpwstr>#ffff00,12,Aptos</vt:lpwstr>
  </property>
  <property fmtid="{D5CDD505-2E9C-101B-9397-08002B2CF9AE}" pid="4" name="ClassificationContentMarkingHeaderText">
    <vt:lpwstr>مقيد | Restricted</vt:lpwstr>
  </property>
  <property fmtid="{D5CDD505-2E9C-101B-9397-08002B2CF9AE}" pid="5" name="ClassificationWatermarkShapeIds">
    <vt:lpwstr>7178e4fd,164e7e7f,7fe2140a</vt:lpwstr>
  </property>
  <property fmtid="{D5CDD505-2E9C-101B-9397-08002B2CF9AE}" pid="6" name="ClassificationWatermarkFontProps">
    <vt:lpwstr>#ffff00,14,Aptos</vt:lpwstr>
  </property>
  <property fmtid="{D5CDD505-2E9C-101B-9397-08002B2CF9AE}" pid="7" name="ClassificationWatermarkText">
    <vt:lpwstr>مقيد |TU| Restricted</vt:lpwstr>
  </property>
</Properties>
</file>