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8F6D23" w14:textId="4FAAACCA" w:rsidR="004B5834" w:rsidRDefault="004B5834" w:rsidP="004B5834">
      <w:pPr>
        <w:widowControl/>
        <w:spacing w:afterLines="100" w:after="312" w:line="360" w:lineRule="auto"/>
        <w:rPr>
          <w:rFonts w:ascii="Calibri" w:hAnsi="Calibri" w:cs="Calibri"/>
          <w:b/>
          <w:bCs/>
          <w:color w:val="0E101A"/>
          <w:sz w:val="24"/>
          <w:szCs w:val="24"/>
        </w:rPr>
      </w:pPr>
      <w:r>
        <w:rPr>
          <w:rFonts w:ascii="Calibri" w:hAnsi="Calibri" w:cs="Calibri"/>
          <w:b/>
          <w:bCs/>
          <w:noProof/>
          <w:color w:val="0E101A"/>
          <w:sz w:val="24"/>
          <w:szCs w:val="24"/>
        </w:rPr>
        <w:drawing>
          <wp:inline distT="0" distB="0" distL="0" distR="0" wp14:anchorId="61B39DEB" wp14:editId="71A84084">
            <wp:extent cx="5274310" cy="703072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030720"/>
                    </a:xfrm>
                    <a:prstGeom prst="rect">
                      <a:avLst/>
                    </a:prstGeom>
                  </pic:spPr>
                </pic:pic>
              </a:graphicData>
            </a:graphic>
          </wp:inline>
        </w:drawing>
      </w:r>
    </w:p>
    <w:p w14:paraId="1B5337A5" w14:textId="34F63657" w:rsidR="004B5834" w:rsidRPr="00DD6D40" w:rsidRDefault="004B5834" w:rsidP="004B5834">
      <w:pPr>
        <w:widowControl/>
        <w:spacing w:afterLines="100" w:after="312" w:line="360" w:lineRule="auto"/>
        <w:rPr>
          <w:rFonts w:ascii="Calibri" w:hAnsi="Calibri" w:cs="Calibri"/>
          <w:color w:val="0E101A"/>
          <w:sz w:val="24"/>
          <w:szCs w:val="24"/>
        </w:rPr>
      </w:pPr>
      <w:r w:rsidRPr="00DD6D40">
        <w:rPr>
          <w:rFonts w:ascii="Calibri" w:hAnsi="Calibri" w:cs="Calibri"/>
          <w:b/>
          <w:bCs/>
          <w:color w:val="0E101A"/>
          <w:sz w:val="24"/>
          <w:szCs w:val="24"/>
        </w:rPr>
        <w:t xml:space="preserve">Figure </w:t>
      </w:r>
      <w:r>
        <w:rPr>
          <w:rFonts w:ascii="Calibri" w:hAnsi="Calibri" w:cs="Calibri"/>
          <w:b/>
          <w:bCs/>
          <w:color w:val="0E101A"/>
          <w:sz w:val="24"/>
          <w:szCs w:val="24"/>
        </w:rPr>
        <w:t>S1</w:t>
      </w:r>
      <w:r w:rsidRPr="00DD6D40">
        <w:rPr>
          <w:rFonts w:ascii="Calibri" w:hAnsi="Calibri" w:cs="Calibri"/>
          <w:b/>
          <w:bCs/>
          <w:color w:val="0E101A"/>
          <w:sz w:val="24"/>
          <w:szCs w:val="24"/>
        </w:rPr>
        <w:t xml:space="preserve">. Representative images for </w:t>
      </w:r>
      <w:r w:rsidRPr="008B4806">
        <w:rPr>
          <w:rFonts w:ascii="Calibri" w:hAnsi="Calibri" w:cs="Calibri"/>
          <w:b/>
          <w:bCs/>
          <w:color w:val="0E101A"/>
          <w:sz w:val="24"/>
          <w:szCs w:val="24"/>
        </w:rPr>
        <w:t xml:space="preserve">clinical </w:t>
      </w:r>
      <w:r>
        <w:rPr>
          <w:rFonts w:ascii="Calibri" w:hAnsi="Calibri" w:cs="Calibri"/>
          <w:b/>
          <w:bCs/>
          <w:color w:val="0E101A"/>
          <w:sz w:val="24"/>
          <w:szCs w:val="24"/>
        </w:rPr>
        <w:t>pathologic feature</w:t>
      </w:r>
      <w:r w:rsidRPr="008B4806">
        <w:rPr>
          <w:rFonts w:ascii="Calibri" w:hAnsi="Calibri" w:cs="Calibri"/>
          <w:b/>
          <w:bCs/>
          <w:color w:val="0E101A"/>
          <w:sz w:val="24"/>
          <w:szCs w:val="24"/>
        </w:rPr>
        <w:t>s</w:t>
      </w:r>
      <w:r w:rsidRPr="00DD6D40">
        <w:rPr>
          <w:rFonts w:ascii="Calibri" w:hAnsi="Calibri" w:cs="Calibri"/>
          <w:b/>
          <w:bCs/>
          <w:color w:val="0E101A"/>
          <w:sz w:val="24"/>
          <w:szCs w:val="24"/>
        </w:rPr>
        <w:t xml:space="preserve"> in paraffin-embedded endocervical adenocarcinoma (ECA) samples.</w:t>
      </w:r>
      <w:r w:rsidRPr="00DD6D40">
        <w:rPr>
          <w:rFonts w:ascii="Calibri" w:hAnsi="Calibri" w:cs="Calibri"/>
          <w:color w:val="0E101A"/>
          <w:sz w:val="24"/>
          <w:szCs w:val="24"/>
        </w:rPr>
        <w:t xml:space="preserve"> (A) Representative immunohistochemistry images for </w:t>
      </w:r>
      <w:proofErr w:type="spellStart"/>
      <w:r w:rsidRPr="00DD6D40">
        <w:rPr>
          <w:rFonts w:ascii="Calibri" w:hAnsi="Calibri" w:cs="Calibri"/>
          <w:color w:val="0E101A"/>
          <w:sz w:val="24"/>
          <w:szCs w:val="24"/>
        </w:rPr>
        <w:t>pMMR</w:t>
      </w:r>
      <w:proofErr w:type="spellEnd"/>
      <w:r w:rsidRPr="00DD6D40">
        <w:rPr>
          <w:rFonts w:ascii="Calibri" w:hAnsi="Calibri" w:cs="Calibri"/>
          <w:color w:val="0E101A"/>
          <w:sz w:val="24"/>
          <w:szCs w:val="24"/>
        </w:rPr>
        <w:t xml:space="preserve">, </w:t>
      </w:r>
      <w:proofErr w:type="spellStart"/>
      <w:r w:rsidRPr="00DD6D40">
        <w:rPr>
          <w:rFonts w:ascii="Calibri" w:hAnsi="Calibri" w:cs="Calibri"/>
          <w:color w:val="0E101A"/>
          <w:sz w:val="24"/>
          <w:szCs w:val="24"/>
        </w:rPr>
        <w:t>dMMR</w:t>
      </w:r>
      <w:proofErr w:type="spellEnd"/>
      <w:r w:rsidRPr="00DD6D40">
        <w:rPr>
          <w:rFonts w:ascii="Calibri" w:hAnsi="Calibri" w:cs="Calibri"/>
          <w:color w:val="0E101A"/>
          <w:sz w:val="24"/>
          <w:szCs w:val="24"/>
        </w:rPr>
        <w:t xml:space="preserve">, p16 high, p16 low, Ki-67 high, and Ki-67 low are shown. (B) Representative hematoxylin and eosin images for lymph node </w:t>
      </w:r>
      <w:r w:rsidRPr="00DD6D40">
        <w:rPr>
          <w:rFonts w:ascii="Calibri" w:hAnsi="Calibri" w:cs="Calibri"/>
          <w:color w:val="0E101A"/>
          <w:sz w:val="24"/>
          <w:szCs w:val="24"/>
        </w:rPr>
        <w:lastRenderedPageBreak/>
        <w:t xml:space="preserve">involvement (LNI)-negative, LNI-positive, </w:t>
      </w:r>
      <w:proofErr w:type="spellStart"/>
      <w:r w:rsidRPr="00DD6D40">
        <w:rPr>
          <w:rFonts w:ascii="Calibri" w:hAnsi="Calibri" w:cs="Calibri"/>
          <w:color w:val="0E101A"/>
          <w:sz w:val="24"/>
          <w:szCs w:val="24"/>
        </w:rPr>
        <w:t>lymphovascular</w:t>
      </w:r>
      <w:proofErr w:type="spellEnd"/>
      <w:r w:rsidRPr="00DD6D40">
        <w:rPr>
          <w:rFonts w:ascii="Calibri" w:hAnsi="Calibri" w:cs="Calibri"/>
          <w:color w:val="0E101A"/>
          <w:sz w:val="24"/>
          <w:szCs w:val="24"/>
        </w:rPr>
        <w:t xml:space="preserve"> invasion (LVI)-none, LVI-focal, LVI-moderate, and LVI-extensive are shown.</w:t>
      </w:r>
    </w:p>
    <w:p w14:paraId="11918AAB" w14:textId="0703BFBF" w:rsidR="00440969" w:rsidRPr="004B5834" w:rsidRDefault="004B5834" w:rsidP="00DD6D40">
      <w:pPr>
        <w:widowControl/>
        <w:spacing w:afterLines="100" w:after="312" w:line="360" w:lineRule="auto"/>
        <w:rPr>
          <w:rFonts w:ascii="Calibri" w:hAnsi="Calibri" w:cs="Calibri"/>
          <w:b/>
          <w:bCs/>
          <w:color w:val="0E101A"/>
          <w:sz w:val="24"/>
          <w:szCs w:val="24"/>
        </w:rPr>
      </w:pPr>
      <w:r>
        <w:rPr>
          <w:rFonts w:ascii="Calibri" w:hAnsi="Calibri" w:cs="Calibri"/>
          <w:b/>
          <w:bCs/>
          <w:noProof/>
          <w:color w:val="0E101A"/>
          <w:sz w:val="24"/>
          <w:szCs w:val="24"/>
        </w:rPr>
        <w:drawing>
          <wp:inline distT="0" distB="0" distL="0" distR="0" wp14:anchorId="35DFC90C" wp14:editId="211B1197">
            <wp:extent cx="5274310" cy="261302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613025"/>
                    </a:xfrm>
                    <a:prstGeom prst="rect">
                      <a:avLst/>
                    </a:prstGeom>
                  </pic:spPr>
                </pic:pic>
              </a:graphicData>
            </a:graphic>
          </wp:inline>
        </w:drawing>
      </w:r>
    </w:p>
    <w:p w14:paraId="1E8346DE" w14:textId="22D6F2F7" w:rsidR="00DD6D40" w:rsidRDefault="00DD6D40" w:rsidP="00DD6D40">
      <w:pPr>
        <w:widowControl/>
        <w:spacing w:afterLines="100" w:after="312" w:line="360" w:lineRule="auto"/>
        <w:rPr>
          <w:rFonts w:ascii="Calibri" w:hAnsi="Calibri" w:cs="Calibri"/>
          <w:color w:val="0E101A"/>
          <w:sz w:val="24"/>
          <w:szCs w:val="24"/>
        </w:rPr>
      </w:pPr>
      <w:r w:rsidRPr="00DD6D40">
        <w:rPr>
          <w:rFonts w:ascii="Calibri" w:hAnsi="Calibri" w:cs="Calibri"/>
          <w:b/>
          <w:bCs/>
          <w:color w:val="0E101A"/>
          <w:sz w:val="24"/>
          <w:szCs w:val="24"/>
        </w:rPr>
        <w:t xml:space="preserve">Figure </w:t>
      </w:r>
      <w:r w:rsidR="00BF5124">
        <w:rPr>
          <w:rFonts w:ascii="Calibri" w:hAnsi="Calibri" w:cs="Calibri"/>
          <w:b/>
          <w:bCs/>
          <w:color w:val="0E101A"/>
          <w:sz w:val="24"/>
          <w:szCs w:val="24"/>
        </w:rPr>
        <w:t>S</w:t>
      </w:r>
      <w:r w:rsidR="004B5834">
        <w:rPr>
          <w:rFonts w:ascii="Calibri" w:hAnsi="Calibri" w:cs="Calibri"/>
          <w:b/>
          <w:bCs/>
          <w:color w:val="0E101A"/>
          <w:sz w:val="24"/>
          <w:szCs w:val="24"/>
        </w:rPr>
        <w:t>2</w:t>
      </w:r>
      <w:r w:rsidRPr="00DD6D40">
        <w:rPr>
          <w:rFonts w:ascii="Calibri" w:hAnsi="Calibri" w:cs="Calibri"/>
          <w:b/>
          <w:bCs/>
          <w:color w:val="0E101A"/>
          <w:sz w:val="24"/>
          <w:szCs w:val="24"/>
        </w:rPr>
        <w:t>. The best cutoff values for all variables determined using X-tile in all cases of endocervical adenocarcinoma (ECA).</w:t>
      </w:r>
      <w:r w:rsidRPr="00DD6D40">
        <w:rPr>
          <w:rFonts w:ascii="Calibri" w:hAnsi="Calibri" w:cs="Calibri"/>
          <w:color w:val="0E101A"/>
          <w:sz w:val="24"/>
          <w:szCs w:val="24"/>
        </w:rPr>
        <w:t xml:space="preserve"> (A) The best cutoff values for human papillomavirus E6/E7 </w:t>
      </w:r>
      <w:proofErr w:type="spellStart"/>
      <w:r w:rsidRPr="00DD6D40">
        <w:rPr>
          <w:rFonts w:ascii="Calibri" w:hAnsi="Calibri" w:cs="Calibri"/>
          <w:color w:val="0E101A"/>
          <w:sz w:val="24"/>
          <w:szCs w:val="24"/>
        </w:rPr>
        <w:t>RNAscope</w:t>
      </w:r>
      <w:proofErr w:type="spellEnd"/>
      <w:r w:rsidRPr="00DD6D40">
        <w:rPr>
          <w:rFonts w:ascii="Calibri" w:hAnsi="Calibri" w:cs="Calibri"/>
          <w:color w:val="0E101A"/>
          <w:sz w:val="24"/>
          <w:szCs w:val="24"/>
        </w:rPr>
        <w:t xml:space="preserve"> were determined by X-tile. (B) The best cutoff values for the low-risk and high-risk groups were determined by X-tile. </w:t>
      </w:r>
    </w:p>
    <w:p w14:paraId="0169B3BD" w14:textId="2F29D355" w:rsidR="00440969" w:rsidRPr="00DD6D40" w:rsidRDefault="004B5834" w:rsidP="00DD6D40">
      <w:pPr>
        <w:widowControl/>
        <w:spacing w:afterLines="100" w:after="312" w:line="360" w:lineRule="auto"/>
        <w:rPr>
          <w:rFonts w:ascii="Calibri" w:hAnsi="Calibri" w:cs="Calibri" w:hint="eastAsia"/>
          <w:color w:val="0E101A"/>
          <w:sz w:val="24"/>
          <w:szCs w:val="24"/>
        </w:rPr>
      </w:pPr>
      <w:r>
        <w:rPr>
          <w:rFonts w:ascii="Calibri" w:hAnsi="Calibri" w:cs="Calibri" w:hint="eastAsia"/>
          <w:noProof/>
          <w:color w:val="0E101A"/>
          <w:sz w:val="24"/>
          <w:szCs w:val="24"/>
        </w:rPr>
        <w:lastRenderedPageBreak/>
        <w:drawing>
          <wp:inline distT="0" distB="0" distL="0" distR="0" wp14:anchorId="729D2211" wp14:editId="29F8B4A6">
            <wp:extent cx="5274310" cy="5654675"/>
            <wp:effectExtent l="0" t="0" r="254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5654675"/>
                    </a:xfrm>
                    <a:prstGeom prst="rect">
                      <a:avLst/>
                    </a:prstGeom>
                  </pic:spPr>
                </pic:pic>
              </a:graphicData>
            </a:graphic>
          </wp:inline>
        </w:drawing>
      </w:r>
    </w:p>
    <w:p w14:paraId="6C56B19D" w14:textId="0DF72FC0" w:rsidR="00DD6D40" w:rsidRDefault="00DD6D40" w:rsidP="00DD6D40">
      <w:pPr>
        <w:widowControl/>
        <w:spacing w:afterLines="100" w:after="312" w:line="360" w:lineRule="auto"/>
        <w:rPr>
          <w:rFonts w:ascii="Calibri" w:hAnsi="Calibri" w:cs="Calibri"/>
          <w:color w:val="0E101A"/>
          <w:sz w:val="24"/>
          <w:szCs w:val="24"/>
        </w:rPr>
      </w:pPr>
      <w:r w:rsidRPr="00DD6D40">
        <w:rPr>
          <w:rFonts w:ascii="Calibri" w:hAnsi="Calibri" w:cs="Calibri"/>
          <w:b/>
          <w:bCs/>
          <w:color w:val="0E101A"/>
          <w:sz w:val="24"/>
          <w:szCs w:val="24"/>
        </w:rPr>
        <w:t xml:space="preserve">Figure </w:t>
      </w:r>
      <w:r w:rsidR="00BF5124">
        <w:rPr>
          <w:rFonts w:ascii="Calibri" w:hAnsi="Calibri" w:cs="Calibri"/>
          <w:b/>
          <w:bCs/>
          <w:color w:val="0E101A"/>
          <w:sz w:val="24"/>
          <w:szCs w:val="24"/>
        </w:rPr>
        <w:t>S</w:t>
      </w:r>
      <w:r w:rsidRPr="00DD6D40">
        <w:rPr>
          <w:rFonts w:ascii="Calibri" w:hAnsi="Calibri" w:cs="Calibri"/>
          <w:b/>
          <w:bCs/>
          <w:color w:val="0E101A"/>
          <w:sz w:val="24"/>
          <w:szCs w:val="24"/>
        </w:rPr>
        <w:t>3. Endocervical adenocarcinoma (ECA): proportions of combinations of positive human papillomavirus (HPV) tests and p16 immunohistochemistry (IHC).</w:t>
      </w:r>
      <w:r w:rsidRPr="00DD6D40">
        <w:rPr>
          <w:rFonts w:ascii="Calibri" w:hAnsi="Calibri" w:cs="Calibri"/>
          <w:color w:val="0E101A"/>
          <w:sz w:val="24"/>
          <w:szCs w:val="24"/>
        </w:rPr>
        <w:t xml:space="preserve"> The positive rates of HPV tests and p16 IHC in HPV-associated (A) and non-HPV-associated (B) cases.</w:t>
      </w:r>
    </w:p>
    <w:p w14:paraId="09A7017F" w14:textId="7C6D7AE3" w:rsidR="00440969" w:rsidRPr="00DD6D40" w:rsidRDefault="004B5834" w:rsidP="00DD6D40">
      <w:pPr>
        <w:widowControl/>
        <w:spacing w:afterLines="100" w:after="312" w:line="360" w:lineRule="auto"/>
        <w:rPr>
          <w:rFonts w:ascii="Calibri" w:hAnsi="Calibri" w:cs="Calibri"/>
          <w:color w:val="0E101A"/>
          <w:sz w:val="24"/>
          <w:szCs w:val="24"/>
        </w:rPr>
      </w:pPr>
      <w:r>
        <w:rPr>
          <w:rFonts w:ascii="Calibri" w:hAnsi="Calibri" w:cs="Calibri"/>
          <w:noProof/>
          <w:color w:val="0E101A"/>
          <w:sz w:val="24"/>
          <w:szCs w:val="24"/>
        </w:rPr>
        <w:lastRenderedPageBreak/>
        <w:drawing>
          <wp:inline distT="0" distB="0" distL="0" distR="0" wp14:anchorId="0F105A44" wp14:editId="73DE9AAE">
            <wp:extent cx="5274310" cy="5542280"/>
            <wp:effectExtent l="0" t="0" r="254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542280"/>
                    </a:xfrm>
                    <a:prstGeom prst="rect">
                      <a:avLst/>
                    </a:prstGeom>
                  </pic:spPr>
                </pic:pic>
              </a:graphicData>
            </a:graphic>
          </wp:inline>
        </w:drawing>
      </w:r>
    </w:p>
    <w:p w14:paraId="4C140F16" w14:textId="3BA40A9A" w:rsidR="00695F25" w:rsidRPr="00244F59" w:rsidRDefault="004B5834" w:rsidP="00244F59">
      <w:pPr>
        <w:widowControl/>
        <w:spacing w:afterLines="100" w:after="312" w:line="360" w:lineRule="auto"/>
        <w:rPr>
          <w:rFonts w:ascii="Calibri" w:hAnsi="Calibri" w:cs="Calibri" w:hint="eastAsia"/>
          <w:color w:val="0E101A"/>
          <w:sz w:val="24"/>
          <w:szCs w:val="24"/>
        </w:rPr>
      </w:pPr>
      <w:r w:rsidRPr="00DD6D40">
        <w:rPr>
          <w:rFonts w:ascii="Calibri" w:hAnsi="Calibri" w:cs="Calibri"/>
          <w:b/>
          <w:bCs/>
          <w:color w:val="0E101A"/>
          <w:sz w:val="24"/>
          <w:szCs w:val="24"/>
        </w:rPr>
        <w:t xml:space="preserve">Figure </w:t>
      </w:r>
      <w:r>
        <w:rPr>
          <w:rFonts w:ascii="Calibri" w:hAnsi="Calibri" w:cs="Calibri"/>
          <w:b/>
          <w:bCs/>
          <w:color w:val="0E101A"/>
          <w:sz w:val="24"/>
          <w:szCs w:val="24"/>
        </w:rPr>
        <w:t>S4</w:t>
      </w:r>
      <w:r w:rsidRPr="00DD6D40">
        <w:rPr>
          <w:rFonts w:ascii="Calibri" w:hAnsi="Calibri" w:cs="Calibri"/>
          <w:b/>
          <w:bCs/>
          <w:color w:val="0E101A"/>
          <w:sz w:val="24"/>
          <w:szCs w:val="24"/>
        </w:rPr>
        <w:t>. The positive rates of human papillomavirus (HPV) subtypes, mRNA, protein, and p16 protein in the subgroups of endocervical adenocarcinoma (ECA) cases.</w:t>
      </w:r>
      <w:r w:rsidRPr="00DD6D40">
        <w:rPr>
          <w:rFonts w:ascii="Calibri" w:hAnsi="Calibri" w:cs="Calibri"/>
          <w:color w:val="0E101A"/>
          <w:sz w:val="24"/>
          <w:szCs w:val="24"/>
        </w:rPr>
        <w:t xml:space="preserve"> (A) Positive rates of HPV subtypes, mRNA, and p16 protein in ECA cases with different serum HPV levels. (B) Positive rates of HPV protein, subtypes, and mRNA in all cases and in HPV-associated cases with different p16 expression. (C) Positive rates of HPV protein, mRNA and p16 protein in ECA cases with different HPV subtypes. (D) The positive rates of HPV protein, mRNA, and p16 protein in ECA cases with different HPV mRNA; p16 protein in tissues was detected using immunohistochemistry. HPV DNA concentration was detected using PCR. HPV mRNA in tissues was detected by </w:t>
      </w:r>
      <w:proofErr w:type="spellStart"/>
      <w:r w:rsidRPr="00DD6D40">
        <w:rPr>
          <w:rFonts w:ascii="Calibri" w:hAnsi="Calibri" w:cs="Calibri"/>
          <w:color w:val="0E101A"/>
          <w:sz w:val="24"/>
          <w:szCs w:val="24"/>
        </w:rPr>
        <w:t>RNAscope</w:t>
      </w:r>
      <w:proofErr w:type="spellEnd"/>
      <w:r w:rsidRPr="00DD6D40">
        <w:rPr>
          <w:rFonts w:ascii="Calibri" w:hAnsi="Calibri" w:cs="Calibri"/>
          <w:color w:val="0E101A"/>
          <w:sz w:val="24"/>
          <w:szCs w:val="24"/>
        </w:rPr>
        <w:t>. Serum HPV DNA were detected by PCR.</w:t>
      </w:r>
    </w:p>
    <w:sectPr w:rsidR="00695F25" w:rsidRPr="00244F59" w:rsidSect="00AE0C9E">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67C707" w14:textId="77777777" w:rsidR="00F55F79" w:rsidRDefault="00F55F79">
      <w:r>
        <w:separator/>
      </w:r>
    </w:p>
  </w:endnote>
  <w:endnote w:type="continuationSeparator" w:id="0">
    <w:p w14:paraId="3E314B1D" w14:textId="77777777" w:rsidR="00F55F79" w:rsidRDefault="00F55F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D6891C" w14:textId="77777777" w:rsidR="002C6E58" w:rsidRDefault="00F55F79">
    <w:pPr>
      <w:pStyle w:val="a5"/>
      <w:spacing w:after="2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902E7D" w14:textId="77777777" w:rsidR="002C6E58" w:rsidRDefault="00F55F79">
    <w:pPr>
      <w:pStyle w:val="a5"/>
      <w:spacing w:after="2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DA4504" w14:textId="77777777" w:rsidR="002C6E58" w:rsidRDefault="00F55F79">
    <w:pPr>
      <w:pStyle w:val="a5"/>
      <w:spacing w:after="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B55D0C" w14:textId="77777777" w:rsidR="00F55F79" w:rsidRDefault="00F55F79">
      <w:r>
        <w:separator/>
      </w:r>
    </w:p>
  </w:footnote>
  <w:footnote w:type="continuationSeparator" w:id="0">
    <w:p w14:paraId="20B6DD07" w14:textId="77777777" w:rsidR="00F55F79" w:rsidRDefault="00F55F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95F4BD" w14:textId="77777777" w:rsidR="002C6E58" w:rsidRDefault="00F55F79">
    <w:pPr>
      <w:pStyle w:val="a3"/>
      <w:spacing w:after="2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02FACC" w14:textId="77777777" w:rsidR="002C6E58" w:rsidRDefault="00F55F79">
    <w:pPr>
      <w:pStyle w:val="a3"/>
      <w:spacing w:after="2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E60746" w14:textId="77777777" w:rsidR="002C6E58" w:rsidRDefault="00F55F79">
    <w:pPr>
      <w:pStyle w:val="a3"/>
      <w:spacing w:after="2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D40"/>
    <w:rsid w:val="00207720"/>
    <w:rsid w:val="00244F59"/>
    <w:rsid w:val="003230E9"/>
    <w:rsid w:val="00440969"/>
    <w:rsid w:val="004B5834"/>
    <w:rsid w:val="00571662"/>
    <w:rsid w:val="00695F25"/>
    <w:rsid w:val="008B4806"/>
    <w:rsid w:val="00A126D7"/>
    <w:rsid w:val="00BF5124"/>
    <w:rsid w:val="00DD6D40"/>
    <w:rsid w:val="00F55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C21961"/>
  <w15:chartTrackingRefBased/>
  <w15:docId w15:val="{8610D594-5983-433F-9BB6-1200AB60D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6D40"/>
    <w:pPr>
      <w:widowControl/>
      <w:pBdr>
        <w:bottom w:val="single" w:sz="6" w:space="1" w:color="auto"/>
      </w:pBdr>
      <w:tabs>
        <w:tab w:val="center" w:pos="4153"/>
        <w:tab w:val="right" w:pos="8306"/>
      </w:tabs>
      <w:snapToGrid w:val="0"/>
      <w:spacing w:afterLines="100" w:after="100"/>
      <w:jc w:val="center"/>
    </w:pPr>
    <w:rPr>
      <w:sz w:val="18"/>
      <w:szCs w:val="18"/>
    </w:rPr>
  </w:style>
  <w:style w:type="character" w:customStyle="1" w:styleId="a4">
    <w:name w:val="页眉 字符"/>
    <w:basedOn w:val="a0"/>
    <w:link w:val="a3"/>
    <w:rsid w:val="00DD6D40"/>
    <w:rPr>
      <w:sz w:val="18"/>
      <w:szCs w:val="18"/>
    </w:rPr>
  </w:style>
  <w:style w:type="paragraph" w:styleId="a5">
    <w:name w:val="footer"/>
    <w:basedOn w:val="a"/>
    <w:link w:val="a6"/>
    <w:rsid w:val="00DD6D40"/>
    <w:pPr>
      <w:widowControl/>
      <w:tabs>
        <w:tab w:val="center" w:pos="4153"/>
        <w:tab w:val="right" w:pos="8306"/>
      </w:tabs>
      <w:snapToGrid w:val="0"/>
      <w:spacing w:afterLines="100" w:after="100"/>
      <w:jc w:val="left"/>
    </w:pPr>
    <w:rPr>
      <w:sz w:val="18"/>
      <w:szCs w:val="18"/>
    </w:rPr>
  </w:style>
  <w:style w:type="character" w:customStyle="1" w:styleId="a6">
    <w:name w:val="页脚 字符"/>
    <w:basedOn w:val="a0"/>
    <w:link w:val="a5"/>
    <w:rsid w:val="00DD6D40"/>
    <w:rPr>
      <w:sz w:val="18"/>
      <w:szCs w:val="18"/>
    </w:rPr>
  </w:style>
  <w:style w:type="character" w:styleId="a7">
    <w:name w:val="line number"/>
    <w:basedOn w:val="a0"/>
    <w:uiPriority w:val="99"/>
    <w:semiHidden/>
    <w:unhideWhenUsed/>
    <w:rsid w:val="00DD6D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268</Words>
  <Characters>1534</Characters>
  <Application>Microsoft Office Word</Application>
  <DocSecurity>0</DocSecurity>
  <Lines>12</Lines>
  <Paragraphs>3</Paragraphs>
  <ScaleCrop>false</ScaleCrop>
  <Company/>
  <LinksUpToDate>false</LinksUpToDate>
  <CharactersWithSpaces>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莉莉</dc:creator>
  <cp:keywords/>
  <dc:description/>
  <cp:lastModifiedBy>刘 莉莉</cp:lastModifiedBy>
  <cp:revision>7</cp:revision>
  <dcterms:created xsi:type="dcterms:W3CDTF">2020-08-25T17:21:00Z</dcterms:created>
  <dcterms:modified xsi:type="dcterms:W3CDTF">2020-08-25T18:29:00Z</dcterms:modified>
</cp:coreProperties>
</file>