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9305E" w14:textId="1C3DE6B3" w:rsidR="001D06E6" w:rsidRPr="005871C7" w:rsidRDefault="001D06E6" w:rsidP="001D06E6">
      <w:pPr>
        <w:widowControl/>
        <w:jc w:val="left"/>
        <w:rPr>
          <w:rFonts w:ascii="Times New Roman" w:hAnsi="Times New Roman" w:cs="Times New Roman"/>
          <w:b/>
          <w:bCs/>
        </w:rPr>
      </w:pPr>
      <w:r w:rsidRPr="00C41184">
        <w:rPr>
          <w:rFonts w:ascii="Times New Roman" w:hAnsi="Times New Roman" w:cs="Times New Roman"/>
        </w:rPr>
        <w:t xml:space="preserve">Table 2. </w:t>
      </w:r>
      <w:r w:rsidRPr="001D06E6">
        <w:rPr>
          <w:rFonts w:ascii="Times New Roman" w:hAnsi="Times New Roman" w:cs="Times New Roman"/>
        </w:rPr>
        <w:t>U</w:t>
      </w:r>
      <w:r w:rsidRPr="005871C7">
        <w:rPr>
          <w:rFonts w:ascii="Times New Roman" w:hAnsi="Times New Roman" w:cs="Times New Roman"/>
        </w:rPr>
        <w:t>nivariate and multivariate analys</w:t>
      </w:r>
      <w:r w:rsidR="0030739F">
        <w:rPr>
          <w:rFonts w:ascii="Times New Roman" w:hAnsi="Times New Roman" w:cs="Times New Roman"/>
        </w:rPr>
        <w:t>e</w:t>
      </w:r>
      <w:r w:rsidRPr="005871C7">
        <w:rPr>
          <w:rFonts w:ascii="Times New Roman" w:hAnsi="Times New Roman" w:cs="Times New Roman"/>
        </w:rPr>
        <w:t xml:space="preserve">s </w:t>
      </w:r>
      <w:r w:rsidR="0030739F">
        <w:rPr>
          <w:rFonts w:ascii="Times New Roman" w:hAnsi="Times New Roman" w:cs="Times New Roman"/>
        </w:rPr>
        <w:t xml:space="preserve">on </w:t>
      </w:r>
      <w:r w:rsidRPr="005871C7">
        <w:rPr>
          <w:rFonts w:ascii="Times New Roman" w:hAnsi="Times New Roman" w:cs="Times New Roman"/>
        </w:rPr>
        <w:t xml:space="preserve">the association </w:t>
      </w:r>
      <w:r w:rsidR="0030739F">
        <w:rPr>
          <w:rFonts w:ascii="Times New Roman" w:hAnsi="Times New Roman" w:cs="Times New Roman"/>
        </w:rPr>
        <w:t xml:space="preserve">of </w:t>
      </w:r>
      <w:r w:rsidRPr="005871C7">
        <w:rPr>
          <w:rFonts w:ascii="Times New Roman" w:hAnsi="Times New Roman" w:cs="Times New Roman"/>
        </w:rPr>
        <w:t>mild cognitive impairment</w:t>
      </w:r>
      <w:r w:rsidR="0030739F">
        <w:rPr>
          <w:rFonts w:ascii="Times New Roman" w:hAnsi="Times New Roman" w:cs="Times New Roman"/>
        </w:rPr>
        <w:t xml:space="preserve"> with</w:t>
      </w:r>
      <w:r w:rsidRPr="005871C7">
        <w:rPr>
          <w:rFonts w:ascii="Times New Roman" w:hAnsi="Times New Roman" w:cs="Times New Roman"/>
        </w:rPr>
        <w:t xml:space="preserve"> age and spinal balance.</w:t>
      </w:r>
    </w:p>
    <w:tbl>
      <w:tblPr>
        <w:tblW w:w="9261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5"/>
        <w:gridCol w:w="1845"/>
        <w:gridCol w:w="1699"/>
        <w:gridCol w:w="1032"/>
        <w:gridCol w:w="283"/>
        <w:gridCol w:w="1559"/>
        <w:gridCol w:w="998"/>
      </w:tblGrid>
      <w:tr w:rsidR="001D06E6" w:rsidRPr="005871C7" w14:paraId="23BC0236" w14:textId="77777777" w:rsidTr="005E7839">
        <w:trPr>
          <w:trHeight w:val="240"/>
          <w:jc w:val="center"/>
        </w:trPr>
        <w:tc>
          <w:tcPr>
            <w:tcW w:w="1845" w:type="dxa"/>
            <w:tcBorders>
              <w:top w:val="single" w:sz="4" w:space="0" w:color="auto"/>
              <w:left w:val="nil"/>
              <w:right w:val="nil"/>
            </w:tcBorders>
          </w:tcPr>
          <w:p w14:paraId="4C315F2A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1CA002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E3326B8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871C7">
              <w:rPr>
                <w:rFonts w:ascii="Times New Roman" w:hAnsi="Times New Roman" w:cs="Times New Roman" w:hint="eastAsia"/>
                <w:b/>
                <w:bCs/>
              </w:rPr>
              <w:t>Univariate</w:t>
            </w:r>
            <w:r w:rsidRPr="005871C7">
              <w:rPr>
                <w:rFonts w:ascii="Times New Roman" w:hAnsi="Times New Roman" w:cs="Times New Roman"/>
                <w:b/>
                <w:bCs/>
              </w:rPr>
              <w:t xml:space="preserve"> analysis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615150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1F793644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8239E21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871C7">
              <w:rPr>
                <w:rFonts w:ascii="Times New Roman" w:hAnsi="Times New Roman" w:cs="Times New Roman"/>
                <w:b/>
                <w:bCs/>
              </w:rPr>
              <w:t>Multivariate analysis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9762025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D06E6" w:rsidRPr="005871C7" w14:paraId="212C72E3" w14:textId="77777777" w:rsidTr="005E7839">
        <w:trPr>
          <w:trHeight w:val="240"/>
          <w:jc w:val="center"/>
        </w:trPr>
        <w:tc>
          <w:tcPr>
            <w:tcW w:w="1845" w:type="dxa"/>
            <w:tcBorders>
              <w:left w:val="nil"/>
              <w:bottom w:val="single" w:sz="4" w:space="0" w:color="auto"/>
              <w:right w:val="nil"/>
            </w:tcBorders>
          </w:tcPr>
          <w:p w14:paraId="7EAD9220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871C7">
              <w:rPr>
                <w:rFonts w:ascii="Times New Roman" w:hAnsi="Times New Roman" w:cs="Times New Roman" w:hint="eastAsia"/>
                <w:b/>
                <w:bCs/>
              </w:rPr>
              <w:t>S</w:t>
            </w:r>
            <w:r w:rsidRPr="005871C7">
              <w:rPr>
                <w:rFonts w:ascii="Times New Roman" w:hAnsi="Times New Roman" w:cs="Times New Roman"/>
                <w:b/>
                <w:bCs/>
              </w:rPr>
              <w:t>ex</w:t>
            </w:r>
          </w:p>
        </w:tc>
        <w:tc>
          <w:tcPr>
            <w:tcW w:w="18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BE4E3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871C7">
              <w:rPr>
                <w:rFonts w:ascii="Times New Roman" w:hAnsi="Times New Roman" w:cs="Times New Roman"/>
                <w:b/>
                <w:bCs/>
              </w:rPr>
              <w:t>Candidate</w:t>
            </w:r>
          </w:p>
        </w:tc>
        <w:tc>
          <w:tcPr>
            <w:tcW w:w="16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8BDB2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871C7">
              <w:rPr>
                <w:rFonts w:ascii="Times New Roman" w:hAnsi="Times New Roman" w:cs="Times New Roman"/>
                <w:b/>
                <w:bCs/>
              </w:rPr>
              <w:t xml:space="preserve">Odds ratio </w:t>
            </w:r>
          </w:p>
        </w:tc>
        <w:tc>
          <w:tcPr>
            <w:tcW w:w="103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21859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871C7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Pr="005871C7">
              <w:rPr>
                <w:rFonts w:ascii="Times New Roman" w:hAnsi="Times New Roman" w:cs="Times New Roman"/>
                <w:b/>
                <w:bCs/>
              </w:rPr>
              <w:t>-value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4CDD017F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8F4605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871C7">
              <w:rPr>
                <w:rFonts w:ascii="Times New Roman" w:hAnsi="Times New Roman" w:cs="Times New Roman"/>
                <w:b/>
                <w:bCs/>
              </w:rPr>
              <w:t xml:space="preserve">Odds ratio </w:t>
            </w:r>
          </w:p>
        </w:tc>
        <w:tc>
          <w:tcPr>
            <w:tcW w:w="99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7E0255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871C7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Pr="005871C7">
              <w:rPr>
                <w:rFonts w:ascii="Times New Roman" w:hAnsi="Times New Roman" w:cs="Times New Roman"/>
                <w:b/>
                <w:bCs/>
              </w:rPr>
              <w:t>-value</w:t>
            </w:r>
          </w:p>
        </w:tc>
      </w:tr>
      <w:tr w:rsidR="001D06E6" w:rsidRPr="005871C7" w14:paraId="3785C8F4" w14:textId="77777777" w:rsidTr="005E7839">
        <w:trPr>
          <w:trHeight w:val="240"/>
          <w:jc w:val="center"/>
        </w:trPr>
        <w:tc>
          <w:tcPr>
            <w:tcW w:w="1845" w:type="dxa"/>
            <w:tcBorders>
              <w:top w:val="single" w:sz="4" w:space="0" w:color="auto"/>
              <w:left w:val="nil"/>
              <w:right w:val="nil"/>
            </w:tcBorders>
          </w:tcPr>
          <w:p w14:paraId="4140399E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 w:hint="eastAsia"/>
              </w:rPr>
              <w:t>M</w:t>
            </w:r>
            <w:r w:rsidRPr="005871C7">
              <w:rPr>
                <w:rFonts w:ascii="Times New Roman" w:hAnsi="Times New Roman" w:cs="Times New Roman"/>
              </w:rPr>
              <w:t>ale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7EF435B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/>
              </w:rPr>
              <w:t>Age (+10 years)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0F7D58D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/>
              </w:rPr>
              <w:t>2.5 (1.9-3.4)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0EC82D62" w14:textId="278277D0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/>
              </w:rPr>
              <w:t>&lt;</w:t>
            </w:r>
            <w:r w:rsidR="0030739F">
              <w:rPr>
                <w:rFonts w:ascii="Times New Roman" w:hAnsi="Times New Roman" w:cs="Times New Roman"/>
              </w:rPr>
              <w:t xml:space="preserve"> </w:t>
            </w:r>
            <w:r w:rsidRPr="005871C7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3081D40E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</w:tcPr>
          <w:p w14:paraId="7FB0F38D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 w:hint="eastAsia"/>
              </w:rPr>
              <w:t>2</w:t>
            </w:r>
            <w:r w:rsidRPr="005871C7">
              <w:rPr>
                <w:rFonts w:ascii="Times New Roman" w:hAnsi="Times New Roman" w:cs="Times New Roman"/>
              </w:rPr>
              <w:t>.1 (1.5-2.9)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right w:val="nil"/>
            </w:tcBorders>
          </w:tcPr>
          <w:p w14:paraId="427C5997" w14:textId="4727AA01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/>
              </w:rPr>
              <w:t>&lt;</w:t>
            </w:r>
            <w:r w:rsidR="0030739F">
              <w:rPr>
                <w:rFonts w:ascii="Times New Roman" w:hAnsi="Times New Roman" w:cs="Times New Roman"/>
              </w:rPr>
              <w:t xml:space="preserve"> </w:t>
            </w:r>
            <w:r w:rsidRPr="005871C7">
              <w:rPr>
                <w:rFonts w:ascii="Times New Roman" w:hAnsi="Times New Roman" w:cs="Times New Roman"/>
              </w:rPr>
              <w:t>0.01</w:t>
            </w:r>
          </w:p>
        </w:tc>
      </w:tr>
      <w:tr w:rsidR="001D06E6" w:rsidRPr="005871C7" w14:paraId="72ACA96F" w14:textId="77777777" w:rsidTr="005E7839">
        <w:trPr>
          <w:trHeight w:val="240"/>
          <w:jc w:val="center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27AFCFA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7CF78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/>
              </w:rPr>
              <w:t>SVA (+10 mm)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F27D4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 w:hint="eastAsia"/>
              </w:rPr>
              <w:t>1</w:t>
            </w:r>
            <w:r w:rsidRPr="005871C7">
              <w:rPr>
                <w:rFonts w:ascii="Times New Roman" w:hAnsi="Times New Roman" w:cs="Times New Roman"/>
              </w:rPr>
              <w:t>.3 (1.1-1.4)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7C5CE" w14:textId="6837CA81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/>
              </w:rPr>
              <w:t>&lt;</w:t>
            </w:r>
            <w:r w:rsidR="0030739F">
              <w:rPr>
                <w:rFonts w:ascii="Times New Roman" w:hAnsi="Times New Roman" w:cs="Times New Roman"/>
              </w:rPr>
              <w:t xml:space="preserve"> </w:t>
            </w:r>
            <w:r w:rsidRPr="005871C7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CC6F36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D362BA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 w:hint="eastAsia"/>
              </w:rPr>
              <w:t>1</w:t>
            </w:r>
            <w:r w:rsidRPr="005871C7">
              <w:rPr>
                <w:rFonts w:ascii="Times New Roman" w:hAnsi="Times New Roman" w:cs="Times New Roman"/>
              </w:rPr>
              <w:t>.2 (1.0-1.3)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A7F5A01" w14:textId="57B1B769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/>
              </w:rPr>
              <w:t>&lt;</w:t>
            </w:r>
            <w:r w:rsidR="0030739F">
              <w:rPr>
                <w:rFonts w:ascii="Times New Roman" w:hAnsi="Times New Roman" w:cs="Times New Roman"/>
              </w:rPr>
              <w:t xml:space="preserve"> </w:t>
            </w:r>
            <w:r w:rsidRPr="005871C7">
              <w:rPr>
                <w:rFonts w:ascii="Times New Roman" w:hAnsi="Times New Roman" w:cs="Times New Roman"/>
              </w:rPr>
              <w:t>0.01</w:t>
            </w:r>
          </w:p>
        </w:tc>
      </w:tr>
      <w:tr w:rsidR="001D06E6" w:rsidRPr="005871C7" w14:paraId="5BB670EF" w14:textId="77777777" w:rsidTr="005E7839">
        <w:trPr>
          <w:trHeight w:val="240"/>
          <w:jc w:val="center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4ECF5B1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 w:hint="eastAsia"/>
              </w:rPr>
              <w:t>F</w:t>
            </w:r>
            <w:r w:rsidRPr="005871C7">
              <w:rPr>
                <w:rFonts w:ascii="Times New Roman" w:hAnsi="Times New Roman" w:cs="Times New Roman"/>
              </w:rPr>
              <w:t>emale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9A7691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/>
              </w:rPr>
              <w:t>Age (+10 years)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C38EC3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 w:hint="eastAsia"/>
              </w:rPr>
              <w:t>2</w:t>
            </w:r>
            <w:r w:rsidRPr="005871C7">
              <w:rPr>
                <w:rFonts w:ascii="Times New Roman" w:hAnsi="Times New Roman" w:cs="Times New Roman"/>
              </w:rPr>
              <w:t>.6 (1.9-3.5)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48B2DE" w14:textId="3F60B73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/>
              </w:rPr>
              <w:t>&lt;</w:t>
            </w:r>
            <w:r w:rsidR="0030739F">
              <w:rPr>
                <w:rFonts w:ascii="Times New Roman" w:hAnsi="Times New Roman" w:cs="Times New Roman"/>
              </w:rPr>
              <w:t xml:space="preserve"> </w:t>
            </w:r>
            <w:r w:rsidRPr="005871C7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02DB4C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AA3B49E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 w:hint="eastAsia"/>
              </w:rPr>
              <w:t>2</w:t>
            </w:r>
            <w:r w:rsidRPr="005871C7">
              <w:rPr>
                <w:rFonts w:ascii="Times New Roman" w:hAnsi="Times New Roman" w:cs="Times New Roman"/>
              </w:rPr>
              <w:t>.4 (1.7-3.4)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5551292" w14:textId="57D6292F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/>
              </w:rPr>
              <w:t>&lt;</w:t>
            </w:r>
            <w:r w:rsidR="0030739F">
              <w:rPr>
                <w:rFonts w:ascii="Times New Roman" w:hAnsi="Times New Roman" w:cs="Times New Roman"/>
              </w:rPr>
              <w:t xml:space="preserve"> </w:t>
            </w:r>
            <w:r w:rsidRPr="005871C7">
              <w:rPr>
                <w:rFonts w:ascii="Times New Roman" w:hAnsi="Times New Roman" w:cs="Times New Roman"/>
              </w:rPr>
              <w:t>0.01</w:t>
            </w:r>
          </w:p>
        </w:tc>
      </w:tr>
      <w:tr w:rsidR="001D06E6" w:rsidRPr="005871C7" w14:paraId="5AD4D22B" w14:textId="77777777" w:rsidTr="005E7839">
        <w:trPr>
          <w:trHeight w:val="240"/>
          <w:jc w:val="center"/>
        </w:trPr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77172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67D61C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/>
              </w:rPr>
              <w:t>SVA (+10 mm)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8DFD1D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 w:hint="eastAsia"/>
              </w:rPr>
              <w:t>1</w:t>
            </w:r>
            <w:r w:rsidRPr="005871C7">
              <w:rPr>
                <w:rFonts w:ascii="Times New Roman" w:hAnsi="Times New Roman" w:cs="Times New Roman"/>
              </w:rPr>
              <w:t>.2 (1.1-1.3)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341A2D" w14:textId="7C619896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/>
              </w:rPr>
              <w:t>&lt;</w:t>
            </w:r>
            <w:r w:rsidR="0030739F">
              <w:rPr>
                <w:rFonts w:ascii="Times New Roman" w:hAnsi="Times New Roman" w:cs="Times New Roman"/>
              </w:rPr>
              <w:t xml:space="preserve"> </w:t>
            </w:r>
            <w:r w:rsidRPr="005871C7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D059D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D4D00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 w:hint="eastAsia"/>
              </w:rPr>
              <w:t>1</w:t>
            </w:r>
            <w:r w:rsidRPr="005871C7">
              <w:rPr>
                <w:rFonts w:ascii="Times New Roman" w:hAnsi="Times New Roman" w:cs="Times New Roman"/>
              </w:rPr>
              <w:t>.0 (1.0-1.1)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FC13A" w14:textId="77777777" w:rsidR="001D06E6" w:rsidRPr="005871C7" w:rsidRDefault="001D06E6" w:rsidP="005E783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5871C7">
              <w:rPr>
                <w:rFonts w:ascii="Times New Roman" w:hAnsi="Times New Roman" w:cs="Times New Roman" w:hint="eastAsia"/>
              </w:rPr>
              <w:t>0</w:t>
            </w:r>
            <w:r w:rsidRPr="005871C7">
              <w:rPr>
                <w:rFonts w:ascii="Times New Roman" w:hAnsi="Times New Roman" w:cs="Times New Roman"/>
              </w:rPr>
              <w:t>.49</w:t>
            </w:r>
          </w:p>
        </w:tc>
      </w:tr>
    </w:tbl>
    <w:p w14:paraId="318F9E74" w14:textId="52FD858C" w:rsidR="001D06E6" w:rsidRPr="005871C7" w:rsidRDefault="001D06E6" w:rsidP="001D06E6">
      <w:pPr>
        <w:widowControl/>
        <w:jc w:val="left"/>
        <w:rPr>
          <w:rFonts w:ascii="Times New Roman" w:hAnsi="Times New Roman" w:cs="Times New Roman"/>
        </w:rPr>
      </w:pPr>
      <w:r w:rsidRPr="005871C7">
        <w:rPr>
          <w:rFonts w:ascii="Times New Roman" w:hAnsi="Times New Roman" w:cs="Times New Roman"/>
          <w:i/>
        </w:rPr>
        <w:t>Note:</w:t>
      </w:r>
      <w:r w:rsidRPr="005871C7">
        <w:rPr>
          <w:rFonts w:ascii="Times New Roman" w:hAnsi="Times New Roman" w:cs="Times New Roman"/>
        </w:rPr>
        <w:t xml:space="preserve"> Odds ratios </w:t>
      </w:r>
      <w:r w:rsidR="0030739F">
        <w:rPr>
          <w:rFonts w:ascii="Times New Roman" w:hAnsi="Times New Roman" w:cs="Times New Roman"/>
        </w:rPr>
        <w:t xml:space="preserve">are </w:t>
      </w:r>
      <w:r w:rsidRPr="005871C7">
        <w:rPr>
          <w:rFonts w:ascii="Times New Roman" w:hAnsi="Times New Roman" w:cs="Times New Roman"/>
        </w:rPr>
        <w:t>present</w:t>
      </w:r>
      <w:r w:rsidR="0030739F">
        <w:rPr>
          <w:rFonts w:ascii="Times New Roman" w:hAnsi="Times New Roman" w:cs="Times New Roman"/>
        </w:rPr>
        <w:t>ed</w:t>
      </w:r>
      <w:r w:rsidRPr="005871C7">
        <w:rPr>
          <w:rFonts w:ascii="Times New Roman" w:hAnsi="Times New Roman" w:cs="Times New Roman"/>
        </w:rPr>
        <w:t xml:space="preserve"> with </w:t>
      </w:r>
      <w:r w:rsidR="0030739F">
        <w:rPr>
          <w:rFonts w:ascii="Times New Roman" w:hAnsi="Times New Roman" w:cs="Times New Roman"/>
        </w:rPr>
        <w:t xml:space="preserve">the </w:t>
      </w:r>
      <w:r w:rsidRPr="005871C7">
        <w:rPr>
          <w:rFonts w:ascii="Times New Roman" w:hAnsi="Times New Roman" w:cs="Times New Roman"/>
        </w:rPr>
        <w:t>95% confidence interval.</w:t>
      </w:r>
    </w:p>
    <w:p w14:paraId="6DBE9204" w14:textId="62F92FE3" w:rsidR="001D06E6" w:rsidRPr="005871C7" w:rsidRDefault="001D06E6" w:rsidP="001D06E6">
      <w:pPr>
        <w:widowControl/>
        <w:jc w:val="left"/>
        <w:rPr>
          <w:rFonts w:ascii="Times New Roman" w:hAnsi="Times New Roman" w:cs="Times New Roman"/>
        </w:rPr>
      </w:pPr>
      <w:r w:rsidRPr="005871C7">
        <w:rPr>
          <w:rFonts w:ascii="Times New Roman" w:hAnsi="Times New Roman" w:cs="Times New Roman"/>
          <w:i/>
        </w:rPr>
        <w:t xml:space="preserve">Abbreviation: </w:t>
      </w:r>
      <w:r w:rsidRPr="005871C7">
        <w:rPr>
          <w:rFonts w:ascii="Times New Roman" w:hAnsi="Times New Roman" w:cs="Times New Roman"/>
        </w:rPr>
        <w:t>SVA, sagittal vertical axis.</w:t>
      </w:r>
    </w:p>
    <w:p w14:paraId="42F4A767" w14:textId="77777777" w:rsidR="001D06E6" w:rsidRPr="005871C7" w:rsidRDefault="001D06E6" w:rsidP="001D06E6">
      <w:pPr>
        <w:widowControl/>
        <w:jc w:val="left"/>
        <w:rPr>
          <w:rFonts w:ascii="Times New Roman" w:hAnsi="Times New Roman" w:cs="Times New Roman"/>
        </w:rPr>
      </w:pPr>
    </w:p>
    <w:p w14:paraId="4693946F" w14:textId="77777777" w:rsidR="00E07116" w:rsidRPr="00222324" w:rsidRDefault="00E07116" w:rsidP="00E07116">
      <w:pPr>
        <w:rPr>
          <w:rFonts w:ascii="Times New Roman" w:hAnsi="Times New Roman" w:cs="Times New Roman"/>
        </w:rPr>
      </w:pPr>
    </w:p>
    <w:p w14:paraId="2303A2A5" w14:textId="47DECDD0" w:rsidR="00E07116" w:rsidRDefault="00E0711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 w:rsidR="00E07116" w:rsidSect="00E07116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E0321" w14:textId="77777777" w:rsidR="006F4C50" w:rsidRDefault="006F4C50" w:rsidP="00796DFD">
      <w:r>
        <w:separator/>
      </w:r>
    </w:p>
  </w:endnote>
  <w:endnote w:type="continuationSeparator" w:id="0">
    <w:p w14:paraId="115DF611" w14:textId="77777777" w:rsidR="006F4C50" w:rsidRDefault="006F4C50" w:rsidP="0079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4874215"/>
      <w:docPartObj>
        <w:docPartGallery w:val="Page Numbers (Bottom of Page)"/>
        <w:docPartUnique/>
      </w:docPartObj>
    </w:sdtPr>
    <w:sdtEndPr/>
    <w:sdtContent>
      <w:p w14:paraId="25B77E86" w14:textId="77777777" w:rsidR="00136A13" w:rsidRDefault="00136A1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41A4">
          <w:rPr>
            <w:noProof/>
            <w:lang w:val="ja-JP"/>
          </w:rPr>
          <w:t>5</w:t>
        </w:r>
        <w:r>
          <w:rPr>
            <w:noProof/>
            <w:lang w:val="ja-JP"/>
          </w:rPr>
          <w:fldChar w:fldCharType="end"/>
        </w:r>
      </w:p>
    </w:sdtContent>
  </w:sdt>
  <w:p w14:paraId="0B7D9EB8" w14:textId="77777777" w:rsidR="00136A13" w:rsidRDefault="00136A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7AA8F" w14:textId="77777777" w:rsidR="006F4C50" w:rsidRDefault="006F4C50" w:rsidP="00796DFD">
      <w:r>
        <w:separator/>
      </w:r>
    </w:p>
  </w:footnote>
  <w:footnote w:type="continuationSeparator" w:id="0">
    <w:p w14:paraId="214AC4D6" w14:textId="77777777" w:rsidR="006F4C50" w:rsidRDefault="006F4C50" w:rsidP="0079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218A6" w14:textId="4E12830F" w:rsidR="00136A13" w:rsidRDefault="00136A13" w:rsidP="003A728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22C30"/>
    <w:multiLevelType w:val="hybridMultilevel"/>
    <w:tmpl w:val="D4344C7C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637C6"/>
    <w:multiLevelType w:val="hybridMultilevel"/>
    <w:tmpl w:val="D04EC22E"/>
    <w:lvl w:ilvl="0" w:tplc="1AF444CE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8D53C6"/>
    <w:multiLevelType w:val="hybridMultilevel"/>
    <w:tmpl w:val="E604ADB2"/>
    <w:lvl w:ilvl="0" w:tplc="5A0C0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30" w:hanging="360"/>
      </w:pPr>
    </w:lvl>
    <w:lvl w:ilvl="2" w:tplc="0809001B" w:tentative="1">
      <w:start w:val="1"/>
      <w:numFmt w:val="lowerRoman"/>
      <w:lvlText w:val="%3."/>
      <w:lvlJc w:val="right"/>
      <w:pPr>
        <w:ind w:left="4350" w:hanging="180"/>
      </w:pPr>
    </w:lvl>
    <w:lvl w:ilvl="3" w:tplc="0809000F" w:tentative="1">
      <w:start w:val="1"/>
      <w:numFmt w:val="decimal"/>
      <w:lvlText w:val="%4."/>
      <w:lvlJc w:val="left"/>
      <w:pPr>
        <w:ind w:left="5070" w:hanging="360"/>
      </w:pPr>
    </w:lvl>
    <w:lvl w:ilvl="4" w:tplc="08090019" w:tentative="1">
      <w:start w:val="1"/>
      <w:numFmt w:val="lowerLetter"/>
      <w:lvlText w:val="%5."/>
      <w:lvlJc w:val="left"/>
      <w:pPr>
        <w:ind w:left="5790" w:hanging="360"/>
      </w:pPr>
    </w:lvl>
    <w:lvl w:ilvl="5" w:tplc="0809001B" w:tentative="1">
      <w:start w:val="1"/>
      <w:numFmt w:val="lowerRoman"/>
      <w:lvlText w:val="%6."/>
      <w:lvlJc w:val="right"/>
      <w:pPr>
        <w:ind w:left="6510" w:hanging="180"/>
      </w:pPr>
    </w:lvl>
    <w:lvl w:ilvl="6" w:tplc="0809000F" w:tentative="1">
      <w:start w:val="1"/>
      <w:numFmt w:val="decimal"/>
      <w:lvlText w:val="%7."/>
      <w:lvlJc w:val="left"/>
      <w:pPr>
        <w:ind w:left="7230" w:hanging="360"/>
      </w:pPr>
    </w:lvl>
    <w:lvl w:ilvl="7" w:tplc="08090019" w:tentative="1">
      <w:start w:val="1"/>
      <w:numFmt w:val="lowerLetter"/>
      <w:lvlText w:val="%8."/>
      <w:lvlJc w:val="left"/>
      <w:pPr>
        <w:ind w:left="7950" w:hanging="360"/>
      </w:pPr>
    </w:lvl>
    <w:lvl w:ilvl="8" w:tplc="08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 w15:restartNumberingAfterBreak="0">
    <w:nsid w:val="267B02DF"/>
    <w:multiLevelType w:val="hybridMultilevel"/>
    <w:tmpl w:val="7B3644E6"/>
    <w:lvl w:ilvl="0" w:tplc="3508D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720B9D"/>
    <w:multiLevelType w:val="hybridMultilevel"/>
    <w:tmpl w:val="743EF60C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A44FEB"/>
    <w:multiLevelType w:val="hybridMultilevel"/>
    <w:tmpl w:val="C9904056"/>
    <w:lvl w:ilvl="0" w:tplc="EC9805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E5189"/>
    <w:multiLevelType w:val="hybridMultilevel"/>
    <w:tmpl w:val="8F2CF36C"/>
    <w:lvl w:ilvl="0" w:tplc="1AF444CE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04BE7"/>
    <w:multiLevelType w:val="hybridMultilevel"/>
    <w:tmpl w:val="4790D6D8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7147FC"/>
    <w:multiLevelType w:val="hybridMultilevel"/>
    <w:tmpl w:val="A3128208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4577DC"/>
    <w:multiLevelType w:val="hybridMultilevel"/>
    <w:tmpl w:val="2384FDCC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DE783D"/>
    <w:multiLevelType w:val="hybridMultilevel"/>
    <w:tmpl w:val="722A25AE"/>
    <w:lvl w:ilvl="0" w:tplc="1AF444CE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AC3E9C"/>
    <w:multiLevelType w:val="hybridMultilevel"/>
    <w:tmpl w:val="2F2AAE2E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B84113"/>
    <w:multiLevelType w:val="hybridMultilevel"/>
    <w:tmpl w:val="448C1192"/>
    <w:lvl w:ilvl="0" w:tplc="1AF444CE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891B34"/>
    <w:multiLevelType w:val="hybridMultilevel"/>
    <w:tmpl w:val="A0CAFAA2"/>
    <w:lvl w:ilvl="0" w:tplc="C4D22222">
      <w:start w:val="1"/>
      <w:numFmt w:val="decimal"/>
      <w:lvlText w:val="%1."/>
      <w:lvlJc w:val="left"/>
      <w:pPr>
        <w:ind w:left="29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13"/>
  </w:num>
  <w:num w:numId="8">
    <w:abstractNumId w:val="1"/>
  </w:num>
  <w:num w:numId="9">
    <w:abstractNumId w:val="14"/>
  </w:num>
  <w:num w:numId="10">
    <w:abstractNumId w:val="0"/>
  </w:num>
  <w:num w:numId="11">
    <w:abstractNumId w:val="5"/>
  </w:num>
  <w:num w:numId="12">
    <w:abstractNumId w:val="12"/>
  </w:num>
  <w:num w:numId="13">
    <w:abstractNumId w:val="1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4A"/>
    <w:rsid w:val="00011FB2"/>
    <w:rsid w:val="00027593"/>
    <w:rsid w:val="00027CC5"/>
    <w:rsid w:val="0003061B"/>
    <w:rsid w:val="000317FB"/>
    <w:rsid w:val="0005059D"/>
    <w:rsid w:val="00061F30"/>
    <w:rsid w:val="00062AD3"/>
    <w:rsid w:val="000661F7"/>
    <w:rsid w:val="00070057"/>
    <w:rsid w:val="0007275B"/>
    <w:rsid w:val="000735C1"/>
    <w:rsid w:val="00073D6C"/>
    <w:rsid w:val="00076176"/>
    <w:rsid w:val="00081093"/>
    <w:rsid w:val="000824A2"/>
    <w:rsid w:val="00084029"/>
    <w:rsid w:val="0008567C"/>
    <w:rsid w:val="0008731C"/>
    <w:rsid w:val="000A37FF"/>
    <w:rsid w:val="000B1513"/>
    <w:rsid w:val="000B5E97"/>
    <w:rsid w:val="000B60E7"/>
    <w:rsid w:val="000B615C"/>
    <w:rsid w:val="000D6EBC"/>
    <w:rsid w:val="000E1325"/>
    <w:rsid w:val="000E6216"/>
    <w:rsid w:val="001047CB"/>
    <w:rsid w:val="00113FF5"/>
    <w:rsid w:val="00121F74"/>
    <w:rsid w:val="00136043"/>
    <w:rsid w:val="00136A13"/>
    <w:rsid w:val="00141C4D"/>
    <w:rsid w:val="00145739"/>
    <w:rsid w:val="00147233"/>
    <w:rsid w:val="00157638"/>
    <w:rsid w:val="00161CCC"/>
    <w:rsid w:val="001767C1"/>
    <w:rsid w:val="00181CFD"/>
    <w:rsid w:val="00183A05"/>
    <w:rsid w:val="0018541E"/>
    <w:rsid w:val="00192E0B"/>
    <w:rsid w:val="00195392"/>
    <w:rsid w:val="0019791F"/>
    <w:rsid w:val="001A6B2A"/>
    <w:rsid w:val="001B1B7A"/>
    <w:rsid w:val="001B61B1"/>
    <w:rsid w:val="001C47F8"/>
    <w:rsid w:val="001D06E6"/>
    <w:rsid w:val="001D6C31"/>
    <w:rsid w:val="001E0B44"/>
    <w:rsid w:val="001E41ED"/>
    <w:rsid w:val="00205844"/>
    <w:rsid w:val="00206E6B"/>
    <w:rsid w:val="00215443"/>
    <w:rsid w:val="002177B7"/>
    <w:rsid w:val="002223C2"/>
    <w:rsid w:val="00223423"/>
    <w:rsid w:val="00224021"/>
    <w:rsid w:val="00224B76"/>
    <w:rsid w:val="00226AFB"/>
    <w:rsid w:val="00233C6E"/>
    <w:rsid w:val="00235871"/>
    <w:rsid w:val="00242B19"/>
    <w:rsid w:val="00243A47"/>
    <w:rsid w:val="0024410F"/>
    <w:rsid w:val="00253D27"/>
    <w:rsid w:val="00261C1F"/>
    <w:rsid w:val="0026302E"/>
    <w:rsid w:val="002760C3"/>
    <w:rsid w:val="0028428A"/>
    <w:rsid w:val="0028721F"/>
    <w:rsid w:val="00290783"/>
    <w:rsid w:val="0029156C"/>
    <w:rsid w:val="00293F2D"/>
    <w:rsid w:val="002967D8"/>
    <w:rsid w:val="002A38F1"/>
    <w:rsid w:val="002C0230"/>
    <w:rsid w:val="002C06C7"/>
    <w:rsid w:val="002C18F7"/>
    <w:rsid w:val="002C69A5"/>
    <w:rsid w:val="002D11DA"/>
    <w:rsid w:val="002D6680"/>
    <w:rsid w:val="002F367A"/>
    <w:rsid w:val="002F3B89"/>
    <w:rsid w:val="002F66E4"/>
    <w:rsid w:val="00300CF0"/>
    <w:rsid w:val="00304714"/>
    <w:rsid w:val="0030739F"/>
    <w:rsid w:val="00313F77"/>
    <w:rsid w:val="00317C73"/>
    <w:rsid w:val="0032761D"/>
    <w:rsid w:val="00333700"/>
    <w:rsid w:val="003421A3"/>
    <w:rsid w:val="00345648"/>
    <w:rsid w:val="00361679"/>
    <w:rsid w:val="00363E19"/>
    <w:rsid w:val="0036475E"/>
    <w:rsid w:val="0036660E"/>
    <w:rsid w:val="00367891"/>
    <w:rsid w:val="00367E57"/>
    <w:rsid w:val="003709B4"/>
    <w:rsid w:val="00376375"/>
    <w:rsid w:val="00387199"/>
    <w:rsid w:val="003947F5"/>
    <w:rsid w:val="003A7281"/>
    <w:rsid w:val="003B103F"/>
    <w:rsid w:val="003B459C"/>
    <w:rsid w:val="003E5633"/>
    <w:rsid w:val="003F3894"/>
    <w:rsid w:val="003F62B0"/>
    <w:rsid w:val="003F6FF0"/>
    <w:rsid w:val="00401DB7"/>
    <w:rsid w:val="004066E8"/>
    <w:rsid w:val="00411B26"/>
    <w:rsid w:val="00412FEB"/>
    <w:rsid w:val="0041523B"/>
    <w:rsid w:val="00422C11"/>
    <w:rsid w:val="0042521F"/>
    <w:rsid w:val="00427E01"/>
    <w:rsid w:val="0043117C"/>
    <w:rsid w:val="0044262D"/>
    <w:rsid w:val="00446999"/>
    <w:rsid w:val="004507A9"/>
    <w:rsid w:val="00450A96"/>
    <w:rsid w:val="004512EA"/>
    <w:rsid w:val="00455FB8"/>
    <w:rsid w:val="00481227"/>
    <w:rsid w:val="00484545"/>
    <w:rsid w:val="00484C9E"/>
    <w:rsid w:val="004A08EE"/>
    <w:rsid w:val="004B04F9"/>
    <w:rsid w:val="004B0FAF"/>
    <w:rsid w:val="004B1E51"/>
    <w:rsid w:val="004B2DF1"/>
    <w:rsid w:val="004C0F03"/>
    <w:rsid w:val="004C1350"/>
    <w:rsid w:val="004C7C67"/>
    <w:rsid w:val="004E2600"/>
    <w:rsid w:val="004E4116"/>
    <w:rsid w:val="004F7D43"/>
    <w:rsid w:val="00502B61"/>
    <w:rsid w:val="00503242"/>
    <w:rsid w:val="005149B5"/>
    <w:rsid w:val="00517BFE"/>
    <w:rsid w:val="00522D1E"/>
    <w:rsid w:val="00525C6B"/>
    <w:rsid w:val="005341A4"/>
    <w:rsid w:val="00534D14"/>
    <w:rsid w:val="00537863"/>
    <w:rsid w:val="00542875"/>
    <w:rsid w:val="005442F7"/>
    <w:rsid w:val="005462F4"/>
    <w:rsid w:val="005529AA"/>
    <w:rsid w:val="005626FC"/>
    <w:rsid w:val="00583D1E"/>
    <w:rsid w:val="00594339"/>
    <w:rsid w:val="00596020"/>
    <w:rsid w:val="005A026F"/>
    <w:rsid w:val="005B7E52"/>
    <w:rsid w:val="005C305A"/>
    <w:rsid w:val="005C70A6"/>
    <w:rsid w:val="005D3F65"/>
    <w:rsid w:val="005D69A1"/>
    <w:rsid w:val="005E7839"/>
    <w:rsid w:val="005F37A1"/>
    <w:rsid w:val="005F6087"/>
    <w:rsid w:val="00624002"/>
    <w:rsid w:val="00626222"/>
    <w:rsid w:val="00634F98"/>
    <w:rsid w:val="00636CAE"/>
    <w:rsid w:val="00641AD0"/>
    <w:rsid w:val="00642605"/>
    <w:rsid w:val="00644389"/>
    <w:rsid w:val="00645169"/>
    <w:rsid w:val="00650AFE"/>
    <w:rsid w:val="00654D44"/>
    <w:rsid w:val="006622EB"/>
    <w:rsid w:val="00662E18"/>
    <w:rsid w:val="006658BE"/>
    <w:rsid w:val="00665CC6"/>
    <w:rsid w:val="00672CDD"/>
    <w:rsid w:val="00673119"/>
    <w:rsid w:val="00675684"/>
    <w:rsid w:val="006758EE"/>
    <w:rsid w:val="00693172"/>
    <w:rsid w:val="00694C9B"/>
    <w:rsid w:val="00695BDE"/>
    <w:rsid w:val="006A456E"/>
    <w:rsid w:val="006A6A46"/>
    <w:rsid w:val="006C165F"/>
    <w:rsid w:val="006C3681"/>
    <w:rsid w:val="006C377A"/>
    <w:rsid w:val="006C382D"/>
    <w:rsid w:val="006D02B8"/>
    <w:rsid w:val="006D235F"/>
    <w:rsid w:val="006D4ACA"/>
    <w:rsid w:val="006D7402"/>
    <w:rsid w:val="006E2B94"/>
    <w:rsid w:val="006F4C50"/>
    <w:rsid w:val="006F5480"/>
    <w:rsid w:val="00705807"/>
    <w:rsid w:val="00705F4C"/>
    <w:rsid w:val="0071300F"/>
    <w:rsid w:val="00714F93"/>
    <w:rsid w:val="00737935"/>
    <w:rsid w:val="00741162"/>
    <w:rsid w:val="00757BDA"/>
    <w:rsid w:val="00761DC8"/>
    <w:rsid w:val="00763804"/>
    <w:rsid w:val="007717F1"/>
    <w:rsid w:val="00775FF8"/>
    <w:rsid w:val="00796DFD"/>
    <w:rsid w:val="007A2147"/>
    <w:rsid w:val="007C6A1B"/>
    <w:rsid w:val="007D5D44"/>
    <w:rsid w:val="007D6917"/>
    <w:rsid w:val="007E5570"/>
    <w:rsid w:val="007E6345"/>
    <w:rsid w:val="007E73D4"/>
    <w:rsid w:val="007F060D"/>
    <w:rsid w:val="007F1DDD"/>
    <w:rsid w:val="007F2CA1"/>
    <w:rsid w:val="0080231C"/>
    <w:rsid w:val="00803932"/>
    <w:rsid w:val="00804B90"/>
    <w:rsid w:val="00805955"/>
    <w:rsid w:val="00810DDD"/>
    <w:rsid w:val="00817AC0"/>
    <w:rsid w:val="008260B0"/>
    <w:rsid w:val="00832CB4"/>
    <w:rsid w:val="00840694"/>
    <w:rsid w:val="008512EA"/>
    <w:rsid w:val="008524E6"/>
    <w:rsid w:val="00861493"/>
    <w:rsid w:val="008667B3"/>
    <w:rsid w:val="00870906"/>
    <w:rsid w:val="0087754B"/>
    <w:rsid w:val="008822F3"/>
    <w:rsid w:val="008846B9"/>
    <w:rsid w:val="008A5414"/>
    <w:rsid w:val="008B1007"/>
    <w:rsid w:val="008B3987"/>
    <w:rsid w:val="008C3DAC"/>
    <w:rsid w:val="008C4840"/>
    <w:rsid w:val="008D718A"/>
    <w:rsid w:val="008E6BC2"/>
    <w:rsid w:val="008F06A8"/>
    <w:rsid w:val="008F7120"/>
    <w:rsid w:val="00904043"/>
    <w:rsid w:val="0090462F"/>
    <w:rsid w:val="009070EC"/>
    <w:rsid w:val="009154AA"/>
    <w:rsid w:val="00916AF9"/>
    <w:rsid w:val="009210AD"/>
    <w:rsid w:val="00942F3F"/>
    <w:rsid w:val="0094374E"/>
    <w:rsid w:val="00947C54"/>
    <w:rsid w:val="00960F7F"/>
    <w:rsid w:val="00976FAF"/>
    <w:rsid w:val="00983366"/>
    <w:rsid w:val="009856F4"/>
    <w:rsid w:val="009A31B4"/>
    <w:rsid w:val="009A695E"/>
    <w:rsid w:val="009B024B"/>
    <w:rsid w:val="009B436F"/>
    <w:rsid w:val="009B6E55"/>
    <w:rsid w:val="009D7D0D"/>
    <w:rsid w:val="009E20E6"/>
    <w:rsid w:val="009E72E8"/>
    <w:rsid w:val="009F454B"/>
    <w:rsid w:val="009F7425"/>
    <w:rsid w:val="00A05E4C"/>
    <w:rsid w:val="00A07003"/>
    <w:rsid w:val="00A12C47"/>
    <w:rsid w:val="00A27EF4"/>
    <w:rsid w:val="00A32B04"/>
    <w:rsid w:val="00A33FEE"/>
    <w:rsid w:val="00A57DB7"/>
    <w:rsid w:val="00A602B9"/>
    <w:rsid w:val="00A657C5"/>
    <w:rsid w:val="00A85339"/>
    <w:rsid w:val="00A90A7D"/>
    <w:rsid w:val="00AA6035"/>
    <w:rsid w:val="00AA6E57"/>
    <w:rsid w:val="00AC314A"/>
    <w:rsid w:val="00AC6E35"/>
    <w:rsid w:val="00AD0465"/>
    <w:rsid w:val="00AD1056"/>
    <w:rsid w:val="00AD7D64"/>
    <w:rsid w:val="00AF28A1"/>
    <w:rsid w:val="00AF32B9"/>
    <w:rsid w:val="00AF7411"/>
    <w:rsid w:val="00B02ABF"/>
    <w:rsid w:val="00B22B37"/>
    <w:rsid w:val="00B2336A"/>
    <w:rsid w:val="00B4180F"/>
    <w:rsid w:val="00B42DD3"/>
    <w:rsid w:val="00B43F20"/>
    <w:rsid w:val="00B4464C"/>
    <w:rsid w:val="00B54E04"/>
    <w:rsid w:val="00B55489"/>
    <w:rsid w:val="00B56FD3"/>
    <w:rsid w:val="00B6523B"/>
    <w:rsid w:val="00B6711A"/>
    <w:rsid w:val="00B70A78"/>
    <w:rsid w:val="00B86930"/>
    <w:rsid w:val="00B873EC"/>
    <w:rsid w:val="00B94AD2"/>
    <w:rsid w:val="00BA69DC"/>
    <w:rsid w:val="00BC3FB2"/>
    <w:rsid w:val="00BD2153"/>
    <w:rsid w:val="00BD4193"/>
    <w:rsid w:val="00C048CD"/>
    <w:rsid w:val="00C0581E"/>
    <w:rsid w:val="00C1554F"/>
    <w:rsid w:val="00C1616C"/>
    <w:rsid w:val="00C17CCB"/>
    <w:rsid w:val="00C2626A"/>
    <w:rsid w:val="00C267F1"/>
    <w:rsid w:val="00C41184"/>
    <w:rsid w:val="00C42701"/>
    <w:rsid w:val="00C53CF4"/>
    <w:rsid w:val="00C55041"/>
    <w:rsid w:val="00C76861"/>
    <w:rsid w:val="00C866F3"/>
    <w:rsid w:val="00C87982"/>
    <w:rsid w:val="00C95A27"/>
    <w:rsid w:val="00C971D3"/>
    <w:rsid w:val="00CA546A"/>
    <w:rsid w:val="00CB23F9"/>
    <w:rsid w:val="00CB3D40"/>
    <w:rsid w:val="00CC3EC9"/>
    <w:rsid w:val="00CF4E4E"/>
    <w:rsid w:val="00CF6FA5"/>
    <w:rsid w:val="00D056E4"/>
    <w:rsid w:val="00D1125F"/>
    <w:rsid w:val="00D15E8F"/>
    <w:rsid w:val="00D23CFD"/>
    <w:rsid w:val="00D31843"/>
    <w:rsid w:val="00D34558"/>
    <w:rsid w:val="00D52B69"/>
    <w:rsid w:val="00D57B18"/>
    <w:rsid w:val="00D60F7B"/>
    <w:rsid w:val="00D74D59"/>
    <w:rsid w:val="00D76C3F"/>
    <w:rsid w:val="00D82D82"/>
    <w:rsid w:val="00D82E17"/>
    <w:rsid w:val="00D83E06"/>
    <w:rsid w:val="00D94253"/>
    <w:rsid w:val="00DB3A37"/>
    <w:rsid w:val="00DB6631"/>
    <w:rsid w:val="00DC2FC9"/>
    <w:rsid w:val="00DD02D6"/>
    <w:rsid w:val="00DD20AA"/>
    <w:rsid w:val="00DD7863"/>
    <w:rsid w:val="00DE4FA3"/>
    <w:rsid w:val="00DF059B"/>
    <w:rsid w:val="00DF0A86"/>
    <w:rsid w:val="00DF1B60"/>
    <w:rsid w:val="00E05ACF"/>
    <w:rsid w:val="00E07116"/>
    <w:rsid w:val="00E13802"/>
    <w:rsid w:val="00E1436C"/>
    <w:rsid w:val="00E22B97"/>
    <w:rsid w:val="00E30F43"/>
    <w:rsid w:val="00E52833"/>
    <w:rsid w:val="00E72D07"/>
    <w:rsid w:val="00E73F61"/>
    <w:rsid w:val="00EA15F8"/>
    <w:rsid w:val="00EB0045"/>
    <w:rsid w:val="00EB2F78"/>
    <w:rsid w:val="00EC0084"/>
    <w:rsid w:val="00EC1D89"/>
    <w:rsid w:val="00ED2669"/>
    <w:rsid w:val="00ED4388"/>
    <w:rsid w:val="00EE2E03"/>
    <w:rsid w:val="00EF27AB"/>
    <w:rsid w:val="00EF38B6"/>
    <w:rsid w:val="00EF3E4F"/>
    <w:rsid w:val="00EF6698"/>
    <w:rsid w:val="00F105BC"/>
    <w:rsid w:val="00F10F12"/>
    <w:rsid w:val="00F20591"/>
    <w:rsid w:val="00F211EE"/>
    <w:rsid w:val="00F261AC"/>
    <w:rsid w:val="00F54F0D"/>
    <w:rsid w:val="00F56431"/>
    <w:rsid w:val="00F61E33"/>
    <w:rsid w:val="00F73064"/>
    <w:rsid w:val="00F73AB1"/>
    <w:rsid w:val="00F749D2"/>
    <w:rsid w:val="00F801FB"/>
    <w:rsid w:val="00F837B8"/>
    <w:rsid w:val="00F8617F"/>
    <w:rsid w:val="00F9140C"/>
    <w:rsid w:val="00FA074A"/>
    <w:rsid w:val="00FC3FA3"/>
    <w:rsid w:val="00FC50B2"/>
    <w:rsid w:val="00FC6B32"/>
    <w:rsid w:val="00FD7D0A"/>
    <w:rsid w:val="00FE35FF"/>
    <w:rsid w:val="00FE3781"/>
    <w:rsid w:val="00FF1854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A28AE4"/>
  <w15:docId w15:val="{218596FF-6A6B-4274-9D51-7E916AA8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D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DFD"/>
  </w:style>
  <w:style w:type="paragraph" w:styleId="a5">
    <w:name w:val="footer"/>
    <w:basedOn w:val="a"/>
    <w:link w:val="a6"/>
    <w:uiPriority w:val="99"/>
    <w:unhideWhenUsed/>
    <w:rsid w:val="00796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DFD"/>
  </w:style>
  <w:style w:type="character" w:styleId="a7">
    <w:name w:val="Hyperlink"/>
    <w:basedOn w:val="a0"/>
    <w:uiPriority w:val="99"/>
    <w:unhideWhenUsed/>
    <w:rsid w:val="000B615C"/>
    <w:rPr>
      <w:color w:val="0563C1" w:themeColor="hyperlink"/>
      <w:u w:val="single"/>
    </w:rPr>
  </w:style>
  <w:style w:type="paragraph" w:styleId="a8">
    <w:name w:val="Bibliography"/>
    <w:basedOn w:val="a"/>
    <w:next w:val="a"/>
    <w:uiPriority w:val="37"/>
    <w:unhideWhenUsed/>
    <w:rsid w:val="00161CCC"/>
  </w:style>
  <w:style w:type="paragraph" w:styleId="a9">
    <w:name w:val="List Paragraph"/>
    <w:basedOn w:val="a"/>
    <w:uiPriority w:val="34"/>
    <w:qFormat/>
    <w:rsid w:val="00141C4D"/>
    <w:pPr>
      <w:ind w:leftChars="400" w:left="840"/>
    </w:pPr>
  </w:style>
  <w:style w:type="table" w:styleId="aa">
    <w:name w:val="Table Grid"/>
    <w:basedOn w:val="a1"/>
    <w:uiPriority w:val="39"/>
    <w:rsid w:val="00484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29156C"/>
  </w:style>
  <w:style w:type="paragraph" w:styleId="ac">
    <w:name w:val="Balloon Text"/>
    <w:basedOn w:val="a"/>
    <w:link w:val="ad"/>
    <w:uiPriority w:val="99"/>
    <w:semiHidden/>
    <w:unhideWhenUsed/>
    <w:rsid w:val="00AF2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28A1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A603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A6035"/>
    <w:rPr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semiHidden/>
    <w:rsid w:val="00AA603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A603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A6035"/>
    <w:rPr>
      <w:b/>
      <w:bCs/>
      <w:sz w:val="20"/>
      <w:szCs w:val="20"/>
    </w:rPr>
  </w:style>
  <w:style w:type="character" w:customStyle="1" w:styleId="1">
    <w:name w:val="未解決のメンション1"/>
    <w:basedOn w:val="a0"/>
    <w:uiPriority w:val="99"/>
    <w:semiHidden/>
    <w:unhideWhenUsed/>
    <w:rsid w:val="00446999"/>
    <w:rPr>
      <w:color w:val="605E5C"/>
      <w:shd w:val="clear" w:color="auto" w:fill="E1DFDD"/>
    </w:rPr>
  </w:style>
  <w:style w:type="paragraph" w:customStyle="1" w:styleId="MDPI71References">
    <w:name w:val="MDPI_7.1_References"/>
    <w:qFormat/>
    <w:rsid w:val="005E7839"/>
    <w:pPr>
      <w:adjustRightInd w:val="0"/>
      <w:snapToGrid w:val="0"/>
      <w:spacing w:line="228" w:lineRule="auto"/>
      <w:ind w:left="425" w:hanging="425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Pru81</b:Tag>
    <b:SourceType>Report</b:SourceType>
    <b:Guid>{576C0923-E4BA-422D-93D9-28F53B935A2E}</b:Guid>
    <b:Title>Factors associated with falls in the elderly: a community study.</b:Title>
    <b:Year>1981</b:Year>
    <b:Publisher>Age Ageing.</b:Publisher>
    <b:Author>
      <b:Author>
        <b:NameList>
          <b:Person>
            <b:Last>Prudham</b:Last>
            <b:First>D</b:First>
          </b:Person>
          <b:Person>
            <b:Last>Evans</b:Last>
            <b:First>JG</b:First>
          </b:Person>
        </b:NameList>
      </b:Author>
    </b:Author>
    <b:LCID>en-US</b:LCID>
    <b:Pages>10(3):141-6.</b:Pages>
    <b:RefOrder>1</b:RefOrder>
  </b:Source>
  <b:Source>
    <b:Tag>Bla88</b:Tag>
    <b:SourceType>Report</b:SourceType>
    <b:Guid>{CF6874DA-0862-41D9-9F7F-5A9058C9DA4A}</b:Guid>
    <b:LCID>en-US</b:LCID>
    <b:Author>
      <b:Author>
        <b:NameList>
          <b:Person>
            <b:Last>Blake</b:Last>
            <b:First>AJ</b:First>
          </b:Person>
          <b:Person>
            <b:Last>Morgan</b:Last>
            <b:First>K</b:First>
          </b:Person>
          <b:Person>
            <b:Last>Bendall</b:Last>
            <b:First>MJ</b:First>
          </b:Person>
          <b:Person>
            <b:Last>Dallosso</b:Last>
            <b:First>H</b:First>
          </b:Person>
          <b:Person>
            <b:Last>Ebrahim</b:Last>
            <b:First>SB</b:First>
          </b:Person>
          <b:Person>
            <b:Last>Arie</b:Last>
            <b:First>TH</b:First>
          </b:Person>
          <b:Person>
            <b:Last>Fentem</b:Last>
            <b:First>PH</b:First>
          </b:Person>
          <b:Person>
            <b:Last>Bassey</b:Last>
            <b:First>EJ</b:First>
          </b:Person>
        </b:NameList>
      </b:Author>
    </b:Author>
    <b:Title>Falls by elderly people at home: prevalence and associated factors.</b:Title>
    <b:Year>1988</b:Year>
    <b:Publisher>Age Ageing.</b:Publisher>
    <b:Pages>17(6):365-72.</b:Pages>
    <b:RefOrder>2</b:RefOrder>
  </b:Source>
  <b:Source>
    <b:Tag>Cam12</b:Tag>
    <b:SourceType>Report</b:SourceType>
    <b:Guid>{5FCBA910-1572-4AC6-84F1-6A4BAFD0341B}</b:Guid>
    <b:Title>Interventions for preventing falls in older people in care facilities and hospitals.</b:Title>
    <b:Year>2012</b:Year>
    <b:Publisher>Cochrane Database of Syst Rev</b:Publisher>
    <b:Department>Cameron ID, Gillespie LD, Robertson MC, Murray GR, Hill KD, Cumming RG, Kerse N.</b:Department>
    <b:Pages>Issue 12. CD005465.</b:Pages>
    <b:Author>
      <b:Author>
        <b:NameList>
          <b:Person>
            <b:Last>Cameron</b:Last>
            <b:First>ID</b:First>
          </b:Person>
          <b:Person>
            <b:Last>Gillespie</b:Last>
            <b:First>LD</b:First>
          </b:Person>
          <b:Person>
            <b:Last>Robertson</b:Last>
            <b:First>MC</b:First>
          </b:Person>
          <b:Person>
            <b:Last>Murray</b:Last>
            <b:First>GR</b:First>
          </b:Person>
          <b:Person>
            <b:Last>Hill</b:Last>
            <b:First>KD</b:First>
          </b:Person>
          <b:Person>
            <b:Last>Cumming</b:Last>
            <b:First>RG</b:First>
          </b:Person>
          <b:Person>
            <b:Last>Kerse</b:Last>
            <b:First>N</b:First>
          </b:Person>
        </b:NameList>
      </b:Author>
    </b:Author>
    <b:LCID>en-US</b:LCID>
    <b:RefOrder>6</b:RefOrder>
  </b:Source>
  <b:Source>
    <b:Tag>Gil12</b:Tag>
    <b:SourceType>Report</b:SourceType>
    <b:Guid>{9886C447-7825-4223-AB58-AA0DFFD24611}</b:Guid>
    <b:Title>Interventions for preventing falls in older people living in the community.</b:Title>
    <b:Year>2012</b:Year>
    <b:Publisher>Cochrane Database Syst Rev</b:Publisher>
    <b:Pages>9:CD007146.</b:Pages>
    <b:Author>
      <b:Author>
        <b:NameList>
          <b:Person>
            <b:Last>Gillespie</b:Last>
            <b:First>LD</b:First>
          </b:Person>
          <b:Person>
            <b:Last>Robertson</b:Last>
            <b:First>MC</b:First>
          </b:Person>
          <b:Person>
            <b:Last>Gillespie</b:Last>
            <b:First>WJ</b:First>
          </b:Person>
          <b:Person>
            <b:Last>Sherrington</b:Last>
            <b:First>C</b:First>
          </b:Person>
          <b:Person>
            <b:Last>Gates</b:Last>
            <b:First>S</b:First>
          </b:Person>
          <b:Person>
            <b:Last>Clemson</b:Last>
            <b:First>LM</b:First>
          </b:Person>
          <b:Person>
            <b:Last>Lamb</b:Last>
            <b:First>SE</b:First>
          </b:Person>
        </b:NameList>
      </b:Author>
    </b:Author>
    <b:LCID>en-US</b:LCID>
    <b:RefOrder>5</b:RefOrder>
  </b:Source>
  <b:Source>
    <b:Tag>She08</b:Tag>
    <b:SourceType>Report</b:SourceType>
    <b:Guid>{F8265B9E-E22F-44FF-8EA8-32BF13912269}</b:Guid>
    <b:Title>Effective exercise for the prevention of falls: a systematic review and meta-analysis.</b:Title>
    <b:Year>2008</b:Year>
    <b:Publisher>J Am Geriatr Soc.</b:Publisher>
    <b:Pages>56(12):2234-43.</b:Pages>
    <b:Author>
      <b:Author>
        <b:NameList>
          <b:Person>
            <b:Last>Sherrington</b:Last>
            <b:First>C</b:First>
          </b:Person>
          <b:Person>
            <b:Last>Whitney</b:Last>
            <b:First>JC</b:First>
          </b:Person>
          <b:Person>
            <b:Last>Lord</b:Last>
            <b:First>SR</b:First>
          </b:Person>
          <b:Person>
            <b:Last>Herbert</b:Last>
            <b:First>RD</b:First>
          </b:Person>
          <b:Person>
            <b:Last>Cumming</b:Last>
            <b:First>RG</b:First>
          </b:Person>
          <b:Person>
            <b:Last>Close</b:Last>
            <b:First>JC</b:First>
          </b:Person>
        </b:NameList>
      </b:Author>
    </b:Author>
    <b:LCID>en-US</b:LCID>
    <b:RefOrder>4</b:RefOrder>
  </b:Source>
  <b:Source>
    <b:Tag>Yar06</b:Tag>
    <b:SourceType>Report</b:SourceType>
    <b:Guid>{0EC58ECD-1E28-470B-8238-517A612039CC}</b:Guid>
    <b:Title>Older people's views of falls-prevention interventions in six European countries.</b:Title>
    <b:Year>2006</b:Year>
    <b:Publisher>Gerontologist.</b:Publisher>
    <b:Pages>46(5):650-60.</b:Pages>
    <b:Author>
      <b:Author>
        <b:NameList>
          <b:Person>
            <b:Last>Yardley</b:Last>
            <b:First>L</b:First>
          </b:Person>
          <b:Person>
            <b:Last>Bishop</b:Last>
            <b:First>FL</b:First>
          </b:Person>
          <b:Person>
            <b:Last>Beyer</b:Last>
            <b:First>N</b:First>
          </b:Person>
          <b:Person>
            <b:Last>Hauer</b:Last>
            <b:First>K</b:First>
          </b:Person>
          <b:Person>
            <b:Last>Kempen</b:Last>
            <b:First>GI</b:First>
          </b:Person>
          <b:Person>
            <b:Last>Piot-Ziegler</b:Last>
            <b:First>C</b:First>
          </b:Person>
          <b:Person>
            <b:Last>Todd</b:Last>
            <b:First>CJ</b:First>
          </b:Person>
          <b:Person>
            <b:Last>Cuttelod</b:Last>
            <b:First>T</b:First>
          </b:Person>
          <b:Person>
            <b:Last>Horne</b:Last>
            <b:First>M</b:First>
          </b:Person>
          <b:Person>
            <b:Last>Lanta</b:Last>
            <b:First>K</b:First>
          </b:Person>
          <b:Person>
            <b:Last>Holt</b:Last>
            <b:First>AR</b:First>
          </b:Person>
        </b:NameList>
      </b:Author>
    </b:Author>
    <b:LCID>en-US</b:LCID>
    <b:RefOrder>3</b:RefOrder>
  </b:Source>
  <b:Source>
    <b:Tag>Tan14</b:Tag>
    <b:SourceType>Report</b:SourceType>
    <b:Guid>{0F46C0EB-6D75-4751-976F-1D64FDB5CC15}</b:Guid>
    <b:Title>Sarcopenia and falls in community-dwelling elderly subjects in Japan: Defining sarcopenia according to criteria of the European Working Group on Sarcopenia in Older People.</b:Title>
    <b:Year>2014</b:Year>
    <b:Publisher>Arch Gerontol Geriatr.</b:Publisher>
    <b:Author>
      <b:Author>
        <b:NameList>
          <b:Person>
            <b:Last>Tanimoto</b:Last>
            <b:First>Y</b:First>
          </b:Person>
          <b:Person>
            <b:Last>Watanabe</b:Last>
            <b:First>M</b:First>
          </b:Person>
          <b:Person>
            <b:Last>Sun</b:Last>
            <b:First>W</b:First>
          </b:Person>
          <b:Person>
            <b:Last>Sugiura</b:Last>
            <b:First>Y</b:First>
          </b:Person>
          <b:Person>
            <b:Last>Hayashida</b:Last>
            <b:First>I</b:First>
          </b:Person>
          <b:Person>
            <b:Last>Kusabiraki</b:Last>
            <b:First>T</b:First>
          </b:Person>
          <b:Person>
            <b:Last>Tamaki</b:Last>
            <b:First>J</b:First>
          </b:Person>
        </b:NameList>
      </b:Author>
    </b:Author>
    <b:Pages>59(2):295-9.</b:Pages>
    <b:LCID>en-US</b:LCID>
    <b:RefOrder>7</b:RefOrder>
  </b:Source>
  <b:Source>
    <b:Tag>Chu05</b:Tag>
    <b:SourceType>Report</b:SourceType>
    <b:Guid>{3758B8F5-8AF5-4CB8-BAC2-AA25B3C3E7A0}</b:Guid>
    <b:Title>Incidence and predictors of falls in the chinese elderly.</b:Title>
    <b:Year>2005</b:Year>
    <b:Publisher>Ann Acad Med Singapore.</b:Publisher>
    <b:Author>
      <b:Author>
        <b:NameList>
          <b:Person>
            <b:Last>Chu</b:Last>
            <b:First>LW</b:First>
          </b:Person>
          <b:Person>
            <b:Last>Chi</b:Last>
            <b:First>I</b:First>
          </b:Person>
          <b:Person>
            <b:Last>Chiu</b:Last>
            <b:First>AY</b:First>
          </b:Person>
        </b:NameList>
      </b:Author>
    </b:Author>
    <b:LCID>en-US</b:LCID>
    <b:Pages>34(1):60-72.</b:Pages>
    <b:RefOrder>8</b:RefOrder>
  </b:Source>
  <b:Source>
    <b:Tag>Tin10</b:Tag>
    <b:SourceType>Report</b:SourceType>
    <b:Guid>{82F94B8F-5178-4CF7-9424-B4EABE675F6A}</b:Guid>
    <b:Title>The Patient who falls: “It’s always a trade-off.”</b:Title>
    <b:Year>2010</b:Year>
    <b:Publisher>JAMA</b:Publisher>
    <b:Author>
      <b:Author>
        <b:NameList>
          <b:Person>
            <b:Last>Tinetti</b:Last>
            <b:First>ME</b:First>
          </b:Person>
          <b:Person>
            <b:Last>Kumar</b:Last>
            <b:First>C</b:First>
          </b:Person>
        </b:NameList>
      </b:Author>
    </b:Author>
    <b:LCID>en-US</b:LCID>
    <b:Pages>303:258-266.</b:Pages>
    <b:RefOrder>9</b:RefOrder>
  </b:Source>
  <b:Source>
    <b:Tag>Kal07</b:Tag>
    <b:SourceType>DocumentFromInternetSite</b:SourceType>
    <b:Guid>{0A6F3AC1-6F87-4CD5-B1D1-85408FF72E94}</b:Guid>
    <b:Year>2007</b:Year>
    <b:Author>
      <b:Author>
        <b:NameList>
          <b:Person>
            <b:Last>Kalache</b:Last>
            <b:First>A</b:First>
          </b:Person>
          <b:Person>
            <b:Last>Fu</b:Last>
            <b:First>D</b:First>
          </b:Person>
          <b:Person>
            <b:Last>Yoshida</b:Last>
            <b:First>S</b:First>
          </b:Person>
          <b:Person>
            <b:Last>Al-Faisal</b:Last>
            <b:First>W</b:First>
          </b:Person>
          <b:Person>
            <b:Last>Beattie</b:Last>
            <b:First>L</b:First>
          </b:Person>
          <b:Person>
            <b:Last>Chodzko-Zajko</b:Last>
            <b:First>W</b:First>
          </b:Person>
          <b:Person>
            <b:Last>Fu</b:Last>
            <b:First>H</b:First>
          </b:Person>
          <b:Person>
            <b:Last>James</b:Last>
            <b:First>K</b:First>
          </b:Person>
          <b:Person>
            <b:Last>Kalula</b:Last>
            <b:First>S</b:First>
          </b:Person>
          <b:Person>
            <b:Last>Krishnaswamy</b:Last>
            <b:First>B</b:First>
          </b:Person>
          <b:Person>
            <b:Last>Kronfol</b:Last>
            <b:First>N</b:First>
          </b:Person>
          <b:Person>
            <b:Last>Marin</b:Last>
            <b:First>P</b:First>
          </b:Person>
          <b:Person>
            <b:Last>Pike</b:Last>
            <b:First>I</b:First>
          </b:Person>
          <b:Person>
            <b:Last>Rose</b:Last>
            <b:First>D</b:First>
          </b:Person>
          <b:Person>
            <b:Last>Scott</b:Last>
            <b:First>V</b:First>
          </b:Person>
          <b:Person>
            <b:Last>Stevens</b:Last>
            <b:First>J</b:First>
          </b:Person>
          <b:Person>
            <b:Last>Todd</b:Last>
            <b:First>C</b:First>
          </b:Person>
          <b:Person>
            <b:Last>Usha</b:Last>
            <b:First>G</b:First>
          </b:Person>
          <b:Person>
            <b:Last>Ageing</b:Last>
            <b:First>DO (ed.)</b:First>
          </b:Person>
          <b:Person>
            <b:Last>Course</b:Last>
            <b:First>L (ed.) </b:First>
          </b:Person>
        </b:NameList>
      </b:Author>
    </b:Author>
    <b:LCID>en-US</b:LCID>
    <b:Title>World Health Organization Global Report on Falls Prevention in Older Age.</b:Title>
    <b:ProductionCompany>Geneva: WHO 2007, World Health Organization, Geneva</b:ProductionCompany>
    <b:URL>http://www.who.int/ageing/publications/Falls_prevention7March.pdf</b:URL>
    <b:RefOrder>10</b:RefOrder>
  </b:Source>
  <b:Source>
    <b:Tag>Mui12</b:Tag>
    <b:SourceType>Report</b:SourceType>
    <b:Guid>{1BBCF8BB-14CD-4657-BB44-F9F47D347E5B}</b:Guid>
    <b:Title>The role of cognitive impairment in fall risk among older adults: a systematic review and meta-analysis.</b:Title>
    <b:Year>2012</b:Year>
    <b:LCID>en-US</b:LCID>
    <b:Publisher>Age Ageing.</b:Publisher>
    <b:Author>
      <b:Author>
        <b:NameList>
          <b:Person>
            <b:Last>Muir</b:Last>
            <b:First>SW</b:First>
          </b:Person>
          <b:Person>
            <b:Last>Gopaul</b:Last>
            <b:First>K</b:First>
          </b:Person>
          <b:Person>
            <b:Last>Montero Odasso</b:Last>
            <b:First>MM</b:First>
          </b:Person>
        </b:NameList>
      </b:Author>
    </b:Author>
    <b:Pages>41(3):299-308.</b:Pages>
    <b:RefOrder>11</b:RefOrder>
  </b:Source>
  <b:Source>
    <b:Tag>Mur01</b:Tag>
    <b:SourceType>Report</b:SourceType>
    <b:Guid>{1F300AD7-DDB6-480E-8EC7-992A09A0B489}</b:Guid>
    <b:LCID>en-US</b:LCID>
    <b:Title>Evaluation of the muscular strength of the lower extremities using the standing movement and clinical application.</b:Title>
    <b:Year>2001</b:Year>
    <b:Publisher>J Showa Med Assoc.</b:Publisher>
    <b:Author>
      <b:Author>
        <b:NameList>
          <b:Person>
            <b:Last>Muranaga</b:Last>
            <b:First>S</b:First>
          </b:Person>
        </b:NameList>
      </b:Author>
    </b:Author>
    <b:Pages>61(3):362–7.</b:Pages>
    <b:RefOrder>12</b:RefOrder>
  </b:Source>
  <b:Source>
    <b:Tag>Mur03</b:Tag>
    <b:SourceType>Report</b:SourceType>
    <b:Guid>{EBD56407-29DD-4FA7-9FBE-767A47E67630}</b:Guid>
    <b:LCID>en-US</b:LCID>
    <b:Title>Development of a convenient way to predict ability to walk, using a two-step test.</b:Title>
    <b:Year>2003</b:Year>
    <b:Publisher>J Showa Med Assoc.</b:Publisher>
    <b:Author>
      <b:Author>
        <b:NameList>
          <b:Person>
            <b:Last>Muranaga</b:Last>
            <b:First>S</b:First>
          </b:Person>
          <b:Person>
            <b:Last>Hirano</b:Last>
            <b:First>K</b:First>
          </b:Person>
        </b:NameList>
      </b:Author>
    </b:Author>
    <b:Pages>63:301–8.</b:Pages>
    <b:RefOrder>13</b:RefOrder>
  </b:Source>
  <b:Source>
    <b:Tag>Oga14</b:Tag>
    <b:SourceType>Report</b:SourceType>
    <b:Guid>{75D20E2C-D20D-4136-A2AD-8515E3ACA538}</b:Guid>
    <b:LCID>en-US</b:LCID>
    <b:Title>“Population approach” for locomotive syndrome.</b:Title>
    <b:Year>2014</b:Year>
    <b:Publisher>J Jpn Orthop Assoc.</b:Publisher>
    <b:Author>
      <b:Author>
        <b:NameList>
          <b:Person>
            <b:Last>Ogata</b:Last>
            <b:First>T</b:First>
          </b:Person>
        </b:NameList>
      </b:Author>
    </b:Author>
    <b:Pages>88:739-42.</b:Pages>
    <b:RefOrder>14</b:RefOrder>
  </b:Source>
  <b:Source>
    <b:Tag>Nas05</b:Tag>
    <b:SourceType>Report</b:SourceType>
    <b:Guid>{36876499-4B80-4E9B-8F48-2B762943BD7B}</b:Guid>
    <b:Title>The Montreal Cognitive Assessment, MoCA: a brief screening tool for mild cognitive impairment.</b:Title>
    <b:Year>2005</b:Year>
    <b:Publisher>J Am Geriatr Soc.</b:Publisher>
    <b:Author>
      <b:Author>
        <b:NameList>
          <b:Person>
            <b:Last>Nasreddine</b:Last>
            <b:First>ZS</b:First>
          </b:Person>
          <b:Person>
            <b:Last>Phillips</b:Last>
            <b:First>NA</b:First>
          </b:Person>
          <b:Person>
            <b:Last>Bédirian</b:Last>
            <b:First>V</b:First>
          </b:Person>
          <b:Person>
            <b:Last>Charbonneau</b:Last>
            <b:First>S</b:First>
          </b:Person>
          <b:Person>
            <b:Last>Whitehead</b:Last>
            <b:First>V</b:First>
          </b:Person>
          <b:Person>
            <b:Last>Collin</b:Last>
            <b:First>I</b:First>
          </b:Person>
          <b:Person>
            <b:Last>Cummings</b:Last>
            <b:First>JL</b:First>
          </b:Person>
          <b:Person>
            <b:Last>Chertkow</b:Last>
            <b:First>H</b:First>
          </b:Person>
        </b:NameList>
      </b:Author>
    </b:Author>
    <b:Pages>53(4):695-9.</b:Pages>
    <b:LCID>en-US</b:LCID>
    <b:RefOrder>15</b:RefOrder>
  </b:Source>
  <b:Source>
    <b:Tag>Che14</b:Tag>
    <b:SourceType>Report</b:SourceType>
    <b:Guid>{520545DC-8EAB-4F75-B2AC-D9D289B83F1A}</b:Guid>
    <b:LCID>en-US</b:LCID>
    <b:Author>
      <b:Author>
        <b:NameList>
          <b:Person>
            <b:Last>Chen</b:Last>
            <b:First>LK</b:First>
          </b:Person>
          <b:Person>
            <b:Last>Liu</b:Last>
            <b:First>LK</b:First>
          </b:Person>
          <b:Person>
            <b:Last>Woo</b:Last>
            <b:First>J</b:First>
          </b:Person>
          <b:Person>
            <b:Last> Assantachai</b:Last>
            <b:First>P</b:First>
          </b:Person>
          <b:Person>
            <b:Last>Auyeung</b:Last>
            <b:First>TW</b:First>
          </b:Person>
          <b:Person>
            <b:Last>Bahyah</b:Last>
            <b:First>KS</b:First>
          </b:Person>
          <b:Person>
            <b:Last>Chou</b:Last>
            <b:First>MY</b:First>
          </b:Person>
          <b:Person>
            <b:Last>Chen</b:Last>
            <b:First>LY</b:First>
          </b:Person>
          <b:Person>
            <b:Last>Hsu</b:Last>
            <b:First>PS</b:First>
          </b:Person>
          <b:Person>
            <b:Last>Krairit</b:Last>
            <b:First>O</b:First>
          </b:Person>
          <b:Person>
            <b:Last>Lee</b:Last>
            <b:First>JS</b:First>
          </b:Person>
          <b:Person>
            <b:Last>Lee</b:Last>
            <b:First>WJ</b:First>
          </b:Person>
          <b:Person>
            <b:Last>Lee</b:Last>
            <b:First>Y</b:First>
          </b:Person>
          <b:Person>
            <b:Last>Liang</b:Last>
            <b:First>CK</b:First>
          </b:Person>
          <b:Person>
            <b:Last>Limpawattana</b:Last>
            <b:First>P</b:First>
          </b:Person>
          <b:Person>
            <b:Last>Lin</b:Last>
            <b:First>CS</b:First>
          </b:Person>
          <b:Person>
            <b:Last>Peng</b:Last>
            <b:First>LN</b:First>
          </b:Person>
          <b:Person>
            <b:Last>Satake</b:Last>
            <b:First>S</b:First>
          </b:Person>
          <b:Person>
            <b:Last>Suzuki</b:Last>
            <b:First>T</b:First>
          </b:Person>
          <b:Person>
            <b:Last>Won</b:Last>
            <b:First>CW</b:First>
          </b:Person>
          <b:Person>
            <b:Last>Wu</b:Last>
            <b:First>CH</b:First>
          </b:Person>
          <b:Person>
            <b:Last>Wu</b:Last>
            <b:First>SN</b:First>
          </b:Person>
          <b:Person>
            <b:Last>Zhang</b:Last>
            <b:First>T</b:First>
          </b:Person>
          <b:Person>
            <b:Last>Zeng</b:Last>
            <b:First>P</b:First>
          </b:Person>
          <b:Person>
            <b:Last>Akishita</b:Last>
            <b:First>M</b:First>
          </b:Person>
          <b:Person>
            <b:Last>Arai</b:Last>
            <b:First>H</b:First>
          </b:Person>
        </b:NameList>
      </b:Author>
    </b:Author>
    <b:Title>Sarcopenia in Asia: consensus report of the Asian Working Group for Sarcopenia.</b:Title>
    <b:Year>2014</b:Year>
    <b:Publisher>J Am Med Dir Assoc.</b:Publisher>
    <b:Pages>15(2):95-101.</b:Pages>
    <b:RefOrder>19</b:RefOrder>
  </b:Source>
  <b:Source>
    <b:Tag>Fri01</b:Tag>
    <b:SourceType>Report</b:SourceType>
    <b:Guid>{155EDC95-C1B8-441D-9509-C99FC70DE395}</b:Guid>
    <b:Author>
      <b:Author>
        <b:NameList>
          <b:Person>
            <b:Last>Fried</b:Last>
            <b:First>LP</b:First>
          </b:Person>
          <b:Person>
            <b:Last>Tangen</b:Last>
            <b:First>CM</b:First>
          </b:Person>
          <b:Person>
            <b:Last>Walston</b:Last>
            <b:First>J</b:First>
          </b:Person>
          <b:Person>
            <b:Last>Newman</b:Last>
            <b:First>AB</b:First>
          </b:Person>
          <b:Person>
            <b:Last>Hirsch</b:Last>
            <b:First>C</b:First>
          </b:Person>
          <b:Person>
            <b:Last>Gottdiener</b:Last>
            <b:First>J</b:First>
          </b:Person>
          <b:Person>
            <b:Last>Seeman</b:Last>
            <b:First>T</b:First>
          </b:Person>
          <b:Person>
            <b:Last>Tracy</b:Last>
            <b:First>R</b:First>
          </b:Person>
          <b:Person>
            <b:Last>Kop</b:Last>
            <b:First>WJ</b:First>
          </b:Person>
          <b:Person>
            <b:Last>Burke</b:Last>
            <b:First>G</b:First>
          </b:Person>
          <b:Person>
            <b:Last>McBurnie</b:Last>
            <b:First>MA</b:First>
          </b:Person>
        </b:NameList>
      </b:Author>
    </b:Author>
    <b:Title>Frailty in older adults: evidence for a phenotype.</b:Title>
    <b:Year>2001</b:Year>
    <b:Publisher>J Gerontol A Biol Sci Med Sci.</b:Publisher>
    <b:LCID>en-US</b:LCID>
    <b:Pages>56(3):M146-56.</b:Pages>
    <b:RefOrder>20</b:RefOrder>
  </b:Source>
  <b:Source>
    <b:Tag>Ike15</b:Tag>
    <b:SourceType>Report</b:SourceType>
    <b:Guid>{DB188BBE-0E92-485A-B060-894751EA858D}</b:Guid>
    <b:Author>
      <b:Author>
        <b:NameList>
          <b:Person>
            <b:Last>Ikegami</b:Last>
            <b:First>S</b:First>
          </b:Person>
          <b:Person>
            <b:Last>Uchiyama</b:Last>
            <b:First>S</b:First>
          </b:Person>
          <b:Person>
            <b:Last>Nakamura</b:Last>
            <b:First>Y</b:First>
          </b:Person>
          <b:Person>
            <b:Last>Mukaiyama</b:Last>
            <b:First>K</b:First>
          </b:Person>
          <b:Person>
            <b:Last>Hirabayashi</b:Last>
            <b:First>H</b:First>
          </b:Person>
          <b:Person>
            <b:Last>Kamimura</b:Last>
            <b:First>M</b:First>
          </b:Person>
          <b:Person>
            <b:Last>Nonaka</b:Last>
            <b:First>K</b:First>
          </b:Person>
          <b:Person>
            <b:Last>Kato</b:Last>
            <b:First>H</b:First>
          </b:Person>
        </b:NameList>
      </b:Author>
    </b:Author>
    <b:Title>Factors that characterize bone health with aging in healthy postmenopausal women.</b:Title>
    <b:Year>2015</b:Year>
    <b:Publisher>J Bone Miner Metab.</b:Publisher>
    <b:LCID>en-US</b:LCID>
    <b:Pages>33(4):440-7.</b:Pages>
    <b:RefOrder>16</b:RefOrder>
  </b:Source>
  <b:Source>
    <b:Tag>LiY18</b:Tag>
    <b:SourceType>Report</b:SourceType>
    <b:Guid>{52287C8B-6AA8-46D8-955C-1FEFBEB5AB77}</b:Guid>
    <b:Title>Low Grip Strength is a Strong Risk Factor of Osteoporosis in Postmenopausal Women.</b:Title>
    <b:Year>2018</b:Year>
    <b:Publisher>Orthop Surg.</b:Publisher>
    <b:Author>
      <b:Author>
        <b:NameList>
          <b:Person>
            <b:Last>Li</b:Last>
            <b:First>YZ</b:First>
          </b:Person>
          <b:Person>
            <b:Last>Zhuang</b:Last>
            <b:First>HF</b:First>
          </b:Person>
          <b:Person>
            <b:Last>Cai</b:Last>
            <b:First>SQ</b:First>
          </b:Person>
          <b:Person>
            <b:Last>Lin</b:Last>
            <b:First>CK</b:First>
          </b:Person>
          <b:Person>
            <b:Last>Wang</b:Last>
            <b:First>PW</b:First>
          </b:Person>
          <b:Person>
            <b:Last>Yan</b:Last>
            <b:First>LS</b:First>
          </b:Person>
          <b:Person>
            <b:Last>Lin</b:Last>
            <b:First>JK</b:First>
          </b:Person>
          <b:Person>
            <b:Last>Yu</b:Last>
            <b:First>HM</b:First>
          </b:Person>
        </b:NameList>
      </b:Author>
    </b:Author>
    <b:Pages>10(1):17-22. </b:Pages>
    <b:RefOrder>17</b:RefOrder>
  </b:Source>
  <b:Source>
    <b:Tag>Dix05</b:Tag>
    <b:SourceType>Report</b:SourceType>
    <b:Guid>{20A6B170-7028-421C-95D0-C310AFAD7E36}</b:Guid>
    <b:Title>Low grip strength is associated with bone mineral density and vertebral fracture in women.</b:Title>
    <b:Year>2005</b:Year>
    <b:Publisher>Rheumatology (Oxford).</b:Publisher>
    <b:Author>
      <b:Author>
        <b:NameList>
          <b:Person>
            <b:Last>Dixon</b:Last>
            <b:First>WG</b:First>
          </b:Person>
          <b:Person>
            <b:Last>Lunt</b:Last>
            <b:First>M</b:First>
          </b:Person>
          <b:Person>
            <b:Last>Pye</b:Last>
            <b:First>SR</b:First>
          </b:Person>
          <b:Person>
            <b:Last>Reeve</b:Last>
            <b:First>J</b:First>
          </b:Person>
          <b:Person>
            <b:Last>Felsenberg</b:Last>
            <b:First>D</b:First>
          </b:Person>
          <b:Person>
            <b:Last>Silman</b:Last>
            <b:First>AJ</b:First>
          </b:Person>
          <b:Person>
            <b:Last>O'Neill</b:Last>
            <b:First>TW</b:First>
          </b:Person>
        </b:NameList>
      </b:Author>
    </b:Author>
    <b:Pages>44(5):642-6.</b:Pages>
    <b:RefOrder>18</b:RefOrder>
  </b:Source>
</b:Sources>
</file>

<file path=customXml/itemProps1.xml><?xml version="1.0" encoding="utf-8"?>
<ds:datastoreItem xmlns:ds="http://schemas.openxmlformats.org/officeDocument/2006/customXml" ds:itemID="{D9E6BB5B-1B1D-4111-A01A-3C4C45C2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池上章太</dc:creator>
  <cp:lastModifiedBy>池上　章太</cp:lastModifiedBy>
  <cp:revision>5</cp:revision>
  <dcterms:created xsi:type="dcterms:W3CDTF">2021-08-30T11:55:00Z</dcterms:created>
  <dcterms:modified xsi:type="dcterms:W3CDTF">2021-08-31T09:54:00Z</dcterms:modified>
</cp:coreProperties>
</file>