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AC2ED" w14:textId="77777777" w:rsidR="00876CC9" w:rsidRPr="009F0C1B" w:rsidRDefault="00876CC9" w:rsidP="00876CC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0C1B">
        <w:rPr>
          <w:rFonts w:ascii="Times New Roman" w:hAnsi="Times New Roman" w:cs="Times New Roman"/>
          <w:b/>
          <w:bCs/>
          <w:sz w:val="24"/>
          <w:szCs w:val="24"/>
        </w:rPr>
        <w:t>Appendix A: ESG Score Calculation Methodology</w:t>
      </w:r>
    </w:p>
    <w:p w14:paraId="7F94B817" w14:textId="77777777" w:rsidR="00876CC9" w:rsidRPr="00C216F6" w:rsidRDefault="00876CC9" w:rsidP="00876CC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156D">
        <w:rPr>
          <w:rFonts w:ascii="Times New Roman" w:hAnsi="Times New Roman" w:cs="Times New Roman"/>
          <w:bCs/>
          <w:sz w:val="24"/>
          <w:szCs w:val="24"/>
        </w:rPr>
        <w:t>The ESG scores were generated from a weighted composite index which comprised 13 dimensions in total: Environmental (40% weight) consists of the following components—Green asset allocation (10%), Climate risk assessment sophistication (8%), Renewable energy portfolio (8%), Green bonds issued (7%), and Sustainable lending products (7%). Social (35% weight) together with ESG data governance (8%), Stakeholder engagement mechanisms (8%), Financial inclusion through green products (7%), Employee training in sustainability (6%), and Community development programs (6%) among others comprises the social dimension. Governance (25% weight) includes Board diversity (7%), Executive compensation linkage to ESG (6%), Regulatory compliance maturity (6%), and Transparency in reporting (6%). Then the scores obtained were normalized on a scale from 0 to 100, where a score of 100 represents a perfect performance in sustainability terms.</w:t>
      </w:r>
    </w:p>
    <w:p w14:paraId="07673AD4" w14:textId="77777777" w:rsidR="00876CC9" w:rsidRPr="00C216F6" w:rsidRDefault="00876CC9" w:rsidP="00876CC9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E487CDB" w14:textId="77777777" w:rsidR="00876CC9" w:rsidRPr="009F0C1B" w:rsidRDefault="00876CC9" w:rsidP="00876CC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0C1B">
        <w:rPr>
          <w:rFonts w:ascii="Times New Roman" w:hAnsi="Times New Roman" w:cs="Times New Roman"/>
          <w:b/>
          <w:bCs/>
          <w:sz w:val="24"/>
          <w:szCs w:val="24"/>
        </w:rPr>
        <w:t>Appendix B: Regression Model Specifications</w:t>
      </w:r>
    </w:p>
    <w:p w14:paraId="5DEAACFB" w14:textId="77777777" w:rsidR="00876CC9" w:rsidRPr="009F0C1B" w:rsidRDefault="00876CC9" w:rsidP="00876CC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Full Model Specification:</w:t>
      </w:r>
    </w:p>
    <w:p w14:paraId="0EFB07B5" w14:textId="77777777" w:rsidR="00876CC9" w:rsidRPr="009F0C1B" w:rsidRDefault="00876CC9" w:rsidP="00876CC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9F0C1B">
        <w:rPr>
          <w:rFonts w:ascii="Times New Roman" w:hAnsi="Times New Roman" w:cs="Times New Roman"/>
          <w:bCs/>
          <w:sz w:val="24"/>
          <w:szCs w:val="24"/>
        </w:rPr>
        <w:t>ESG_Score</w:t>
      </w:r>
      <w:proofErr w:type="spellEnd"/>
      <w:r w:rsidRPr="009F0C1B">
        <w:rPr>
          <w:rFonts w:ascii="Times New Roman" w:hAnsi="Times New Roman" w:cs="Times New Roman"/>
          <w:bCs/>
          <w:sz w:val="24"/>
          <w:szCs w:val="24"/>
        </w:rPr>
        <w:t>_{t} = β₀ + β₁(</w:t>
      </w:r>
      <w:proofErr w:type="spellStart"/>
      <w:r w:rsidRPr="009F0C1B">
        <w:rPr>
          <w:rFonts w:ascii="Times New Roman" w:hAnsi="Times New Roman" w:cs="Times New Roman"/>
          <w:bCs/>
          <w:sz w:val="24"/>
          <w:szCs w:val="24"/>
        </w:rPr>
        <w:t>FinTech_Adoption</w:t>
      </w:r>
      <w:proofErr w:type="spellEnd"/>
      <w:r w:rsidRPr="009F0C1B">
        <w:rPr>
          <w:rFonts w:ascii="Times New Roman" w:hAnsi="Times New Roman" w:cs="Times New Roman"/>
          <w:bCs/>
          <w:sz w:val="24"/>
          <w:szCs w:val="24"/>
        </w:rPr>
        <w:t>) + β₂(</w:t>
      </w:r>
      <w:proofErr w:type="spellStart"/>
      <w:r w:rsidRPr="009F0C1B">
        <w:rPr>
          <w:rFonts w:ascii="Times New Roman" w:hAnsi="Times New Roman" w:cs="Times New Roman"/>
          <w:bCs/>
          <w:sz w:val="24"/>
          <w:szCs w:val="24"/>
        </w:rPr>
        <w:t>Green_Finance_Intensity</w:t>
      </w:r>
      <w:proofErr w:type="spellEnd"/>
      <w:r w:rsidRPr="009F0C1B">
        <w:rPr>
          <w:rFonts w:ascii="Times New Roman" w:hAnsi="Times New Roman" w:cs="Times New Roman"/>
          <w:bCs/>
          <w:sz w:val="24"/>
          <w:szCs w:val="24"/>
        </w:rPr>
        <w:t>) + β₃(</w:t>
      </w:r>
      <w:proofErr w:type="spellStart"/>
      <w:r w:rsidRPr="009F0C1B">
        <w:rPr>
          <w:rFonts w:ascii="Times New Roman" w:hAnsi="Times New Roman" w:cs="Times New Roman"/>
          <w:bCs/>
          <w:sz w:val="24"/>
          <w:szCs w:val="24"/>
        </w:rPr>
        <w:t>Firm_Size</w:t>
      </w:r>
      <w:proofErr w:type="spellEnd"/>
      <w:r w:rsidRPr="009F0C1B">
        <w:rPr>
          <w:rFonts w:ascii="Times New Roman" w:hAnsi="Times New Roman" w:cs="Times New Roman"/>
          <w:bCs/>
          <w:sz w:val="24"/>
          <w:szCs w:val="24"/>
        </w:rPr>
        <w:t>) + β₄(ROA_{t-1}) + β₅(Leverage) + β₆(</w:t>
      </w:r>
      <w:proofErr w:type="spellStart"/>
      <w:r w:rsidRPr="009F0C1B">
        <w:rPr>
          <w:rFonts w:ascii="Times New Roman" w:hAnsi="Times New Roman" w:cs="Times New Roman"/>
          <w:bCs/>
          <w:sz w:val="24"/>
          <w:szCs w:val="24"/>
        </w:rPr>
        <w:t>Year_Dummy</w:t>
      </w:r>
      <w:proofErr w:type="spellEnd"/>
      <w:r w:rsidRPr="009F0C1B">
        <w:rPr>
          <w:rFonts w:ascii="Times New Roman" w:hAnsi="Times New Roman" w:cs="Times New Roman"/>
          <w:bCs/>
          <w:sz w:val="24"/>
          <w:szCs w:val="24"/>
        </w:rPr>
        <w:t>) + ε</w:t>
      </w:r>
    </w:p>
    <w:p w14:paraId="4F635B28" w14:textId="77777777" w:rsidR="00876CC9" w:rsidRPr="009F0C1B" w:rsidRDefault="00876CC9" w:rsidP="00876CC9">
      <w:pPr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0C1B">
        <w:rPr>
          <w:rFonts w:ascii="Times New Roman" w:hAnsi="Times New Roman" w:cs="Times New Roman"/>
          <w:b/>
          <w:bCs/>
          <w:sz w:val="24"/>
          <w:szCs w:val="24"/>
        </w:rPr>
        <w:t>Diagnostics:</w:t>
      </w:r>
    </w:p>
    <w:p w14:paraId="31ACF469" w14:textId="77777777" w:rsidR="00876CC9" w:rsidRPr="009F0C1B" w:rsidRDefault="00876CC9" w:rsidP="00876CC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Variance Inflation Factors all &lt; 4.2 (no multicollinearity)</w:t>
      </w:r>
    </w:p>
    <w:p w14:paraId="532922AE" w14:textId="77777777" w:rsidR="00876CC9" w:rsidRPr="009F0C1B" w:rsidRDefault="00876CC9" w:rsidP="00876CC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Breusch-Pagan test p-value = 0.156 (heteroskedasticity not significant at 5%)</w:t>
      </w:r>
    </w:p>
    <w:p w14:paraId="6C245270" w14:textId="77777777" w:rsidR="00876CC9" w:rsidRPr="009F0C1B" w:rsidRDefault="00876CC9" w:rsidP="00876CC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Jarque-Bera normality test for residuals: p-value = 0.234</w:t>
      </w:r>
    </w:p>
    <w:p w14:paraId="487B7BBD" w14:textId="77777777" w:rsidR="00876CC9" w:rsidRPr="00A97306" w:rsidRDefault="00876CC9" w:rsidP="00876C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46CE9D" w14:textId="77777777" w:rsidR="00876CC9" w:rsidRDefault="00876CC9" w:rsidP="00876CC9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B71256A" w14:textId="77777777" w:rsidR="00876CC9" w:rsidRDefault="00876CC9" w:rsidP="00876CC9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EB53F2D" w14:textId="77777777" w:rsidR="00876CC9" w:rsidRPr="009F0C1B" w:rsidRDefault="00876CC9" w:rsidP="00876CC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0C1B">
        <w:rPr>
          <w:rFonts w:ascii="Times New Roman" w:hAnsi="Times New Roman" w:cs="Times New Roman"/>
          <w:b/>
          <w:bCs/>
          <w:sz w:val="24"/>
          <w:szCs w:val="24"/>
        </w:rPr>
        <w:t>Summary of Key Findings (for the Executive Presentation)</w:t>
      </w:r>
    </w:p>
    <w:p w14:paraId="3A45A24D" w14:textId="77777777" w:rsidR="00876CC9" w:rsidRPr="009F0C1B" w:rsidRDefault="00876CC9" w:rsidP="00876CC9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/>
          <w:bCs/>
          <w:sz w:val="24"/>
          <w:szCs w:val="24"/>
        </w:rPr>
        <w:t>Main Conclusion:</w:t>
      </w:r>
      <w:r w:rsidRPr="009F0C1B">
        <w:rPr>
          <w:rFonts w:ascii="Times New Roman" w:hAnsi="Times New Roman" w:cs="Times New Roman"/>
          <w:bCs/>
          <w:sz w:val="24"/>
          <w:szCs w:val="24"/>
        </w:rPr>
        <w:t xml:space="preserve"> The application of FinTech brings to the table an increase of 0.083 in ESG performance with a probability of just 0.018, while financing for eco-friendly activities demonstrates an even stronger correlation of 0.127 with a p-value of 0.007.</w:t>
      </w:r>
    </w:p>
    <w:p w14:paraId="1C702EAE" w14:textId="77777777" w:rsidR="00876CC9" w:rsidRPr="009F0C1B" w:rsidRDefault="00876CC9" w:rsidP="00876CC9">
      <w:pPr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0C1B">
        <w:rPr>
          <w:rFonts w:ascii="Times New Roman" w:hAnsi="Times New Roman" w:cs="Times New Roman"/>
          <w:b/>
          <w:bCs/>
          <w:sz w:val="24"/>
          <w:szCs w:val="24"/>
        </w:rPr>
        <w:t>Distribution of Clusters:</w:t>
      </w:r>
    </w:p>
    <w:p w14:paraId="16BB805C" w14:textId="77777777" w:rsidR="00876CC9" w:rsidRPr="009F0C1B" w:rsidRDefault="00876CC9" w:rsidP="00876CC9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Advanced Adopters: 5 banks (50% of sample) displaying exhaustive incorporation</w:t>
      </w:r>
    </w:p>
    <w:p w14:paraId="32381746" w14:textId="77777777" w:rsidR="00876CC9" w:rsidRPr="009F0C1B" w:rsidRDefault="00876CC9" w:rsidP="00876CC9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Moderate Progressors: 2 banks (20%) working on initial seedlings</w:t>
      </w:r>
    </w:p>
    <w:p w14:paraId="2CE1A7B5" w14:textId="77777777" w:rsidR="00876CC9" w:rsidRPr="009F0C1B" w:rsidRDefault="00876CC9" w:rsidP="00876CC9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Compliance-Focused: 2 banks (20%) that have hardly any proactive measures taken</w:t>
      </w:r>
    </w:p>
    <w:p w14:paraId="67EB84F9" w14:textId="77777777" w:rsidR="00876CC9" w:rsidRPr="009F0C1B" w:rsidRDefault="00876CC9" w:rsidP="00876CC9">
      <w:pPr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0C1B">
        <w:rPr>
          <w:rFonts w:ascii="Times New Roman" w:hAnsi="Times New Roman" w:cs="Times New Roman"/>
          <w:b/>
          <w:bCs/>
          <w:sz w:val="24"/>
          <w:szCs w:val="24"/>
        </w:rPr>
        <w:t>Financial Impact:</w:t>
      </w:r>
    </w:p>
    <w:p w14:paraId="51592377" w14:textId="77777777" w:rsidR="00876CC9" w:rsidRPr="009F0C1B" w:rsidRDefault="00876CC9" w:rsidP="00876CC9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ESG top-tier (HDFC, ICICI) are sold at 1.3-1.5x price-to-book ratios</w:t>
      </w:r>
    </w:p>
    <w:p w14:paraId="63B2725B" w14:textId="77777777" w:rsidR="00876CC9" w:rsidRPr="009F0C1B" w:rsidRDefault="00876CC9" w:rsidP="00876CC9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Green lending portfolio NPAs are 0.8-1.2 percent lower than the conventional ones</w:t>
      </w:r>
    </w:p>
    <w:p w14:paraId="4FD9FD00" w14:textId="77777777" w:rsidR="00876CC9" w:rsidRPr="009F0C1B" w:rsidRDefault="00876CC9" w:rsidP="00876CC9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Green deposit mobilization in Cluster 1 banks is 22% annual growth on average</w:t>
      </w:r>
    </w:p>
    <w:p w14:paraId="78CBD112" w14:textId="77777777" w:rsidR="00876CC9" w:rsidRPr="009F0C1B" w:rsidRDefault="00876CC9" w:rsidP="00876CC9">
      <w:pPr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0C1B">
        <w:rPr>
          <w:rFonts w:ascii="Times New Roman" w:hAnsi="Times New Roman" w:cs="Times New Roman"/>
          <w:b/>
          <w:bCs/>
          <w:sz w:val="24"/>
          <w:szCs w:val="24"/>
        </w:rPr>
        <w:t>Environmental Achievement:</w:t>
      </w:r>
    </w:p>
    <w:p w14:paraId="3E20AB35" w14:textId="77777777" w:rsidR="00876CC9" w:rsidRPr="009F0C1B" w:rsidRDefault="00876CC9" w:rsidP="00876CC9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lastRenderedPageBreak/>
        <w:t>₹12,000 crores green bonds financing more than 3,200 projects</w:t>
      </w:r>
    </w:p>
    <w:p w14:paraId="0654D9EA" w14:textId="77777777" w:rsidR="00876CC9" w:rsidRPr="009F0C1B" w:rsidRDefault="00876CC9" w:rsidP="00876CC9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4,800 MW of renewable energy capacity additions supported by bank financing</w:t>
      </w:r>
    </w:p>
    <w:p w14:paraId="00388854" w14:textId="77777777" w:rsidR="00876CC9" w:rsidRPr="009F0C1B" w:rsidRDefault="00876CC9" w:rsidP="00876CC9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F0C1B">
        <w:rPr>
          <w:rFonts w:ascii="Times New Roman" w:hAnsi="Times New Roman" w:cs="Times New Roman"/>
          <w:bCs/>
          <w:sz w:val="24"/>
          <w:szCs w:val="24"/>
        </w:rPr>
        <w:t>Annual reduction of 420 million checks due to digital payment adoption</w:t>
      </w:r>
    </w:p>
    <w:p w14:paraId="13D2B956" w14:textId="77777777" w:rsidR="00876CC9" w:rsidRDefault="00876CC9" w:rsidP="00876C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9BFE12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A0241"/>
    <w:multiLevelType w:val="hybridMultilevel"/>
    <w:tmpl w:val="2F925E8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AF70570"/>
    <w:multiLevelType w:val="hybridMultilevel"/>
    <w:tmpl w:val="82AA447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41B2C45"/>
    <w:multiLevelType w:val="hybridMultilevel"/>
    <w:tmpl w:val="24DA32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B975A3"/>
    <w:multiLevelType w:val="hybridMultilevel"/>
    <w:tmpl w:val="6A4413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2731E2"/>
    <w:multiLevelType w:val="hybridMultilevel"/>
    <w:tmpl w:val="B1EAF5D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00059176">
    <w:abstractNumId w:val="3"/>
  </w:num>
  <w:num w:numId="2" w16cid:durableId="1406801371">
    <w:abstractNumId w:val="2"/>
  </w:num>
  <w:num w:numId="3" w16cid:durableId="443035451">
    <w:abstractNumId w:val="4"/>
  </w:num>
  <w:num w:numId="4" w16cid:durableId="203756042">
    <w:abstractNumId w:val="0"/>
  </w:num>
  <w:num w:numId="5" w16cid:durableId="941491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CC9"/>
    <w:rsid w:val="00066677"/>
    <w:rsid w:val="001F7EF6"/>
    <w:rsid w:val="003A4E89"/>
    <w:rsid w:val="00556784"/>
    <w:rsid w:val="00876CC9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CD582"/>
  <w15:chartTrackingRefBased/>
  <w15:docId w15:val="{379B6820-3353-425A-81C7-EA5A6FA8C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CC9"/>
    <w:pPr>
      <w:spacing w:after="120" w:line="240" w:lineRule="atLeast"/>
    </w:pPr>
    <w:rPr>
      <w:rFonts w:ascii="Georgia"/>
      <w:kern w:val="0"/>
      <w:sz w:val="21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6C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6C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6C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6C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6C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6C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6C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6C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6C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6C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6C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6C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6C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6C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6C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6C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6C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6C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6C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6C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6C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6C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6C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6C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6C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6C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6C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6C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6C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2094</Characters>
  <Application>Microsoft Office Word</Application>
  <DocSecurity>0</DocSecurity>
  <Lines>38</Lines>
  <Paragraphs>17</Paragraphs>
  <ScaleCrop>false</ScaleCrop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2026-01-16T05:49:00Z</dcterms:created>
  <dcterms:modified xsi:type="dcterms:W3CDTF">2026-01-16T05:49:00Z</dcterms:modified>
</cp:coreProperties>
</file>