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732"/>
        <w:tblW w:w="16302" w:type="dxa"/>
        <w:tblLook w:val="04A0" w:firstRow="1" w:lastRow="0" w:firstColumn="1" w:lastColumn="0" w:noHBand="0" w:noVBand="1"/>
      </w:tblPr>
      <w:tblGrid>
        <w:gridCol w:w="1780"/>
        <w:gridCol w:w="2075"/>
        <w:gridCol w:w="1180"/>
        <w:gridCol w:w="1603"/>
        <w:gridCol w:w="1465"/>
        <w:gridCol w:w="1458"/>
        <w:gridCol w:w="854"/>
        <w:gridCol w:w="1709"/>
        <w:gridCol w:w="1193"/>
        <w:gridCol w:w="2985"/>
      </w:tblGrid>
      <w:tr w:rsidR="00B6025F" w:rsidRPr="00B6025F" w14:paraId="245E7DCE" w14:textId="77777777" w:rsidTr="00A37228">
        <w:tc>
          <w:tcPr>
            <w:tcW w:w="0" w:type="auto"/>
            <w:gridSpan w:val="8"/>
          </w:tcPr>
          <w:p w14:paraId="7617F355" w14:textId="1E546AB0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Certainity Assessment</w:t>
            </w:r>
          </w:p>
        </w:tc>
        <w:tc>
          <w:tcPr>
            <w:tcW w:w="4178" w:type="dxa"/>
            <w:gridSpan w:val="2"/>
          </w:tcPr>
          <w:p w14:paraId="756AFC50" w14:textId="6A44C0D7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Summary of Findings</w:t>
            </w:r>
          </w:p>
        </w:tc>
      </w:tr>
      <w:tr w:rsidR="00B6025F" w:rsidRPr="00B6025F" w14:paraId="7F8213B1" w14:textId="77777777" w:rsidTr="00A37228">
        <w:tc>
          <w:tcPr>
            <w:tcW w:w="0" w:type="auto"/>
          </w:tcPr>
          <w:p w14:paraId="186318E5" w14:textId="19E6F52B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</w:tcPr>
          <w:p w14:paraId="2CBECEE0" w14:textId="4C5827D2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Studies (n, design)</w:t>
            </w:r>
          </w:p>
        </w:tc>
        <w:tc>
          <w:tcPr>
            <w:tcW w:w="0" w:type="auto"/>
          </w:tcPr>
          <w:p w14:paraId="2F133E5E" w14:textId="6CFC7BC7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 of bias</w:t>
            </w:r>
          </w:p>
        </w:tc>
        <w:tc>
          <w:tcPr>
            <w:tcW w:w="0" w:type="auto"/>
          </w:tcPr>
          <w:p w14:paraId="104C7192" w14:textId="2D256EFD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Inconsistency</w:t>
            </w:r>
          </w:p>
        </w:tc>
        <w:tc>
          <w:tcPr>
            <w:tcW w:w="0" w:type="auto"/>
          </w:tcPr>
          <w:p w14:paraId="5FADA436" w14:textId="101FB6C1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Indirectness</w:t>
            </w:r>
          </w:p>
        </w:tc>
        <w:tc>
          <w:tcPr>
            <w:tcW w:w="0" w:type="auto"/>
          </w:tcPr>
          <w:p w14:paraId="238191F9" w14:textId="2BB2D199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Imprecision</w:t>
            </w:r>
          </w:p>
        </w:tc>
        <w:tc>
          <w:tcPr>
            <w:tcW w:w="0" w:type="auto"/>
          </w:tcPr>
          <w:p w14:paraId="3CC9B594" w14:textId="061F9900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 bias</w:t>
            </w:r>
          </w:p>
        </w:tc>
        <w:tc>
          <w:tcPr>
            <w:tcW w:w="0" w:type="auto"/>
          </w:tcPr>
          <w:p w14:paraId="2147CA7B" w14:textId="053D543E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certainty of evidence</w:t>
            </w:r>
          </w:p>
        </w:tc>
        <w:tc>
          <w:tcPr>
            <w:tcW w:w="0" w:type="auto"/>
          </w:tcPr>
          <w:p w14:paraId="5A2F90BF" w14:textId="1CD58DB1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Relative effect (95% CI)</w:t>
            </w:r>
          </w:p>
        </w:tc>
        <w:tc>
          <w:tcPr>
            <w:tcW w:w="2985" w:type="dxa"/>
          </w:tcPr>
          <w:p w14:paraId="6DD0D4D6" w14:textId="47A9777F" w:rsidR="00B6025F" w:rsidRPr="00B6025F" w:rsidRDefault="00B6025F" w:rsidP="00A37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Anticipated absolute effect</w:t>
            </w:r>
          </w:p>
        </w:tc>
      </w:tr>
      <w:tr w:rsidR="00B6025F" w:rsidRPr="00B6025F" w14:paraId="34034EA6" w14:textId="77777777" w:rsidTr="00A37228">
        <w:tc>
          <w:tcPr>
            <w:tcW w:w="0" w:type="auto"/>
            <w:hideMark/>
          </w:tcPr>
          <w:p w14:paraId="580CFB4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Histological fibrosis improvement (≥1 stage)</w:t>
            </w:r>
          </w:p>
        </w:tc>
        <w:tc>
          <w:tcPr>
            <w:tcW w:w="0" w:type="auto"/>
            <w:hideMark/>
          </w:tcPr>
          <w:p w14:paraId="0511FDBD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3 RCTs (FLINT, REGENERATE, Alam 2022)</w:t>
            </w:r>
          </w:p>
        </w:tc>
        <w:tc>
          <w:tcPr>
            <w:tcW w:w="0" w:type="auto"/>
            <w:hideMark/>
          </w:tcPr>
          <w:p w14:paraId="1E3FEEB0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15B4A42A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Moderateᵃ</w:t>
            </w:r>
          </w:p>
        </w:tc>
        <w:tc>
          <w:tcPr>
            <w:tcW w:w="0" w:type="auto"/>
            <w:hideMark/>
          </w:tcPr>
          <w:p w14:paraId="4E0AAB03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A4F5E12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Some concernsᵇ</w:t>
            </w:r>
          </w:p>
        </w:tc>
        <w:tc>
          <w:tcPr>
            <w:tcW w:w="0" w:type="auto"/>
            <w:hideMark/>
          </w:tcPr>
          <w:p w14:paraId="21D8930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12A8FFE5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  <w:p w14:paraId="0C8E7AF9" w14:textId="6D87ED56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  <w:hideMark/>
          </w:tcPr>
          <w:p w14:paraId="511051B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RR 2.29 (1.35–3.88)</w:t>
            </w:r>
          </w:p>
        </w:tc>
        <w:tc>
          <w:tcPr>
            <w:tcW w:w="2985" w:type="dxa"/>
            <w:hideMark/>
          </w:tcPr>
          <w:p w14:paraId="7A1C8AB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125 more per 1000ᶜ (from 34 more to 279 more)</w:t>
            </w:r>
          </w:p>
        </w:tc>
      </w:tr>
      <w:tr w:rsidR="00B6025F" w:rsidRPr="00B6025F" w14:paraId="7561E195" w14:textId="77777777" w:rsidTr="00A37228">
        <w:tc>
          <w:tcPr>
            <w:tcW w:w="0" w:type="auto"/>
            <w:hideMark/>
          </w:tcPr>
          <w:p w14:paraId="7DED15F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NASH resolution</w:t>
            </w:r>
          </w:p>
        </w:tc>
        <w:tc>
          <w:tcPr>
            <w:tcW w:w="0" w:type="auto"/>
            <w:hideMark/>
          </w:tcPr>
          <w:p w14:paraId="0B716308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2 RCTs (FLINT, REGENERATE)</w:t>
            </w:r>
          </w:p>
        </w:tc>
        <w:tc>
          <w:tcPr>
            <w:tcW w:w="0" w:type="auto"/>
            <w:hideMark/>
          </w:tcPr>
          <w:p w14:paraId="17F0CE66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C2AE424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647EFEA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76FD75F5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Seriousᵈ</w:t>
            </w:r>
          </w:p>
        </w:tc>
        <w:tc>
          <w:tcPr>
            <w:tcW w:w="0" w:type="auto"/>
            <w:hideMark/>
          </w:tcPr>
          <w:p w14:paraId="74A337E7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325EFD35" w14:textId="0124B3CC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○○</w:t>
            </w:r>
          </w:p>
          <w:p w14:paraId="34A49B85" w14:textId="35F5D0FB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0" w:type="auto"/>
            <w:hideMark/>
          </w:tcPr>
          <w:p w14:paraId="29EF07D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RR 1.71 (0.98–2.98)</w:t>
            </w:r>
          </w:p>
        </w:tc>
        <w:tc>
          <w:tcPr>
            <w:tcW w:w="2985" w:type="dxa"/>
            <w:hideMark/>
          </w:tcPr>
          <w:p w14:paraId="520DC596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34 more per 1000ᵉ (from 1 fewer to 97 more)</w:t>
            </w:r>
          </w:p>
        </w:tc>
      </w:tr>
      <w:tr w:rsidR="00B6025F" w:rsidRPr="00B6025F" w14:paraId="5D58AFEC" w14:textId="77777777" w:rsidTr="00A37228">
        <w:tc>
          <w:tcPr>
            <w:tcW w:w="0" w:type="auto"/>
            <w:hideMark/>
          </w:tcPr>
          <w:p w14:paraId="47180604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Liver fat content (MRI-PDFF/CAP)</w:t>
            </w:r>
          </w:p>
        </w:tc>
        <w:tc>
          <w:tcPr>
            <w:tcW w:w="0" w:type="auto"/>
            <w:hideMark/>
          </w:tcPr>
          <w:p w14:paraId="7FABAF13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2 RCTs (Taheri 2020, Taha 2025)</w:t>
            </w:r>
          </w:p>
        </w:tc>
        <w:tc>
          <w:tcPr>
            <w:tcW w:w="0" w:type="auto"/>
            <w:hideMark/>
          </w:tcPr>
          <w:p w14:paraId="7868741E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5A3BABCB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3E3A5F31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6062A979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Some concernsᶠ</w:t>
            </w:r>
          </w:p>
        </w:tc>
        <w:tc>
          <w:tcPr>
            <w:tcW w:w="0" w:type="auto"/>
            <w:hideMark/>
          </w:tcPr>
          <w:p w14:paraId="440C7C85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229AD33A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○ </w:t>
            </w:r>
          </w:p>
          <w:p w14:paraId="2E11D3EF" w14:textId="786DAD35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  <w:hideMark/>
          </w:tcPr>
          <w:p w14:paraId="7CFC3496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SMD −0.41 (−0.73 to −0.09)</w:t>
            </w:r>
          </w:p>
        </w:tc>
        <w:tc>
          <w:tcPr>
            <w:tcW w:w="2985" w:type="dxa"/>
            <w:hideMark/>
          </w:tcPr>
          <w:p w14:paraId="727A6A9B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Small-to-moderate reduction vs control</w:t>
            </w:r>
          </w:p>
        </w:tc>
      </w:tr>
      <w:tr w:rsidR="00B6025F" w:rsidRPr="00B6025F" w14:paraId="4D7543FD" w14:textId="77777777" w:rsidTr="00A37228">
        <w:tc>
          <w:tcPr>
            <w:tcW w:w="0" w:type="auto"/>
            <w:hideMark/>
          </w:tcPr>
          <w:p w14:paraId="2E61D511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 change</w:t>
            </w:r>
          </w:p>
        </w:tc>
        <w:tc>
          <w:tcPr>
            <w:tcW w:w="0" w:type="auto"/>
            <w:hideMark/>
          </w:tcPr>
          <w:p w14:paraId="7A37A8F7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2 RCTs (Taheri 2020, Taha 2025)</w:t>
            </w:r>
          </w:p>
        </w:tc>
        <w:tc>
          <w:tcPr>
            <w:tcW w:w="0" w:type="auto"/>
            <w:hideMark/>
          </w:tcPr>
          <w:p w14:paraId="445A09F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Some concernsᵍ</w:t>
            </w:r>
          </w:p>
        </w:tc>
        <w:tc>
          <w:tcPr>
            <w:tcW w:w="0" w:type="auto"/>
            <w:hideMark/>
          </w:tcPr>
          <w:p w14:paraId="4D3DE4E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5A847D3D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27C573E3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Seriousʰ</w:t>
            </w:r>
          </w:p>
        </w:tc>
        <w:tc>
          <w:tcPr>
            <w:tcW w:w="0" w:type="auto"/>
            <w:hideMark/>
          </w:tcPr>
          <w:p w14:paraId="5CFBA66D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716A0427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○○ </w:t>
            </w:r>
          </w:p>
          <w:p w14:paraId="3D2C9112" w14:textId="78124EE8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0" w:type="auto"/>
            <w:hideMark/>
          </w:tcPr>
          <w:p w14:paraId="71C62179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MD −5.92 U/L (−12.95 to 1.11)</w:t>
            </w:r>
          </w:p>
        </w:tc>
        <w:tc>
          <w:tcPr>
            <w:tcW w:w="2985" w:type="dxa"/>
            <w:hideMark/>
          </w:tcPr>
          <w:p w14:paraId="58FF192A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Uncertain reduction in ALT</w:t>
            </w:r>
          </w:p>
        </w:tc>
      </w:tr>
      <w:tr w:rsidR="00B6025F" w:rsidRPr="00B6025F" w14:paraId="4EBB71D8" w14:textId="77777777" w:rsidTr="00A37228">
        <w:tc>
          <w:tcPr>
            <w:tcW w:w="0" w:type="auto"/>
            <w:hideMark/>
          </w:tcPr>
          <w:p w14:paraId="26BE11A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Weight/BMI change</w:t>
            </w:r>
          </w:p>
        </w:tc>
        <w:tc>
          <w:tcPr>
            <w:tcW w:w="0" w:type="auto"/>
            <w:hideMark/>
          </w:tcPr>
          <w:p w14:paraId="64B93911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2 RCTs (Taheri 2020, Taha 2025)</w:t>
            </w:r>
          </w:p>
        </w:tc>
        <w:tc>
          <w:tcPr>
            <w:tcW w:w="0" w:type="auto"/>
            <w:hideMark/>
          </w:tcPr>
          <w:p w14:paraId="30CF40DB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Some concerns</w:t>
            </w:r>
          </w:p>
        </w:tc>
        <w:tc>
          <w:tcPr>
            <w:tcW w:w="0" w:type="auto"/>
            <w:hideMark/>
          </w:tcPr>
          <w:p w14:paraId="19F7D8D1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544599C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D2A1914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Some concernsⁱ</w:t>
            </w:r>
          </w:p>
        </w:tc>
        <w:tc>
          <w:tcPr>
            <w:tcW w:w="0" w:type="auto"/>
            <w:hideMark/>
          </w:tcPr>
          <w:p w14:paraId="2310D24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09FB2CD9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○ </w:t>
            </w:r>
          </w:p>
          <w:p w14:paraId="5760E376" w14:textId="0B2E4AE0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  <w:hideMark/>
          </w:tcPr>
          <w:p w14:paraId="3B02F9A3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MD −2.15 kg (−3.85 to −0.45)</w:t>
            </w:r>
          </w:p>
        </w:tc>
        <w:tc>
          <w:tcPr>
            <w:tcW w:w="2985" w:type="dxa"/>
            <w:hideMark/>
          </w:tcPr>
          <w:p w14:paraId="7C2FBEE6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Approx. 2 kg weight loss</w:t>
            </w:r>
          </w:p>
        </w:tc>
      </w:tr>
      <w:tr w:rsidR="00B6025F" w:rsidRPr="00B6025F" w14:paraId="037CB51F" w14:textId="77777777" w:rsidTr="00A37228">
        <w:tc>
          <w:tcPr>
            <w:tcW w:w="0" w:type="auto"/>
            <w:hideMark/>
          </w:tcPr>
          <w:p w14:paraId="080B41B7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Adverse events — pruritus (OCA)</w:t>
            </w:r>
          </w:p>
        </w:tc>
        <w:tc>
          <w:tcPr>
            <w:tcW w:w="0" w:type="auto"/>
            <w:hideMark/>
          </w:tcPr>
          <w:p w14:paraId="32E4BF94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3 RCTs (REGENERATE, FLINT, Alam 2022)</w:t>
            </w:r>
          </w:p>
        </w:tc>
        <w:tc>
          <w:tcPr>
            <w:tcW w:w="0" w:type="auto"/>
            <w:hideMark/>
          </w:tcPr>
          <w:p w14:paraId="0C967027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259446A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Moderateʲ</w:t>
            </w:r>
          </w:p>
        </w:tc>
        <w:tc>
          <w:tcPr>
            <w:tcW w:w="0" w:type="auto"/>
            <w:hideMark/>
          </w:tcPr>
          <w:p w14:paraId="35A24B7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2E3697A3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7F640C8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4C5C174A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4249E0" w14:textId="03F44086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0" w:type="auto"/>
            <w:hideMark/>
          </w:tcPr>
          <w:p w14:paraId="5618E952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RR 3.65 (1.62–8.21)</w:t>
            </w:r>
          </w:p>
        </w:tc>
        <w:tc>
          <w:tcPr>
            <w:tcW w:w="2985" w:type="dxa"/>
            <w:hideMark/>
          </w:tcPr>
          <w:p w14:paraId="14BBCB8E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Large increase in pruritus risk</w:t>
            </w:r>
          </w:p>
        </w:tc>
      </w:tr>
      <w:tr w:rsidR="00B6025F" w:rsidRPr="00B6025F" w14:paraId="44B070B9" w14:textId="77777777" w:rsidTr="00A37228">
        <w:tc>
          <w:tcPr>
            <w:tcW w:w="0" w:type="auto"/>
            <w:hideMark/>
          </w:tcPr>
          <w:p w14:paraId="623D1205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Adverse events — LDL rise (OCA)</w:t>
            </w:r>
          </w:p>
        </w:tc>
        <w:tc>
          <w:tcPr>
            <w:tcW w:w="0" w:type="auto"/>
            <w:hideMark/>
          </w:tcPr>
          <w:p w14:paraId="5BE926A7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2 RCTs (REGENERATE, FLINT)</w:t>
            </w:r>
          </w:p>
        </w:tc>
        <w:tc>
          <w:tcPr>
            <w:tcW w:w="0" w:type="auto"/>
            <w:hideMark/>
          </w:tcPr>
          <w:p w14:paraId="1A7CB088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3C8D1F68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CFAB5FF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0924A99E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hideMark/>
          </w:tcPr>
          <w:p w14:paraId="5E8BCBCB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14:paraId="1D840A32" w14:textId="77777777" w:rsid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Cambria Math" w:hAnsi="Cambria Math" w:cs="Cambria Math"/>
                <w:sz w:val="24"/>
                <w:szCs w:val="24"/>
              </w:rPr>
              <w:t>⊕⊕⊕⊕</w:t>
            </w: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1609D5" w14:textId="03F65E15" w:rsidR="00B6025F" w:rsidRPr="00B6025F" w:rsidRDefault="00B6025F" w:rsidP="00A3722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0" w:type="auto"/>
            <w:hideMark/>
          </w:tcPr>
          <w:p w14:paraId="4C83F71C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MD +18 mg/dL</w:t>
            </w:r>
          </w:p>
        </w:tc>
        <w:tc>
          <w:tcPr>
            <w:tcW w:w="2985" w:type="dxa"/>
            <w:hideMark/>
          </w:tcPr>
          <w:p w14:paraId="7DABD8FE" w14:textId="77777777" w:rsidR="00B6025F" w:rsidRPr="00B6025F" w:rsidRDefault="00B6025F" w:rsidP="00A3722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025F">
              <w:rPr>
                <w:rFonts w:ascii="Times New Roman" w:hAnsi="Times New Roman" w:cs="Times New Roman"/>
                <w:sz w:val="24"/>
                <w:szCs w:val="24"/>
              </w:rPr>
              <w:t>Consistent LDL increase</w:t>
            </w:r>
          </w:p>
        </w:tc>
      </w:tr>
    </w:tbl>
    <w:p w14:paraId="6AA9565A" w14:textId="77777777" w:rsidR="00E320AB" w:rsidRDefault="00E320AB"/>
    <w:p w14:paraId="738121E1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CI</w:t>
      </w:r>
      <w:r w:rsidRPr="00B6025F">
        <w:rPr>
          <w:rFonts w:ascii="Times New Roman" w:hAnsi="Times New Roman" w:cs="Times New Roman"/>
          <w:sz w:val="24"/>
          <w:szCs w:val="24"/>
        </w:rPr>
        <w:t xml:space="preserve"> = confidence interval; </w:t>
      </w:r>
      <w:r w:rsidRPr="00B6025F">
        <w:rPr>
          <w:rFonts w:ascii="Times New Roman" w:hAnsi="Times New Roman" w:cs="Times New Roman"/>
          <w:b/>
          <w:bCs/>
          <w:sz w:val="24"/>
          <w:szCs w:val="24"/>
        </w:rPr>
        <w:t>RR</w:t>
      </w:r>
      <w:r w:rsidRPr="00B6025F">
        <w:rPr>
          <w:rFonts w:ascii="Times New Roman" w:hAnsi="Times New Roman" w:cs="Times New Roman"/>
          <w:sz w:val="24"/>
          <w:szCs w:val="24"/>
        </w:rPr>
        <w:t xml:space="preserve"> = risk ratio; </w:t>
      </w:r>
      <w:r w:rsidRPr="00B6025F">
        <w:rPr>
          <w:rFonts w:ascii="Times New Roman" w:hAnsi="Times New Roman" w:cs="Times New Roman"/>
          <w:b/>
          <w:bCs/>
          <w:sz w:val="24"/>
          <w:szCs w:val="24"/>
        </w:rPr>
        <w:t>MD</w:t>
      </w:r>
      <w:r w:rsidRPr="00B6025F">
        <w:rPr>
          <w:rFonts w:ascii="Times New Roman" w:hAnsi="Times New Roman" w:cs="Times New Roman"/>
          <w:sz w:val="24"/>
          <w:szCs w:val="24"/>
        </w:rPr>
        <w:t xml:space="preserve"> = mean difference; </w:t>
      </w:r>
      <w:r w:rsidRPr="00B6025F">
        <w:rPr>
          <w:rFonts w:ascii="Times New Roman" w:hAnsi="Times New Roman" w:cs="Times New Roman"/>
          <w:b/>
          <w:bCs/>
          <w:sz w:val="24"/>
          <w:szCs w:val="24"/>
        </w:rPr>
        <w:t>SMD</w:t>
      </w:r>
      <w:r w:rsidRPr="00B6025F">
        <w:rPr>
          <w:rFonts w:ascii="Times New Roman" w:hAnsi="Times New Roman" w:cs="Times New Roman"/>
          <w:sz w:val="24"/>
          <w:szCs w:val="24"/>
        </w:rPr>
        <w:t xml:space="preserve"> = standardized mean difference.</w:t>
      </w:r>
    </w:p>
    <w:p w14:paraId="3BFDAFD9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ᵃ</w:t>
      </w:r>
      <w:r w:rsidRPr="00B6025F">
        <w:rPr>
          <w:rFonts w:ascii="Times New Roman" w:hAnsi="Times New Roman" w:cs="Times New Roman"/>
          <w:sz w:val="24"/>
          <w:szCs w:val="24"/>
        </w:rPr>
        <w:t xml:space="preserve"> Moderate heterogeneity (I² = 64%) due to variation in dose and population.</w:t>
      </w:r>
    </w:p>
    <w:p w14:paraId="0E4FDC18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ᵇ</w:t>
      </w:r>
      <w:r w:rsidRPr="00B6025F">
        <w:rPr>
          <w:rFonts w:ascii="Times New Roman" w:hAnsi="Times New Roman" w:cs="Times New Roman"/>
          <w:sz w:val="24"/>
          <w:szCs w:val="24"/>
        </w:rPr>
        <w:t xml:space="preserve"> Wide CI; small sample size in one trial.</w:t>
      </w:r>
    </w:p>
    <w:p w14:paraId="28BB4A67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ᶜ</w:t>
      </w:r>
      <w:r w:rsidRPr="00B6025F">
        <w:rPr>
          <w:rFonts w:ascii="Times New Roman" w:hAnsi="Times New Roman" w:cs="Times New Roman"/>
          <w:sz w:val="24"/>
          <w:szCs w:val="24"/>
        </w:rPr>
        <w:t xml:space="preserve"> Baseline risk estimated from placebo/lifestyle control arms; extrapolated per 1000 patients over 12–18 months.</w:t>
      </w:r>
    </w:p>
    <w:p w14:paraId="34222869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ᵈ</w:t>
      </w:r>
      <w:r w:rsidRPr="00B6025F">
        <w:rPr>
          <w:rFonts w:ascii="Times New Roman" w:hAnsi="Times New Roman" w:cs="Times New Roman"/>
          <w:sz w:val="24"/>
          <w:szCs w:val="24"/>
        </w:rPr>
        <w:t xml:space="preserve"> CI crosses line of no effect (RR 0.98–2.98).</w:t>
      </w:r>
    </w:p>
    <w:p w14:paraId="1D751991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ᵉ</w:t>
      </w:r>
      <w:r w:rsidRPr="00B6025F">
        <w:rPr>
          <w:rFonts w:ascii="Times New Roman" w:hAnsi="Times New Roman" w:cs="Times New Roman"/>
          <w:sz w:val="24"/>
          <w:szCs w:val="24"/>
        </w:rPr>
        <w:t xml:space="preserve"> Control event rate for NASH resolution ≈ 50/1000 from pooled placebo groups.</w:t>
      </w:r>
    </w:p>
    <w:p w14:paraId="306285DA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ᶠ</w:t>
      </w:r>
      <w:r w:rsidRPr="00B6025F">
        <w:rPr>
          <w:rFonts w:ascii="Times New Roman" w:hAnsi="Times New Roman" w:cs="Times New Roman"/>
          <w:sz w:val="24"/>
          <w:szCs w:val="24"/>
        </w:rPr>
        <w:t xml:space="preserve"> Liver fat studies small (n = 123); downgraded for imprecision.</w:t>
      </w:r>
    </w:p>
    <w:p w14:paraId="4EB5BC2F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ᵍ</w:t>
      </w:r>
      <w:r w:rsidRPr="00B6025F">
        <w:rPr>
          <w:rFonts w:ascii="Times New Roman" w:hAnsi="Times New Roman" w:cs="Times New Roman"/>
          <w:sz w:val="24"/>
          <w:szCs w:val="24"/>
        </w:rPr>
        <w:t xml:space="preserve"> Some concerns due to one open-label ALT study.</w:t>
      </w:r>
    </w:p>
    <w:p w14:paraId="2D01358F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ʰ</w:t>
      </w:r>
      <w:r w:rsidRPr="00B6025F">
        <w:rPr>
          <w:rFonts w:ascii="Times New Roman" w:hAnsi="Times New Roman" w:cs="Times New Roman"/>
          <w:sz w:val="24"/>
          <w:szCs w:val="24"/>
        </w:rPr>
        <w:t xml:space="preserve"> ALT CI crosses zero; total sample size low.</w:t>
      </w:r>
    </w:p>
    <w:p w14:paraId="22708AAA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ⁱ</w:t>
      </w:r>
      <w:r w:rsidRPr="00B6025F">
        <w:rPr>
          <w:rFonts w:ascii="Times New Roman" w:hAnsi="Times New Roman" w:cs="Times New Roman"/>
          <w:sz w:val="24"/>
          <w:szCs w:val="24"/>
        </w:rPr>
        <w:t xml:space="preserve"> Weight/BMI data from two small RCTs; wide CI.</w:t>
      </w:r>
    </w:p>
    <w:p w14:paraId="52845BD2" w14:textId="77777777" w:rsidR="00B6025F" w:rsidRPr="00B6025F" w:rsidRDefault="00B6025F" w:rsidP="00B6025F">
      <w:pPr>
        <w:ind w:left="360"/>
        <w:rPr>
          <w:rFonts w:ascii="Times New Roman" w:hAnsi="Times New Roman" w:cs="Times New Roman"/>
          <w:sz w:val="24"/>
          <w:szCs w:val="24"/>
        </w:rPr>
      </w:pPr>
      <w:r w:rsidRPr="00B6025F">
        <w:rPr>
          <w:rFonts w:ascii="Times New Roman" w:hAnsi="Times New Roman" w:cs="Times New Roman"/>
          <w:b/>
          <w:bCs/>
          <w:sz w:val="24"/>
          <w:szCs w:val="24"/>
        </w:rPr>
        <w:t>ʲ</w:t>
      </w:r>
      <w:r w:rsidRPr="00B6025F">
        <w:rPr>
          <w:rFonts w:ascii="Times New Roman" w:hAnsi="Times New Roman" w:cs="Times New Roman"/>
          <w:sz w:val="24"/>
          <w:szCs w:val="24"/>
        </w:rPr>
        <w:t xml:space="preserve"> Substantial heterogeneity for pruritus (I² = 71%).</w:t>
      </w:r>
    </w:p>
    <w:p w14:paraId="6914002E" w14:textId="77777777" w:rsidR="00A37228" w:rsidRDefault="00A37228" w:rsidP="00A3722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77D6AEF" w14:textId="1F9E76D9" w:rsidR="00A37228" w:rsidRPr="005340C3" w:rsidRDefault="00A37228" w:rsidP="00A3722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44EF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1. </w:t>
      </w:r>
      <w:r w:rsidRPr="005340C3">
        <w:rPr>
          <w:rFonts w:ascii="Times New Roman" w:hAnsi="Times New Roman" w:cs="Times New Roman"/>
          <w:sz w:val="20"/>
          <w:szCs w:val="20"/>
          <w:lang w:val="en-US"/>
        </w:rPr>
        <w:t xml:space="preserve">GRADE Evidence Profile of SGLT2i vs OCA for MAFLD and Fibrosis </w:t>
      </w:r>
    </w:p>
    <w:p w14:paraId="701D386E" w14:textId="77777777" w:rsidR="00B6025F" w:rsidRPr="00A37228" w:rsidRDefault="00B6025F">
      <w:pPr>
        <w:rPr>
          <w:lang w:val="en-US"/>
        </w:rPr>
      </w:pPr>
    </w:p>
    <w:sectPr w:rsidR="00B6025F" w:rsidRPr="00A37228" w:rsidSect="00B6025F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23BA7"/>
    <w:multiLevelType w:val="multilevel"/>
    <w:tmpl w:val="5ADAE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446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25F"/>
    <w:rsid w:val="00036328"/>
    <w:rsid w:val="00155B7D"/>
    <w:rsid w:val="001E4B6E"/>
    <w:rsid w:val="003229DD"/>
    <w:rsid w:val="003748B6"/>
    <w:rsid w:val="00467EBA"/>
    <w:rsid w:val="005340C3"/>
    <w:rsid w:val="00583E90"/>
    <w:rsid w:val="0062786E"/>
    <w:rsid w:val="00744665"/>
    <w:rsid w:val="00A37228"/>
    <w:rsid w:val="00B6025F"/>
    <w:rsid w:val="00E320AB"/>
    <w:rsid w:val="00F8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022572"/>
  <w15:chartTrackingRefBased/>
  <w15:docId w15:val="{BF628F2D-7435-4CE1-A978-79D677E1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0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0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2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0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02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0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0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0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0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2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02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2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02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02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02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02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02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02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0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0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02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0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02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02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02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02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02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02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025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60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Thenmozhi G</dc:creator>
  <cp:keywords/>
  <dc:description/>
  <cp:lastModifiedBy>svigneshsubramani1608@gmail.com</cp:lastModifiedBy>
  <cp:revision>2</cp:revision>
  <dcterms:created xsi:type="dcterms:W3CDTF">2026-01-16T13:43:00Z</dcterms:created>
  <dcterms:modified xsi:type="dcterms:W3CDTF">2026-01-16T13:43:00Z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60dbd727-9580-49f5-a81b-4f47f02a25bc</vt:lpwstr>
  </property>
</Properties>
</file>