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853056" w14:textId="393A2DBC" w:rsidR="002C440F" w:rsidRDefault="002C440F" w:rsidP="002C440F">
      <w:pPr>
        <w:pStyle w:val="ad"/>
        <w:spacing w:after="249"/>
        <w:ind w:firstLine="643"/>
        <w:rPr>
          <w:rFonts w:cs="Times New Roman"/>
        </w:rPr>
      </w:pPr>
      <w:bookmarkStart w:id="0" w:name="_Toc218536123"/>
      <w:bookmarkStart w:id="1" w:name="_Toc218536493"/>
      <w:r w:rsidRPr="002C440F">
        <w:rPr>
          <w:rFonts w:cs="Times New Roman"/>
        </w:rPr>
        <w:t>SUPPLEMENTAL INFORMATION</w:t>
      </w:r>
      <w:bookmarkEnd w:id="0"/>
      <w:bookmarkEnd w:id="1"/>
    </w:p>
    <w:p w14:paraId="07F9546D" w14:textId="77777777" w:rsidR="003922F9" w:rsidRPr="003922F9" w:rsidRDefault="003922F9" w:rsidP="003922F9">
      <w:pPr>
        <w:spacing w:after="249"/>
        <w:ind w:firstLine="480"/>
        <w:rPr>
          <w:rFonts w:eastAsiaTheme="minorEastAsia"/>
        </w:rPr>
      </w:pPr>
    </w:p>
    <w:p w14:paraId="50B6068B" w14:textId="77777777" w:rsidR="003922F9" w:rsidRPr="003922F9" w:rsidRDefault="003922F9" w:rsidP="003922F9">
      <w:pPr>
        <w:pStyle w:val="ab"/>
        <w:spacing w:after="249"/>
        <w:jc w:val="center"/>
        <w:rPr>
          <w:rFonts w:eastAsiaTheme="minorEastAsia" w:cs="Times New Roman"/>
          <w:b/>
          <w:bCs/>
          <w:sz w:val="32"/>
          <w:szCs w:val="32"/>
        </w:rPr>
      </w:pPr>
      <w:bookmarkStart w:id="2" w:name="_Hlk132204002"/>
      <w:r w:rsidRPr="003922F9">
        <w:rPr>
          <w:rFonts w:eastAsiaTheme="minorEastAsia" w:cs="Times New Roman"/>
          <w:b/>
          <w:bCs/>
          <w:sz w:val="32"/>
          <w:szCs w:val="32"/>
        </w:rPr>
        <w:t>Continuous-wave room-temperature lasing from Bloch surface plasmon polaritons</w:t>
      </w:r>
    </w:p>
    <w:p w14:paraId="7225DFEE" w14:textId="05EB370D" w:rsidR="003922F9" w:rsidRDefault="003922F9" w:rsidP="003922F9">
      <w:pPr>
        <w:spacing w:after="249"/>
        <w:ind w:firstLineChars="0" w:firstLine="0"/>
        <w:jc w:val="center"/>
        <w:rPr>
          <w:rFonts w:eastAsia="等线"/>
        </w:rPr>
      </w:pPr>
      <w:r>
        <w:rPr>
          <w:rFonts w:eastAsia="等线" w:hint="eastAsia"/>
        </w:rPr>
        <w:t>Peng Sun</w:t>
      </w:r>
      <w:r w:rsidRPr="001B663A">
        <w:rPr>
          <w:rFonts w:eastAsia="等线" w:hint="eastAsia"/>
          <w:vertAlign w:val="superscript"/>
        </w:rPr>
        <w:t>1</w:t>
      </w:r>
      <w:r>
        <w:rPr>
          <w:rFonts w:eastAsia="等线"/>
          <w:vertAlign w:val="superscript"/>
        </w:rPr>
        <w:t xml:space="preserve">, </w:t>
      </w:r>
      <w:r>
        <w:rPr>
          <w:rFonts w:eastAsia="等线" w:hint="eastAsia"/>
          <w:vertAlign w:val="superscript"/>
        </w:rPr>
        <w:t>#</w:t>
      </w:r>
      <w:r>
        <w:rPr>
          <w:rFonts w:eastAsia="等线" w:hint="eastAsia"/>
        </w:rPr>
        <w:t>, Pei-Wei Si</w:t>
      </w:r>
      <w:r w:rsidRPr="007B3863">
        <w:rPr>
          <w:rFonts w:eastAsia="等线" w:hint="eastAsia"/>
          <w:vertAlign w:val="superscript"/>
        </w:rPr>
        <w:t>2</w:t>
      </w:r>
      <w:r>
        <w:rPr>
          <w:rFonts w:eastAsia="等线" w:hint="eastAsia"/>
          <w:vertAlign w:val="superscript"/>
        </w:rPr>
        <w:t>,</w:t>
      </w:r>
      <w:r>
        <w:rPr>
          <w:rFonts w:eastAsia="等线"/>
          <w:vertAlign w:val="superscript"/>
        </w:rPr>
        <w:t xml:space="preserve"> </w:t>
      </w:r>
      <w:r>
        <w:rPr>
          <w:rFonts w:eastAsia="等线" w:hint="eastAsia"/>
          <w:vertAlign w:val="superscript"/>
        </w:rPr>
        <w:t>#</w:t>
      </w:r>
      <w:r>
        <w:rPr>
          <w:rFonts w:eastAsia="等线" w:hint="eastAsia"/>
        </w:rPr>
        <w:t>, Yao Yang</w:t>
      </w:r>
      <w:r>
        <w:rPr>
          <w:rFonts w:eastAsia="等线" w:hint="eastAsia"/>
          <w:vertAlign w:val="superscript"/>
        </w:rPr>
        <w:t>1</w:t>
      </w:r>
      <w:r>
        <w:rPr>
          <w:rFonts w:eastAsia="等线" w:hint="eastAsia"/>
        </w:rPr>
        <w:t>, Sen Yan</w:t>
      </w:r>
      <w:r>
        <w:rPr>
          <w:rFonts w:eastAsia="等线"/>
          <w:vertAlign w:val="superscript"/>
        </w:rPr>
        <w:t>3</w:t>
      </w:r>
      <w:r>
        <w:rPr>
          <w:rFonts w:eastAsia="等线" w:hint="eastAsia"/>
        </w:rPr>
        <w:t>, Yi-Cheng Xu</w:t>
      </w:r>
      <w:r w:rsidRPr="00B95783">
        <w:rPr>
          <w:rFonts w:eastAsia="等线" w:hint="eastAsia"/>
          <w:vertAlign w:val="superscript"/>
        </w:rPr>
        <w:t>1</w:t>
      </w:r>
      <w:r>
        <w:rPr>
          <w:rFonts w:eastAsia="等线" w:hint="eastAsia"/>
        </w:rPr>
        <w:t>, Jin-Kun Li</w:t>
      </w:r>
      <w:r w:rsidRPr="00B95783">
        <w:rPr>
          <w:rFonts w:eastAsia="等线" w:hint="eastAsia"/>
          <w:vertAlign w:val="superscript"/>
        </w:rPr>
        <w:t>1</w:t>
      </w:r>
      <w:r>
        <w:rPr>
          <w:rFonts w:eastAsia="等线" w:hint="eastAsia"/>
        </w:rPr>
        <w:t xml:space="preserve">, </w:t>
      </w:r>
      <w:r>
        <w:rPr>
          <w:rFonts w:eastAsia="等线"/>
        </w:rPr>
        <w:t>Zhi-Peng Dong</w:t>
      </w:r>
      <w:r w:rsidRPr="00B95783">
        <w:rPr>
          <w:rFonts w:eastAsia="等线" w:hint="eastAsia"/>
          <w:vertAlign w:val="superscript"/>
        </w:rPr>
        <w:t>1</w:t>
      </w:r>
      <w:r>
        <w:rPr>
          <w:rFonts w:eastAsia="等线"/>
        </w:rPr>
        <w:t xml:space="preserve">, </w:t>
      </w:r>
      <w:r>
        <w:rPr>
          <w:rFonts w:eastAsia="等线" w:hint="eastAsia"/>
        </w:rPr>
        <w:t>Bo</w:t>
      </w:r>
      <w:r w:rsidR="00975155">
        <w:rPr>
          <w:rFonts w:eastAsia="等线" w:hint="eastAsia"/>
        </w:rPr>
        <w:t>w</w:t>
      </w:r>
      <w:r>
        <w:rPr>
          <w:rFonts w:eastAsia="等线" w:hint="eastAsia"/>
        </w:rPr>
        <w:t>en Liu</w:t>
      </w:r>
      <w:r w:rsidRPr="001B663A">
        <w:rPr>
          <w:rFonts w:eastAsia="等线" w:hint="eastAsia"/>
          <w:vertAlign w:val="superscript"/>
        </w:rPr>
        <w:t>2,</w:t>
      </w:r>
      <w:r>
        <w:rPr>
          <w:rFonts w:eastAsia="等线"/>
          <w:vertAlign w:val="superscript"/>
        </w:rPr>
        <w:t xml:space="preserve"> </w:t>
      </w:r>
      <w:r>
        <w:rPr>
          <w:rFonts w:eastAsia="等线" w:hint="eastAsia"/>
        </w:rPr>
        <w:t>*, and Jun Yi</w:t>
      </w:r>
      <w:r w:rsidRPr="001B663A">
        <w:rPr>
          <w:rFonts w:eastAsia="等线" w:hint="eastAsia"/>
          <w:vertAlign w:val="superscript"/>
        </w:rPr>
        <w:t>1,</w:t>
      </w:r>
      <w:r>
        <w:rPr>
          <w:rFonts w:eastAsia="等线"/>
          <w:vertAlign w:val="superscript"/>
        </w:rPr>
        <w:t xml:space="preserve"> </w:t>
      </w:r>
      <w:r>
        <w:rPr>
          <w:rFonts w:eastAsia="等线" w:hint="eastAsia"/>
        </w:rPr>
        <w:t>*</w:t>
      </w:r>
    </w:p>
    <w:p w14:paraId="67F6665C" w14:textId="77777777" w:rsidR="003922F9" w:rsidRDefault="003922F9" w:rsidP="003922F9">
      <w:pPr>
        <w:spacing w:after="249"/>
        <w:ind w:firstLineChars="0" w:firstLine="0"/>
        <w:jc w:val="center"/>
        <w:rPr>
          <w:rFonts w:eastAsia="等线"/>
        </w:rPr>
      </w:pPr>
    </w:p>
    <w:p w14:paraId="320C9AB5" w14:textId="77777777" w:rsidR="003922F9" w:rsidRPr="00026528" w:rsidRDefault="003922F9" w:rsidP="003922F9">
      <w:pPr>
        <w:spacing w:after="249"/>
        <w:ind w:firstLineChars="0" w:firstLine="0"/>
        <w:rPr>
          <w:rFonts w:eastAsia="等线"/>
        </w:rPr>
      </w:pPr>
      <w:r w:rsidRPr="0087338A">
        <w:rPr>
          <w:rFonts w:eastAsia="等线"/>
          <w:vertAlign w:val="superscript"/>
        </w:rPr>
        <w:t>1</w:t>
      </w:r>
      <w:r>
        <w:rPr>
          <w:rFonts w:eastAsia="等线" w:hint="eastAsia"/>
          <w:vertAlign w:val="superscript"/>
        </w:rPr>
        <w:t xml:space="preserve"> </w:t>
      </w:r>
      <w:r w:rsidRPr="0087338A">
        <w:rPr>
          <w:rFonts w:eastAsia="等线"/>
        </w:rPr>
        <w:t>School of Electronic Science and Engineering, State Key Laboratory of Physical Chemistry of Solid Surfaces,</w:t>
      </w:r>
      <w:r>
        <w:rPr>
          <w:rFonts w:eastAsia="等线" w:hint="eastAsia"/>
        </w:rPr>
        <w:t xml:space="preserve"> </w:t>
      </w:r>
      <w:r w:rsidRPr="000E0AE4">
        <w:rPr>
          <w:rFonts w:eastAsia="等线"/>
        </w:rPr>
        <w:t>Fujian Key</w:t>
      </w:r>
      <w:r>
        <w:rPr>
          <w:rFonts w:eastAsia="等线" w:hint="eastAsia"/>
        </w:rPr>
        <w:t xml:space="preserve"> </w:t>
      </w:r>
      <w:r w:rsidRPr="000E0AE4">
        <w:rPr>
          <w:rFonts w:eastAsia="等线"/>
        </w:rPr>
        <w:t>Laboratory of Ultrafast Laser Technology and Applications</w:t>
      </w:r>
      <w:r>
        <w:rPr>
          <w:rFonts w:eastAsia="等线" w:hint="eastAsia"/>
        </w:rPr>
        <w:t xml:space="preserve">, </w:t>
      </w:r>
      <w:r w:rsidRPr="00026528">
        <w:rPr>
          <w:rFonts w:eastAsia="等线"/>
        </w:rPr>
        <w:t xml:space="preserve">Chemistry, College of Chemistry and Chemical Engineering, </w:t>
      </w:r>
      <w:r w:rsidRPr="0087338A">
        <w:rPr>
          <w:rFonts w:eastAsia="等线"/>
        </w:rPr>
        <w:t xml:space="preserve">Xiamen University, Xiamen 361005, </w:t>
      </w:r>
      <w:r>
        <w:rPr>
          <w:rFonts w:eastAsia="等线" w:hint="eastAsia"/>
        </w:rPr>
        <w:t xml:space="preserve">P. R. </w:t>
      </w:r>
      <w:r w:rsidRPr="0087338A">
        <w:rPr>
          <w:rFonts w:eastAsia="等线"/>
        </w:rPr>
        <w:t>China</w:t>
      </w:r>
    </w:p>
    <w:p w14:paraId="2897E54D" w14:textId="77777777" w:rsidR="003922F9" w:rsidRDefault="003922F9" w:rsidP="003922F9">
      <w:pPr>
        <w:spacing w:after="249"/>
        <w:ind w:firstLineChars="0" w:firstLine="0"/>
        <w:rPr>
          <w:rFonts w:eastAsia="等线"/>
        </w:rPr>
      </w:pPr>
      <w:r w:rsidRPr="0087338A">
        <w:rPr>
          <w:rFonts w:eastAsia="等线"/>
          <w:vertAlign w:val="superscript"/>
        </w:rPr>
        <w:t>2</w:t>
      </w:r>
      <w:bookmarkEnd w:id="2"/>
      <w:r w:rsidRPr="00E04723">
        <w:t xml:space="preserve"> </w:t>
      </w:r>
      <w:r w:rsidRPr="000D5FDE">
        <w:rPr>
          <w:rFonts w:eastAsia="等线"/>
        </w:rPr>
        <w:t>College of Chemistry and Chemical Engineering, Lanzhou University, Lanzhou 730000, China</w:t>
      </w:r>
    </w:p>
    <w:p w14:paraId="664482C0" w14:textId="77777777" w:rsidR="003922F9" w:rsidRPr="0087338A" w:rsidRDefault="003922F9" w:rsidP="003922F9">
      <w:pPr>
        <w:spacing w:after="249"/>
        <w:ind w:firstLineChars="0" w:firstLine="0"/>
        <w:jc w:val="left"/>
        <w:rPr>
          <w:rFonts w:eastAsia="等线"/>
        </w:rPr>
      </w:pPr>
      <w:r w:rsidRPr="0087338A">
        <w:rPr>
          <w:rFonts w:eastAsia="等线"/>
          <w:vertAlign w:val="superscript"/>
        </w:rPr>
        <w:t xml:space="preserve"># </w:t>
      </w:r>
      <w:r w:rsidRPr="0087338A">
        <w:rPr>
          <w:rFonts w:eastAsia="等线"/>
        </w:rPr>
        <w:t>These authors contribute equally to this work</w:t>
      </w:r>
    </w:p>
    <w:p w14:paraId="6D590066" w14:textId="736AC6A7" w:rsidR="003922F9" w:rsidRPr="003922F9" w:rsidRDefault="003922F9" w:rsidP="003922F9">
      <w:pPr>
        <w:spacing w:after="249"/>
        <w:ind w:firstLineChars="0" w:firstLine="0"/>
        <w:jc w:val="left"/>
        <w:rPr>
          <w:rStyle w:val="af"/>
          <w:rFonts w:eastAsia="等线"/>
          <w:color w:val="000000" w:themeColor="text1"/>
          <w:u w:val="none"/>
        </w:rPr>
      </w:pPr>
      <w:r w:rsidRPr="0087338A">
        <w:rPr>
          <w:rFonts w:eastAsia="等线"/>
        </w:rPr>
        <w:t>*</w:t>
      </w:r>
      <w:r w:rsidRPr="00850385">
        <w:rPr>
          <w:rFonts w:eastAsia="等线"/>
          <w:sz w:val="21"/>
          <w:szCs w:val="20"/>
        </w:rPr>
        <w:t xml:space="preserve"> </w:t>
      </w:r>
      <w:r w:rsidRPr="0087338A">
        <w:rPr>
          <w:rFonts w:eastAsia="等线"/>
        </w:rPr>
        <w:t xml:space="preserve">Correspondence to: </w:t>
      </w:r>
      <w:hyperlink r:id="rId8" w:history="1">
        <w:r w:rsidRPr="002330B7">
          <w:rPr>
            <w:rStyle w:val="af"/>
            <w:rFonts w:eastAsia="等线" w:hint="eastAsia"/>
          </w:rPr>
          <w:t>junyi</w:t>
        </w:r>
        <w:r w:rsidRPr="002330B7">
          <w:rPr>
            <w:rStyle w:val="af"/>
            <w:rFonts w:eastAsia="等线"/>
          </w:rPr>
          <w:t>@xmu.edu.cn</w:t>
        </w:r>
      </w:hyperlink>
      <w:r>
        <w:rPr>
          <w:rFonts w:eastAsiaTheme="minorEastAsia" w:hint="eastAsia"/>
        </w:rPr>
        <w:t xml:space="preserve"> (J. Yi)</w:t>
      </w:r>
      <w:r w:rsidRPr="003922F9">
        <w:rPr>
          <w:rStyle w:val="af"/>
          <w:rFonts w:eastAsia="等线" w:hint="eastAsia"/>
          <w:color w:val="000000" w:themeColor="text1"/>
          <w:u w:val="none"/>
        </w:rPr>
        <w:t xml:space="preserve">; </w:t>
      </w:r>
      <w:hyperlink r:id="rId9" w:history="1">
        <w:r w:rsidRPr="00F372D0">
          <w:rPr>
            <w:rStyle w:val="af"/>
          </w:rPr>
          <w:t>lbw@lzu.edu.cn</w:t>
        </w:r>
      </w:hyperlink>
      <w:r w:rsidRPr="00850385">
        <w:rPr>
          <w:rStyle w:val="af"/>
          <w:rFonts w:eastAsia="等线" w:hint="eastAsia"/>
        </w:rPr>
        <w:t xml:space="preserve"> </w:t>
      </w:r>
      <w:r w:rsidRPr="003922F9">
        <w:rPr>
          <w:rStyle w:val="af"/>
          <w:rFonts w:eastAsia="等线" w:hint="eastAsia"/>
          <w:color w:val="000000" w:themeColor="text1"/>
          <w:u w:val="none"/>
        </w:rPr>
        <w:t xml:space="preserve">(B. Liu) </w:t>
      </w:r>
    </w:p>
    <w:p w14:paraId="47708CF9" w14:textId="5280FB6C" w:rsidR="002C440F" w:rsidRPr="002C440F" w:rsidRDefault="002C440F" w:rsidP="00C122AE">
      <w:pPr>
        <w:spacing w:after="249"/>
        <w:ind w:firstLineChars="0" w:firstLine="0"/>
        <w:rPr>
          <w:rFonts w:cs="Times New Roman"/>
        </w:rPr>
      </w:pPr>
    </w:p>
    <w:p w14:paraId="3E876065" w14:textId="62E18087" w:rsidR="002C440F" w:rsidRPr="003922F9" w:rsidRDefault="002C440F" w:rsidP="003922F9">
      <w:pPr>
        <w:spacing w:after="249"/>
        <w:ind w:firstLineChars="0" w:firstLine="0"/>
        <w:rPr>
          <w:rFonts w:eastAsiaTheme="minorEastAsia" w:cs="Times New Roman"/>
        </w:rPr>
      </w:pPr>
    </w:p>
    <w:p w14:paraId="3E3920EB" w14:textId="103DB507" w:rsidR="000D5BE4" w:rsidRDefault="000D5BE4" w:rsidP="001B458F">
      <w:pPr>
        <w:spacing w:after="249"/>
        <w:ind w:firstLineChars="0" w:firstLine="0"/>
        <w:rPr>
          <w:rFonts w:eastAsia="等线" w:cs="Times New Roman"/>
          <w:b/>
          <w:bCs/>
          <w:szCs w:val="24"/>
        </w:rPr>
      </w:pPr>
    </w:p>
    <w:p w14:paraId="2A4C0369" w14:textId="6DD27756" w:rsidR="000D5BE4" w:rsidRPr="000D5BE4" w:rsidRDefault="000D5BE4" w:rsidP="00C122AE">
      <w:pPr>
        <w:spacing w:after="249"/>
        <w:ind w:firstLineChars="0" w:firstLine="0"/>
        <w:rPr>
          <w:rFonts w:eastAsia="等线" w:cs="Times New Roman"/>
          <w:b/>
          <w:bCs/>
          <w:szCs w:val="24"/>
        </w:rPr>
      </w:pPr>
      <w:r w:rsidRPr="000D5BE4">
        <w:rPr>
          <w:rFonts w:eastAsia="等线" w:cs="Times New Roman"/>
          <w:b/>
          <w:bCs/>
          <w:szCs w:val="24"/>
        </w:rPr>
        <w:t xml:space="preserve">This supplementary information includes: </w:t>
      </w:r>
    </w:p>
    <w:p w14:paraId="64BC3DB8" w14:textId="37E9D4E1" w:rsidR="00D53CAD" w:rsidRPr="000D5BE4" w:rsidRDefault="00D53CAD" w:rsidP="00C122AE">
      <w:pPr>
        <w:spacing w:after="249"/>
        <w:ind w:firstLineChars="0" w:firstLine="0"/>
        <w:rPr>
          <w:rFonts w:eastAsia="等线" w:cs="Times New Roman"/>
          <w:szCs w:val="24"/>
        </w:rPr>
      </w:pPr>
      <w:r w:rsidRPr="000D5BE4">
        <w:rPr>
          <w:rFonts w:eastAsia="等线" w:cs="Times New Roman"/>
          <w:szCs w:val="24"/>
        </w:rPr>
        <w:t>Supplementary Note 1</w:t>
      </w:r>
      <w:r w:rsidR="00646B29">
        <w:rPr>
          <w:rFonts w:eastAsia="等线" w:cs="Times New Roman"/>
          <w:szCs w:val="24"/>
        </w:rPr>
        <w:t xml:space="preserve"> </w:t>
      </w:r>
      <w:r w:rsidRPr="000D5BE4">
        <w:rPr>
          <w:rFonts w:eastAsia="等线" w:cs="Times New Roman"/>
          <w:szCs w:val="24"/>
        </w:rPr>
        <w:t>-</w:t>
      </w:r>
      <w:r w:rsidR="00646B29">
        <w:rPr>
          <w:rFonts w:eastAsia="等线" w:cs="Times New Roman"/>
          <w:szCs w:val="24"/>
        </w:rPr>
        <w:t xml:space="preserve"> 9</w:t>
      </w:r>
      <w:r w:rsidRPr="000D5BE4">
        <w:rPr>
          <w:rFonts w:eastAsia="等线" w:cs="Times New Roman"/>
          <w:szCs w:val="24"/>
        </w:rPr>
        <w:t xml:space="preserve"> </w:t>
      </w:r>
    </w:p>
    <w:p w14:paraId="412B9562" w14:textId="5B4505E0" w:rsidR="000D5BE4" w:rsidRPr="000D5BE4" w:rsidRDefault="000D5BE4" w:rsidP="00C122AE">
      <w:pPr>
        <w:spacing w:after="249"/>
        <w:ind w:firstLineChars="0" w:firstLine="0"/>
        <w:rPr>
          <w:rFonts w:eastAsia="等线" w:cs="Times New Roman"/>
          <w:szCs w:val="24"/>
        </w:rPr>
      </w:pPr>
      <w:r w:rsidRPr="000D5BE4">
        <w:rPr>
          <w:rFonts w:eastAsia="等线" w:cs="Times New Roman"/>
          <w:szCs w:val="24"/>
        </w:rPr>
        <w:t>Supplementary Fig. 1</w:t>
      </w:r>
      <w:r w:rsidR="00646B29">
        <w:rPr>
          <w:rFonts w:eastAsia="等线" w:cs="Times New Roman"/>
          <w:szCs w:val="24"/>
        </w:rPr>
        <w:t xml:space="preserve"> </w:t>
      </w:r>
      <w:r w:rsidRPr="000D5BE4">
        <w:rPr>
          <w:rFonts w:eastAsia="等线" w:cs="Times New Roman"/>
          <w:szCs w:val="24"/>
        </w:rPr>
        <w:t>-</w:t>
      </w:r>
      <w:r w:rsidR="00646B29">
        <w:rPr>
          <w:rFonts w:eastAsia="等线" w:cs="Times New Roman"/>
          <w:szCs w:val="24"/>
        </w:rPr>
        <w:t xml:space="preserve"> </w:t>
      </w:r>
      <w:r w:rsidRPr="000D5BE4">
        <w:rPr>
          <w:rFonts w:eastAsia="等线" w:cs="Times New Roman"/>
          <w:szCs w:val="24"/>
        </w:rPr>
        <w:t>1</w:t>
      </w:r>
      <w:r w:rsidR="00646B29">
        <w:rPr>
          <w:rFonts w:eastAsia="等线" w:cs="Times New Roman"/>
          <w:szCs w:val="24"/>
        </w:rPr>
        <w:t>7</w:t>
      </w:r>
      <w:r w:rsidRPr="000D5BE4">
        <w:rPr>
          <w:rFonts w:eastAsia="等线" w:cs="Times New Roman"/>
          <w:szCs w:val="24"/>
        </w:rPr>
        <w:t xml:space="preserve"> </w:t>
      </w:r>
    </w:p>
    <w:p w14:paraId="01CC4333" w14:textId="77777777" w:rsidR="001B458F" w:rsidRDefault="00DB751D">
      <w:pPr>
        <w:widowControl/>
        <w:spacing w:after="249"/>
        <w:ind w:firstLine="643"/>
        <w:rPr>
          <w:rFonts w:cs="Times New Roman"/>
          <w:b/>
          <w:bCs/>
          <w:kern w:val="28"/>
          <w:sz w:val="32"/>
          <w:szCs w:val="32"/>
        </w:rPr>
      </w:pPr>
      <w:r>
        <w:rPr>
          <w:rFonts w:cs="Times New Roman"/>
          <w:b/>
          <w:bCs/>
          <w:kern w:val="28"/>
          <w:sz w:val="32"/>
          <w:szCs w:val="32"/>
        </w:rPr>
        <w:br w:type="page"/>
      </w:r>
    </w:p>
    <w:sdt>
      <w:sdtPr>
        <w:rPr>
          <w:lang w:val="zh-CN"/>
        </w:rPr>
        <w:id w:val="-1819645513"/>
        <w:docPartObj>
          <w:docPartGallery w:val="Table of Contents"/>
          <w:docPartUnique/>
        </w:docPartObj>
      </w:sdtPr>
      <w:sdtEndPr>
        <w:rPr>
          <w:b/>
          <w:bCs/>
        </w:rPr>
      </w:sdtEndPr>
      <w:sdtContent>
        <w:p w14:paraId="455429CE" w14:textId="77777777" w:rsidR="00500169" w:rsidRDefault="00500169" w:rsidP="00500169">
          <w:pPr>
            <w:spacing w:after="249"/>
            <w:ind w:firstLine="480"/>
            <w:jc w:val="center"/>
            <w:rPr>
              <w:rFonts w:eastAsia="Arial Unicode MS" w:cs="Times New Roman"/>
              <w:b/>
              <w:bCs/>
              <w:sz w:val="28"/>
              <w:szCs w:val="28"/>
            </w:rPr>
          </w:pPr>
          <w:r w:rsidRPr="00500169">
            <w:rPr>
              <w:rFonts w:eastAsia="Arial Unicode MS" w:cs="Times New Roman"/>
              <w:b/>
              <w:bCs/>
              <w:sz w:val="28"/>
              <w:szCs w:val="28"/>
            </w:rPr>
            <w:t>Table of Contents</w:t>
          </w:r>
        </w:p>
        <w:p w14:paraId="0FBF4DC4" w14:textId="65FD668D" w:rsidR="001B458F" w:rsidRPr="00500169" w:rsidRDefault="001B458F" w:rsidP="00500169">
          <w:pPr>
            <w:spacing w:after="249"/>
            <w:ind w:firstLine="440"/>
            <w:jc w:val="center"/>
            <w:rPr>
              <w:rFonts w:cs="Times New Roman"/>
              <w:b/>
              <w:bCs/>
              <w:noProof/>
              <w:sz w:val="22"/>
              <w:szCs w:val="21"/>
            </w:rPr>
          </w:pPr>
          <w:r w:rsidRPr="001B458F">
            <w:rPr>
              <w:sz w:val="22"/>
              <w:szCs w:val="21"/>
            </w:rPr>
            <w:fldChar w:fldCharType="begin"/>
          </w:r>
          <w:r w:rsidRPr="001B458F">
            <w:rPr>
              <w:sz w:val="22"/>
              <w:szCs w:val="21"/>
            </w:rPr>
            <w:instrText xml:space="preserve"> TOC \o "1-3" \h \z \u </w:instrText>
          </w:r>
          <w:r w:rsidRPr="001B458F">
            <w:rPr>
              <w:sz w:val="22"/>
              <w:szCs w:val="21"/>
            </w:rPr>
            <w:fldChar w:fldCharType="separate"/>
          </w:r>
        </w:p>
        <w:p w14:paraId="39170409" w14:textId="32C96B88" w:rsidR="001B458F" w:rsidRPr="001B458F" w:rsidRDefault="001B458F" w:rsidP="001B458F">
          <w:pPr>
            <w:pStyle w:val="TOC2"/>
            <w:tabs>
              <w:tab w:val="right" w:leader="dot" w:pos="8296"/>
            </w:tabs>
            <w:spacing w:after="249"/>
            <w:ind w:leftChars="0" w:left="0" w:firstLineChars="0" w:firstLine="0"/>
            <w:rPr>
              <w:rFonts w:asciiTheme="minorHAnsi" w:eastAsiaTheme="minorEastAsia" w:hAnsiTheme="minorHAnsi"/>
              <w:noProof/>
              <w:sz w:val="20"/>
              <w:szCs w:val="21"/>
            </w:rPr>
          </w:pPr>
          <w:hyperlink w:anchor="_Toc218536494" w:history="1">
            <w:r w:rsidRPr="001B458F">
              <w:rPr>
                <w:rStyle w:val="af"/>
                <w:rFonts w:cs="Times New Roman"/>
                <w:noProof/>
                <w:sz w:val="22"/>
                <w:szCs w:val="21"/>
              </w:rPr>
              <w:t>Supplementary Note 1: Sample fabrication and characterization</w:t>
            </w:r>
            <w:r w:rsidRPr="001B458F">
              <w:rPr>
                <w:noProof/>
                <w:webHidden/>
                <w:sz w:val="22"/>
                <w:szCs w:val="21"/>
              </w:rPr>
              <w:tab/>
            </w:r>
            <w:r w:rsidRPr="001B458F">
              <w:rPr>
                <w:noProof/>
                <w:webHidden/>
                <w:sz w:val="22"/>
                <w:szCs w:val="21"/>
              </w:rPr>
              <w:fldChar w:fldCharType="begin"/>
            </w:r>
            <w:r w:rsidRPr="001B458F">
              <w:rPr>
                <w:noProof/>
                <w:webHidden/>
                <w:sz w:val="22"/>
                <w:szCs w:val="21"/>
              </w:rPr>
              <w:instrText xml:space="preserve"> PAGEREF _Toc218536494 \h </w:instrText>
            </w:r>
            <w:r w:rsidRPr="001B458F">
              <w:rPr>
                <w:noProof/>
                <w:webHidden/>
                <w:sz w:val="22"/>
                <w:szCs w:val="21"/>
              </w:rPr>
            </w:r>
            <w:r w:rsidRPr="001B458F">
              <w:rPr>
                <w:noProof/>
                <w:webHidden/>
                <w:sz w:val="22"/>
                <w:szCs w:val="21"/>
              </w:rPr>
              <w:fldChar w:fldCharType="separate"/>
            </w:r>
            <w:r w:rsidR="00594F4E">
              <w:rPr>
                <w:noProof/>
                <w:webHidden/>
                <w:sz w:val="22"/>
                <w:szCs w:val="21"/>
              </w:rPr>
              <w:t>3</w:t>
            </w:r>
            <w:r w:rsidRPr="001B458F">
              <w:rPr>
                <w:noProof/>
                <w:webHidden/>
                <w:sz w:val="22"/>
                <w:szCs w:val="21"/>
              </w:rPr>
              <w:fldChar w:fldCharType="end"/>
            </w:r>
          </w:hyperlink>
        </w:p>
        <w:p w14:paraId="4302B113" w14:textId="49B6469B" w:rsidR="001B458F" w:rsidRPr="001B458F" w:rsidRDefault="001B458F" w:rsidP="001B458F">
          <w:pPr>
            <w:pStyle w:val="TOC2"/>
            <w:tabs>
              <w:tab w:val="right" w:leader="dot" w:pos="8296"/>
            </w:tabs>
            <w:spacing w:after="249"/>
            <w:ind w:leftChars="0" w:left="0" w:firstLineChars="0" w:firstLine="0"/>
            <w:rPr>
              <w:rFonts w:asciiTheme="minorHAnsi" w:eastAsiaTheme="minorEastAsia" w:hAnsiTheme="minorHAnsi"/>
              <w:noProof/>
              <w:sz w:val="20"/>
              <w:szCs w:val="21"/>
            </w:rPr>
          </w:pPr>
          <w:hyperlink w:anchor="_Toc218536495" w:history="1">
            <w:r w:rsidRPr="001B458F">
              <w:rPr>
                <w:rStyle w:val="af"/>
                <w:rFonts w:cs="Times New Roman"/>
                <w:noProof/>
                <w:sz w:val="22"/>
                <w:szCs w:val="21"/>
              </w:rPr>
              <w:t>Supplementary Note 2: Measurement of angle-resolved spectra</w:t>
            </w:r>
            <w:r w:rsidRPr="001B458F">
              <w:rPr>
                <w:noProof/>
                <w:webHidden/>
                <w:sz w:val="22"/>
                <w:szCs w:val="21"/>
              </w:rPr>
              <w:tab/>
            </w:r>
            <w:r w:rsidRPr="001B458F">
              <w:rPr>
                <w:noProof/>
                <w:webHidden/>
                <w:sz w:val="22"/>
                <w:szCs w:val="21"/>
              </w:rPr>
              <w:fldChar w:fldCharType="begin"/>
            </w:r>
            <w:r w:rsidRPr="001B458F">
              <w:rPr>
                <w:noProof/>
                <w:webHidden/>
                <w:sz w:val="22"/>
                <w:szCs w:val="21"/>
              </w:rPr>
              <w:instrText xml:space="preserve"> PAGEREF _Toc218536495 \h </w:instrText>
            </w:r>
            <w:r w:rsidRPr="001B458F">
              <w:rPr>
                <w:noProof/>
                <w:webHidden/>
                <w:sz w:val="22"/>
                <w:szCs w:val="21"/>
              </w:rPr>
            </w:r>
            <w:r w:rsidRPr="001B458F">
              <w:rPr>
                <w:noProof/>
                <w:webHidden/>
                <w:sz w:val="22"/>
                <w:szCs w:val="21"/>
              </w:rPr>
              <w:fldChar w:fldCharType="separate"/>
            </w:r>
            <w:r w:rsidR="00594F4E">
              <w:rPr>
                <w:noProof/>
                <w:webHidden/>
                <w:sz w:val="22"/>
                <w:szCs w:val="21"/>
              </w:rPr>
              <w:t>10</w:t>
            </w:r>
            <w:r w:rsidRPr="001B458F">
              <w:rPr>
                <w:noProof/>
                <w:webHidden/>
                <w:sz w:val="22"/>
                <w:szCs w:val="21"/>
              </w:rPr>
              <w:fldChar w:fldCharType="end"/>
            </w:r>
          </w:hyperlink>
        </w:p>
        <w:p w14:paraId="594FFDA4" w14:textId="012C983C" w:rsidR="001B458F" w:rsidRPr="001B458F" w:rsidRDefault="001B458F" w:rsidP="001B458F">
          <w:pPr>
            <w:pStyle w:val="TOC2"/>
            <w:tabs>
              <w:tab w:val="right" w:leader="dot" w:pos="8296"/>
            </w:tabs>
            <w:spacing w:after="249"/>
            <w:ind w:leftChars="0" w:left="0" w:firstLineChars="0" w:firstLine="0"/>
            <w:rPr>
              <w:rFonts w:asciiTheme="minorHAnsi" w:eastAsiaTheme="minorEastAsia" w:hAnsiTheme="minorHAnsi"/>
              <w:noProof/>
              <w:sz w:val="20"/>
              <w:szCs w:val="21"/>
            </w:rPr>
          </w:pPr>
          <w:hyperlink w:anchor="_Toc218536496" w:history="1">
            <w:r w:rsidRPr="001B458F">
              <w:rPr>
                <w:rStyle w:val="af"/>
                <w:rFonts w:cs="Times New Roman"/>
                <w:noProof/>
                <w:sz w:val="22"/>
                <w:szCs w:val="21"/>
              </w:rPr>
              <w:t>Supplementary Note 3: Measurement of threshold of emitted laser</w:t>
            </w:r>
            <w:r w:rsidRPr="001B458F">
              <w:rPr>
                <w:noProof/>
                <w:webHidden/>
                <w:sz w:val="22"/>
                <w:szCs w:val="21"/>
              </w:rPr>
              <w:tab/>
            </w:r>
            <w:r w:rsidRPr="001B458F">
              <w:rPr>
                <w:noProof/>
                <w:webHidden/>
                <w:sz w:val="22"/>
                <w:szCs w:val="21"/>
              </w:rPr>
              <w:fldChar w:fldCharType="begin"/>
            </w:r>
            <w:r w:rsidRPr="001B458F">
              <w:rPr>
                <w:noProof/>
                <w:webHidden/>
                <w:sz w:val="22"/>
                <w:szCs w:val="21"/>
              </w:rPr>
              <w:instrText xml:space="preserve"> PAGEREF _Toc218536496 \h </w:instrText>
            </w:r>
            <w:r w:rsidRPr="001B458F">
              <w:rPr>
                <w:noProof/>
                <w:webHidden/>
                <w:sz w:val="22"/>
                <w:szCs w:val="21"/>
              </w:rPr>
            </w:r>
            <w:r w:rsidRPr="001B458F">
              <w:rPr>
                <w:noProof/>
                <w:webHidden/>
                <w:sz w:val="22"/>
                <w:szCs w:val="21"/>
              </w:rPr>
              <w:fldChar w:fldCharType="separate"/>
            </w:r>
            <w:r w:rsidR="00594F4E">
              <w:rPr>
                <w:noProof/>
                <w:webHidden/>
                <w:sz w:val="22"/>
                <w:szCs w:val="21"/>
              </w:rPr>
              <w:t>14</w:t>
            </w:r>
            <w:r w:rsidRPr="001B458F">
              <w:rPr>
                <w:noProof/>
                <w:webHidden/>
                <w:sz w:val="22"/>
                <w:szCs w:val="21"/>
              </w:rPr>
              <w:fldChar w:fldCharType="end"/>
            </w:r>
          </w:hyperlink>
        </w:p>
        <w:p w14:paraId="6CC27150" w14:textId="2DAC02D6" w:rsidR="001B458F" w:rsidRPr="001B458F" w:rsidRDefault="001B458F" w:rsidP="001B458F">
          <w:pPr>
            <w:pStyle w:val="TOC2"/>
            <w:tabs>
              <w:tab w:val="right" w:leader="dot" w:pos="8296"/>
            </w:tabs>
            <w:spacing w:after="249"/>
            <w:ind w:leftChars="0" w:left="0" w:firstLineChars="0" w:firstLine="0"/>
            <w:rPr>
              <w:rFonts w:asciiTheme="minorHAnsi" w:eastAsiaTheme="minorEastAsia" w:hAnsiTheme="minorHAnsi"/>
              <w:noProof/>
              <w:sz w:val="20"/>
              <w:szCs w:val="21"/>
            </w:rPr>
          </w:pPr>
          <w:hyperlink w:anchor="_Toc218536497" w:history="1">
            <w:r w:rsidRPr="001B458F">
              <w:rPr>
                <w:rStyle w:val="af"/>
                <w:rFonts w:cs="Times New Roman"/>
                <w:noProof/>
                <w:sz w:val="22"/>
                <w:szCs w:val="21"/>
              </w:rPr>
              <w:t xml:space="preserve">Supplementary Note 4: First-order </w:t>
            </w:r>
            <w:r w:rsidR="004E55AE">
              <w:rPr>
                <w:rStyle w:val="af"/>
                <w:rFonts w:eastAsiaTheme="minorEastAsia" w:cs="Times New Roman" w:hint="eastAsia"/>
                <w:noProof/>
                <w:sz w:val="22"/>
                <w:szCs w:val="21"/>
              </w:rPr>
              <w:t>temporal</w:t>
            </w:r>
            <w:r w:rsidRPr="001B458F">
              <w:rPr>
                <w:rStyle w:val="af"/>
                <w:rFonts w:cs="Times New Roman"/>
                <w:noProof/>
                <w:sz w:val="22"/>
                <w:szCs w:val="21"/>
              </w:rPr>
              <w:t xml:space="preserve"> coherence</w:t>
            </w:r>
            <w:r w:rsidRPr="001B458F">
              <w:rPr>
                <w:noProof/>
                <w:webHidden/>
                <w:sz w:val="22"/>
                <w:szCs w:val="21"/>
              </w:rPr>
              <w:tab/>
            </w:r>
            <w:r w:rsidRPr="001B458F">
              <w:rPr>
                <w:noProof/>
                <w:webHidden/>
                <w:sz w:val="22"/>
                <w:szCs w:val="21"/>
              </w:rPr>
              <w:fldChar w:fldCharType="begin"/>
            </w:r>
            <w:r w:rsidRPr="001B458F">
              <w:rPr>
                <w:noProof/>
                <w:webHidden/>
                <w:sz w:val="22"/>
                <w:szCs w:val="21"/>
              </w:rPr>
              <w:instrText xml:space="preserve"> PAGEREF _Toc218536497 \h </w:instrText>
            </w:r>
            <w:r w:rsidRPr="001B458F">
              <w:rPr>
                <w:noProof/>
                <w:webHidden/>
                <w:sz w:val="22"/>
                <w:szCs w:val="21"/>
              </w:rPr>
            </w:r>
            <w:r w:rsidRPr="001B458F">
              <w:rPr>
                <w:noProof/>
                <w:webHidden/>
                <w:sz w:val="22"/>
                <w:szCs w:val="21"/>
              </w:rPr>
              <w:fldChar w:fldCharType="separate"/>
            </w:r>
            <w:r w:rsidR="00594F4E">
              <w:rPr>
                <w:noProof/>
                <w:webHidden/>
                <w:sz w:val="22"/>
                <w:szCs w:val="21"/>
              </w:rPr>
              <w:t>17</w:t>
            </w:r>
            <w:r w:rsidRPr="001B458F">
              <w:rPr>
                <w:noProof/>
                <w:webHidden/>
                <w:sz w:val="22"/>
                <w:szCs w:val="21"/>
              </w:rPr>
              <w:fldChar w:fldCharType="end"/>
            </w:r>
          </w:hyperlink>
        </w:p>
        <w:p w14:paraId="7A820A1D" w14:textId="796C7BE7" w:rsidR="001B458F" w:rsidRPr="001B458F" w:rsidRDefault="001B458F" w:rsidP="001B458F">
          <w:pPr>
            <w:pStyle w:val="TOC3"/>
            <w:tabs>
              <w:tab w:val="right" w:leader="dot" w:pos="8296"/>
            </w:tabs>
            <w:spacing w:after="249"/>
            <w:ind w:leftChars="0" w:left="0" w:firstLineChars="0" w:firstLine="0"/>
            <w:rPr>
              <w:rFonts w:asciiTheme="minorHAnsi" w:eastAsiaTheme="minorEastAsia" w:hAnsiTheme="minorHAnsi"/>
              <w:noProof/>
              <w:sz w:val="20"/>
              <w:szCs w:val="21"/>
            </w:rPr>
          </w:pPr>
          <w:hyperlink w:anchor="_Toc218536498" w:history="1">
            <w:r w:rsidRPr="001B458F">
              <w:rPr>
                <w:rStyle w:val="af"/>
                <w:noProof/>
                <w:sz w:val="22"/>
                <w:szCs w:val="21"/>
              </w:rPr>
              <w:t>Supplementary Note 5: Theoretical formulation of Surface Plasmon Lattice Resonances</w:t>
            </w:r>
            <w:r w:rsidRPr="001B458F">
              <w:rPr>
                <w:noProof/>
                <w:webHidden/>
                <w:sz w:val="22"/>
                <w:szCs w:val="21"/>
              </w:rPr>
              <w:tab/>
            </w:r>
            <w:r w:rsidRPr="001B458F">
              <w:rPr>
                <w:noProof/>
                <w:webHidden/>
                <w:sz w:val="22"/>
                <w:szCs w:val="21"/>
              </w:rPr>
              <w:fldChar w:fldCharType="begin"/>
            </w:r>
            <w:r w:rsidRPr="001B458F">
              <w:rPr>
                <w:noProof/>
                <w:webHidden/>
                <w:sz w:val="22"/>
                <w:szCs w:val="21"/>
              </w:rPr>
              <w:instrText xml:space="preserve"> PAGEREF _Toc218536498 \h </w:instrText>
            </w:r>
            <w:r w:rsidRPr="001B458F">
              <w:rPr>
                <w:noProof/>
                <w:webHidden/>
                <w:sz w:val="22"/>
                <w:szCs w:val="21"/>
              </w:rPr>
            </w:r>
            <w:r w:rsidRPr="001B458F">
              <w:rPr>
                <w:noProof/>
                <w:webHidden/>
                <w:sz w:val="22"/>
                <w:szCs w:val="21"/>
              </w:rPr>
              <w:fldChar w:fldCharType="separate"/>
            </w:r>
            <w:r w:rsidR="00594F4E">
              <w:rPr>
                <w:noProof/>
                <w:webHidden/>
                <w:sz w:val="22"/>
                <w:szCs w:val="21"/>
              </w:rPr>
              <w:t>20</w:t>
            </w:r>
            <w:r w:rsidRPr="001B458F">
              <w:rPr>
                <w:noProof/>
                <w:webHidden/>
                <w:sz w:val="22"/>
                <w:szCs w:val="21"/>
              </w:rPr>
              <w:fldChar w:fldCharType="end"/>
            </w:r>
          </w:hyperlink>
        </w:p>
        <w:p w14:paraId="69CAE4B5" w14:textId="3DED3A19" w:rsidR="001B458F" w:rsidRPr="001B458F" w:rsidRDefault="001B458F" w:rsidP="001B458F">
          <w:pPr>
            <w:pStyle w:val="TOC2"/>
            <w:tabs>
              <w:tab w:val="right" w:leader="dot" w:pos="8296"/>
            </w:tabs>
            <w:spacing w:after="249"/>
            <w:ind w:leftChars="0" w:left="0" w:firstLineChars="0" w:firstLine="0"/>
            <w:rPr>
              <w:rFonts w:asciiTheme="minorHAnsi" w:eastAsiaTheme="minorEastAsia" w:hAnsiTheme="minorHAnsi"/>
              <w:noProof/>
              <w:sz w:val="20"/>
              <w:szCs w:val="21"/>
            </w:rPr>
          </w:pPr>
          <w:hyperlink w:anchor="_Toc218536499" w:history="1">
            <w:r w:rsidRPr="001B458F">
              <w:rPr>
                <w:rStyle w:val="af"/>
                <w:rFonts w:cs="Times New Roman"/>
                <w:noProof/>
                <w:sz w:val="22"/>
                <w:szCs w:val="21"/>
              </w:rPr>
              <w:t xml:space="preserve">Supplementary Note 6: </w:t>
            </w:r>
            <w:r w:rsidR="00C75420">
              <w:rPr>
                <w:rStyle w:val="af"/>
                <w:rFonts w:eastAsiaTheme="minorEastAsia" w:cs="Times New Roman" w:hint="eastAsia"/>
                <w:noProof/>
                <w:sz w:val="22"/>
                <w:szCs w:val="21"/>
              </w:rPr>
              <w:t>B</w:t>
            </w:r>
            <w:r w:rsidRPr="001B458F">
              <w:rPr>
                <w:rStyle w:val="af"/>
                <w:rFonts w:cs="Times New Roman"/>
                <w:noProof/>
                <w:sz w:val="22"/>
                <w:szCs w:val="21"/>
              </w:rPr>
              <w:t>and structure of the Bloch SPP modes</w:t>
            </w:r>
            <w:r w:rsidRPr="001B458F">
              <w:rPr>
                <w:noProof/>
                <w:webHidden/>
                <w:sz w:val="22"/>
                <w:szCs w:val="21"/>
              </w:rPr>
              <w:tab/>
            </w:r>
            <w:r w:rsidRPr="001B458F">
              <w:rPr>
                <w:noProof/>
                <w:webHidden/>
                <w:sz w:val="22"/>
                <w:szCs w:val="21"/>
              </w:rPr>
              <w:fldChar w:fldCharType="begin"/>
            </w:r>
            <w:r w:rsidRPr="001B458F">
              <w:rPr>
                <w:noProof/>
                <w:webHidden/>
                <w:sz w:val="22"/>
                <w:szCs w:val="21"/>
              </w:rPr>
              <w:instrText xml:space="preserve"> PAGEREF _Toc218536499 \h </w:instrText>
            </w:r>
            <w:r w:rsidRPr="001B458F">
              <w:rPr>
                <w:noProof/>
                <w:webHidden/>
                <w:sz w:val="22"/>
                <w:szCs w:val="21"/>
              </w:rPr>
            </w:r>
            <w:r w:rsidRPr="001B458F">
              <w:rPr>
                <w:noProof/>
                <w:webHidden/>
                <w:sz w:val="22"/>
                <w:szCs w:val="21"/>
              </w:rPr>
              <w:fldChar w:fldCharType="separate"/>
            </w:r>
            <w:r w:rsidR="00594F4E">
              <w:rPr>
                <w:noProof/>
                <w:webHidden/>
                <w:sz w:val="22"/>
                <w:szCs w:val="21"/>
              </w:rPr>
              <w:t>23</w:t>
            </w:r>
            <w:r w:rsidRPr="001B458F">
              <w:rPr>
                <w:noProof/>
                <w:webHidden/>
                <w:sz w:val="22"/>
                <w:szCs w:val="21"/>
              </w:rPr>
              <w:fldChar w:fldCharType="end"/>
            </w:r>
          </w:hyperlink>
        </w:p>
        <w:p w14:paraId="27B4DC6E" w14:textId="6D43EF47" w:rsidR="001B458F" w:rsidRPr="001B458F" w:rsidRDefault="001B458F" w:rsidP="001B458F">
          <w:pPr>
            <w:pStyle w:val="TOC2"/>
            <w:tabs>
              <w:tab w:val="right" w:leader="dot" w:pos="8296"/>
            </w:tabs>
            <w:spacing w:after="249"/>
            <w:ind w:leftChars="0" w:left="0" w:firstLineChars="0" w:firstLine="0"/>
            <w:rPr>
              <w:rFonts w:asciiTheme="minorHAnsi" w:eastAsiaTheme="minorEastAsia" w:hAnsiTheme="minorHAnsi"/>
              <w:noProof/>
              <w:sz w:val="20"/>
              <w:szCs w:val="21"/>
            </w:rPr>
          </w:pPr>
          <w:hyperlink w:anchor="_Toc218536500" w:history="1">
            <w:r w:rsidRPr="001B458F">
              <w:rPr>
                <w:rStyle w:val="af"/>
                <w:rFonts w:cs="Times New Roman"/>
                <w:noProof/>
                <w:sz w:val="22"/>
                <w:szCs w:val="21"/>
              </w:rPr>
              <w:t>Supplementary Note 7: Dispersion characteristics of the lasing emission</w:t>
            </w:r>
            <w:r w:rsidRPr="001B458F">
              <w:rPr>
                <w:noProof/>
                <w:webHidden/>
                <w:sz w:val="22"/>
                <w:szCs w:val="21"/>
              </w:rPr>
              <w:tab/>
            </w:r>
            <w:r w:rsidRPr="001B458F">
              <w:rPr>
                <w:noProof/>
                <w:webHidden/>
                <w:sz w:val="22"/>
                <w:szCs w:val="21"/>
              </w:rPr>
              <w:fldChar w:fldCharType="begin"/>
            </w:r>
            <w:r w:rsidRPr="001B458F">
              <w:rPr>
                <w:noProof/>
                <w:webHidden/>
                <w:sz w:val="22"/>
                <w:szCs w:val="21"/>
              </w:rPr>
              <w:instrText xml:space="preserve"> PAGEREF _Toc218536500 \h </w:instrText>
            </w:r>
            <w:r w:rsidRPr="001B458F">
              <w:rPr>
                <w:noProof/>
                <w:webHidden/>
                <w:sz w:val="22"/>
                <w:szCs w:val="21"/>
              </w:rPr>
            </w:r>
            <w:r w:rsidRPr="001B458F">
              <w:rPr>
                <w:noProof/>
                <w:webHidden/>
                <w:sz w:val="22"/>
                <w:szCs w:val="21"/>
              </w:rPr>
              <w:fldChar w:fldCharType="separate"/>
            </w:r>
            <w:r w:rsidR="00594F4E">
              <w:rPr>
                <w:noProof/>
                <w:webHidden/>
                <w:sz w:val="22"/>
                <w:szCs w:val="21"/>
              </w:rPr>
              <w:t>26</w:t>
            </w:r>
            <w:r w:rsidRPr="001B458F">
              <w:rPr>
                <w:noProof/>
                <w:webHidden/>
                <w:sz w:val="22"/>
                <w:szCs w:val="21"/>
              </w:rPr>
              <w:fldChar w:fldCharType="end"/>
            </w:r>
          </w:hyperlink>
        </w:p>
        <w:p w14:paraId="60793848" w14:textId="36A29385" w:rsidR="001B458F" w:rsidRPr="001B458F" w:rsidRDefault="001B458F" w:rsidP="001B458F">
          <w:pPr>
            <w:pStyle w:val="TOC2"/>
            <w:tabs>
              <w:tab w:val="right" w:leader="dot" w:pos="8296"/>
            </w:tabs>
            <w:spacing w:after="249"/>
            <w:ind w:leftChars="0" w:left="0" w:firstLineChars="0" w:firstLine="0"/>
            <w:rPr>
              <w:rFonts w:asciiTheme="minorHAnsi" w:eastAsiaTheme="minorEastAsia" w:hAnsiTheme="minorHAnsi"/>
              <w:noProof/>
              <w:sz w:val="20"/>
              <w:szCs w:val="21"/>
            </w:rPr>
          </w:pPr>
          <w:hyperlink w:anchor="_Toc218536501" w:history="1">
            <w:r w:rsidRPr="001B458F">
              <w:rPr>
                <w:rStyle w:val="af"/>
                <w:rFonts w:cs="Times New Roman"/>
                <w:noProof/>
                <w:sz w:val="22"/>
                <w:szCs w:val="21"/>
              </w:rPr>
              <w:t>Supplementary Note 8: Far-field radiation patterns and diffraction orders</w:t>
            </w:r>
            <w:r w:rsidRPr="001B458F">
              <w:rPr>
                <w:noProof/>
                <w:webHidden/>
                <w:sz w:val="22"/>
                <w:szCs w:val="21"/>
              </w:rPr>
              <w:tab/>
            </w:r>
            <w:r w:rsidRPr="001B458F">
              <w:rPr>
                <w:noProof/>
                <w:webHidden/>
                <w:sz w:val="22"/>
                <w:szCs w:val="21"/>
              </w:rPr>
              <w:fldChar w:fldCharType="begin"/>
            </w:r>
            <w:r w:rsidRPr="001B458F">
              <w:rPr>
                <w:noProof/>
                <w:webHidden/>
                <w:sz w:val="22"/>
                <w:szCs w:val="21"/>
              </w:rPr>
              <w:instrText xml:space="preserve"> PAGEREF _Toc218536501 \h </w:instrText>
            </w:r>
            <w:r w:rsidRPr="001B458F">
              <w:rPr>
                <w:noProof/>
                <w:webHidden/>
                <w:sz w:val="22"/>
                <w:szCs w:val="21"/>
              </w:rPr>
            </w:r>
            <w:r w:rsidRPr="001B458F">
              <w:rPr>
                <w:noProof/>
                <w:webHidden/>
                <w:sz w:val="22"/>
                <w:szCs w:val="21"/>
              </w:rPr>
              <w:fldChar w:fldCharType="separate"/>
            </w:r>
            <w:r w:rsidR="00594F4E">
              <w:rPr>
                <w:noProof/>
                <w:webHidden/>
                <w:sz w:val="22"/>
                <w:szCs w:val="21"/>
              </w:rPr>
              <w:t>29</w:t>
            </w:r>
            <w:r w:rsidRPr="001B458F">
              <w:rPr>
                <w:noProof/>
                <w:webHidden/>
                <w:sz w:val="22"/>
                <w:szCs w:val="21"/>
              </w:rPr>
              <w:fldChar w:fldCharType="end"/>
            </w:r>
          </w:hyperlink>
        </w:p>
        <w:p w14:paraId="25711792" w14:textId="6DFFF5E1" w:rsidR="001B458F" w:rsidRPr="001B458F" w:rsidRDefault="001B458F" w:rsidP="001B458F">
          <w:pPr>
            <w:pStyle w:val="TOC3"/>
            <w:tabs>
              <w:tab w:val="right" w:leader="dot" w:pos="8296"/>
            </w:tabs>
            <w:spacing w:after="249"/>
            <w:ind w:leftChars="0" w:left="0" w:firstLineChars="0" w:firstLine="0"/>
            <w:rPr>
              <w:rFonts w:asciiTheme="minorHAnsi" w:eastAsiaTheme="minorEastAsia" w:hAnsiTheme="minorHAnsi"/>
              <w:noProof/>
              <w:sz w:val="20"/>
              <w:szCs w:val="21"/>
            </w:rPr>
          </w:pPr>
          <w:hyperlink w:anchor="_Toc218536502" w:history="1">
            <w:r w:rsidRPr="001B458F">
              <w:rPr>
                <w:rStyle w:val="af"/>
                <w:rFonts w:cs="Times New Roman"/>
                <w:noProof/>
                <w:sz w:val="22"/>
                <w:szCs w:val="21"/>
              </w:rPr>
              <w:t>Supplementary Note 9: Azimuthal dependence and spatial multiplexing</w:t>
            </w:r>
            <w:r w:rsidRPr="001B458F">
              <w:rPr>
                <w:noProof/>
                <w:webHidden/>
                <w:sz w:val="22"/>
                <w:szCs w:val="21"/>
              </w:rPr>
              <w:tab/>
            </w:r>
            <w:r w:rsidRPr="001B458F">
              <w:rPr>
                <w:noProof/>
                <w:webHidden/>
                <w:sz w:val="22"/>
                <w:szCs w:val="21"/>
              </w:rPr>
              <w:fldChar w:fldCharType="begin"/>
            </w:r>
            <w:r w:rsidRPr="001B458F">
              <w:rPr>
                <w:noProof/>
                <w:webHidden/>
                <w:sz w:val="22"/>
                <w:szCs w:val="21"/>
              </w:rPr>
              <w:instrText xml:space="preserve"> PAGEREF _Toc218536502 \h </w:instrText>
            </w:r>
            <w:r w:rsidRPr="001B458F">
              <w:rPr>
                <w:noProof/>
                <w:webHidden/>
                <w:sz w:val="22"/>
                <w:szCs w:val="21"/>
              </w:rPr>
            </w:r>
            <w:r w:rsidRPr="001B458F">
              <w:rPr>
                <w:noProof/>
                <w:webHidden/>
                <w:sz w:val="22"/>
                <w:szCs w:val="21"/>
              </w:rPr>
              <w:fldChar w:fldCharType="separate"/>
            </w:r>
            <w:r w:rsidR="00594F4E">
              <w:rPr>
                <w:noProof/>
                <w:webHidden/>
                <w:sz w:val="22"/>
                <w:szCs w:val="21"/>
              </w:rPr>
              <w:t>32</w:t>
            </w:r>
            <w:r w:rsidRPr="001B458F">
              <w:rPr>
                <w:noProof/>
                <w:webHidden/>
                <w:sz w:val="22"/>
                <w:szCs w:val="21"/>
              </w:rPr>
              <w:fldChar w:fldCharType="end"/>
            </w:r>
          </w:hyperlink>
        </w:p>
        <w:p w14:paraId="2C3B7550" w14:textId="7EA207B7" w:rsidR="001B458F" w:rsidRDefault="001B458F" w:rsidP="001B458F">
          <w:pPr>
            <w:spacing w:after="249"/>
            <w:ind w:firstLineChars="0" w:firstLine="0"/>
          </w:pPr>
          <w:r w:rsidRPr="001B458F">
            <w:rPr>
              <w:b/>
              <w:bCs/>
              <w:sz w:val="22"/>
              <w:szCs w:val="21"/>
              <w:lang w:val="zh-CN"/>
            </w:rPr>
            <w:fldChar w:fldCharType="end"/>
          </w:r>
        </w:p>
      </w:sdtContent>
    </w:sdt>
    <w:p w14:paraId="7FF19A2A" w14:textId="4B1B706B" w:rsidR="001B458F" w:rsidRDefault="001B458F">
      <w:pPr>
        <w:widowControl/>
        <w:spacing w:afterLines="0" w:after="0" w:line="240" w:lineRule="auto"/>
        <w:ind w:firstLineChars="0" w:firstLine="0"/>
        <w:jc w:val="left"/>
        <w:rPr>
          <w:rFonts w:cs="Times New Roman"/>
          <w:b/>
          <w:bCs/>
          <w:kern w:val="28"/>
          <w:sz w:val="32"/>
          <w:szCs w:val="32"/>
        </w:rPr>
      </w:pPr>
      <w:r>
        <w:rPr>
          <w:rFonts w:cs="Times New Roman"/>
          <w:b/>
          <w:bCs/>
          <w:kern w:val="28"/>
          <w:sz w:val="32"/>
          <w:szCs w:val="32"/>
        </w:rPr>
        <w:br w:type="page"/>
      </w:r>
    </w:p>
    <w:p w14:paraId="1FF77E31" w14:textId="5A89A305" w:rsidR="00715209" w:rsidRPr="0039156C" w:rsidRDefault="00DB751D" w:rsidP="00C122AE">
      <w:pPr>
        <w:pStyle w:val="2"/>
        <w:spacing w:after="249"/>
        <w:ind w:firstLineChars="0" w:firstLine="0"/>
        <w:jc w:val="left"/>
        <w:rPr>
          <w:rFonts w:ascii="Times New Roman" w:hAnsi="Times New Roman" w:cs="Times New Roman"/>
          <w:sz w:val="24"/>
          <w:szCs w:val="24"/>
        </w:rPr>
      </w:pPr>
      <w:bookmarkStart w:id="3" w:name="_Toc218536494"/>
      <w:r w:rsidRPr="0039156C">
        <w:rPr>
          <w:rFonts w:ascii="Times New Roman" w:hAnsi="Times New Roman" w:cs="Times New Roman" w:hint="eastAsia"/>
          <w:sz w:val="24"/>
          <w:szCs w:val="24"/>
        </w:rPr>
        <w:lastRenderedPageBreak/>
        <w:t xml:space="preserve">Supplementary Note 1: </w:t>
      </w:r>
      <w:r w:rsidR="000E3275" w:rsidRPr="0039156C">
        <w:rPr>
          <w:rFonts w:ascii="Times New Roman" w:hAnsi="Times New Roman" w:cs="Times New Roman"/>
          <w:sz w:val="24"/>
          <w:szCs w:val="24"/>
        </w:rPr>
        <w:t>Sample fabrication and</w:t>
      </w:r>
      <w:r w:rsidR="00C122AE" w:rsidRPr="0039156C">
        <w:rPr>
          <w:rFonts w:ascii="Times New Roman" w:hAnsi="Times New Roman" w:cs="Times New Roman"/>
          <w:sz w:val="24"/>
          <w:szCs w:val="24"/>
        </w:rPr>
        <w:t xml:space="preserve"> </w:t>
      </w:r>
      <w:r w:rsidR="000E3275" w:rsidRPr="0039156C">
        <w:rPr>
          <w:rFonts w:ascii="Times New Roman" w:hAnsi="Times New Roman" w:cs="Times New Roman"/>
          <w:sz w:val="24"/>
          <w:szCs w:val="24"/>
        </w:rPr>
        <w:t>characterization</w:t>
      </w:r>
      <w:bookmarkEnd w:id="3"/>
    </w:p>
    <w:p w14:paraId="066909A0" w14:textId="638D3A55" w:rsidR="000E3275" w:rsidRPr="000E3275" w:rsidRDefault="0039156C" w:rsidP="00C122AE">
      <w:pPr>
        <w:spacing w:after="249"/>
        <w:ind w:firstLine="480"/>
      </w:pPr>
      <w:r>
        <w:t>As shown in</w:t>
      </w:r>
      <w:r w:rsidRPr="00C75420">
        <w:t xml:space="preserve"> </w:t>
      </w:r>
      <w:r w:rsidRPr="00C75420">
        <w:rPr>
          <w:rFonts w:eastAsiaTheme="minorEastAsia"/>
        </w:rPr>
        <w:t>Supplementary Fig. 1,</w:t>
      </w:r>
      <w:r>
        <w:rPr>
          <w:rFonts w:eastAsiaTheme="minorEastAsia"/>
        </w:rPr>
        <w:t xml:space="preserve"> </w:t>
      </w:r>
      <w:r>
        <w:t>t</w:t>
      </w:r>
      <w:r w:rsidR="000E3275" w:rsidRPr="000E3275">
        <w:t>he periodic silver plasmonic arrays were fabricated using a custom-built ultraviolet holographic lithography (UV-HL) system. Glass substrates (</w:t>
      </w:r>
      <m:oMath>
        <m:r>
          <w:rPr>
            <w:rFonts w:ascii="Cambria Math" w:hAnsi="Cambria Math"/>
          </w:rPr>
          <m:t>25×25</m:t>
        </m:r>
      </m:oMath>
      <w:r w:rsidR="000E3275" w:rsidRPr="000E3275">
        <w:t> mm</w:t>
      </w:r>
      <w:r w:rsidR="000E3275" w:rsidRPr="000E3275">
        <w:rPr>
          <w:rFonts w:eastAsiaTheme="minorEastAsia" w:hint="eastAsia"/>
          <w:vertAlign w:val="superscript"/>
        </w:rPr>
        <w:t>2</w:t>
      </w:r>
      <w:r w:rsidR="000E3275" w:rsidRPr="000E3275">
        <w:t xml:space="preserve">) were sequentially cleaned by ultrasonication in acetone and anhydrous ethanol for 25 min each, followed by immersion in a freshly prepared piranha solution (1:3 </w:t>
      </w:r>
      <w:r w:rsidR="000E3275">
        <w:rPr>
          <w:rFonts w:eastAsiaTheme="minorEastAsia" w:hint="eastAsia"/>
        </w:rPr>
        <w:t>v</w:t>
      </w:r>
      <w:r w:rsidR="000E3275" w:rsidRPr="000E3275">
        <w:t xml:space="preserve">olume ratio mixture of 30% </w:t>
      </w:r>
      <w:r w:rsidR="000E3275">
        <w:rPr>
          <w:rFonts w:eastAsiaTheme="minorEastAsia" w:hint="eastAsia"/>
        </w:rPr>
        <w:t>H</w:t>
      </w:r>
      <w:r w:rsidR="000E3275" w:rsidRPr="000E3275">
        <w:rPr>
          <w:rFonts w:eastAsiaTheme="minorEastAsia" w:hint="eastAsia"/>
          <w:vertAlign w:val="subscript"/>
        </w:rPr>
        <w:t>2</w:t>
      </w:r>
      <w:r w:rsidR="000E3275">
        <w:rPr>
          <w:rFonts w:eastAsiaTheme="minorEastAsia" w:hint="eastAsia"/>
        </w:rPr>
        <w:t>O</w:t>
      </w:r>
      <w:r w:rsidR="000E3275" w:rsidRPr="000E3275">
        <w:rPr>
          <w:rFonts w:eastAsiaTheme="minorEastAsia" w:hint="eastAsia"/>
          <w:vertAlign w:val="subscript"/>
        </w:rPr>
        <w:t>2</w:t>
      </w:r>
      <w:r w:rsidR="000E3275" w:rsidRPr="000E3275">
        <w:t xml:space="preserve"> and 98% </w:t>
      </w:r>
      <w:r w:rsidR="000E3275">
        <w:rPr>
          <w:rFonts w:eastAsiaTheme="minorEastAsia" w:hint="eastAsia"/>
        </w:rPr>
        <w:t>H</w:t>
      </w:r>
      <w:r w:rsidR="000E3275" w:rsidRPr="000E3275">
        <w:rPr>
          <w:rFonts w:eastAsiaTheme="minorEastAsia" w:hint="eastAsia"/>
          <w:vertAlign w:val="subscript"/>
        </w:rPr>
        <w:t>2</w:t>
      </w:r>
      <w:r w:rsidR="000E3275">
        <w:rPr>
          <w:rFonts w:eastAsiaTheme="minorEastAsia" w:hint="eastAsia"/>
        </w:rPr>
        <w:t>SO</w:t>
      </w:r>
      <w:r w:rsidR="000E3275" w:rsidRPr="000E3275">
        <w:rPr>
          <w:rFonts w:eastAsiaTheme="minorEastAsia" w:hint="eastAsia"/>
          <w:vertAlign w:val="subscript"/>
        </w:rPr>
        <w:t>4</w:t>
      </w:r>
      <w:r w:rsidR="000E3275" w:rsidRPr="000E3275">
        <w:t>) to remove organic residues. The substrates were then rinsed extensively with ultrapure water (Milli-Q), dried under a nitrogen stream, and baked in an oven at </w:t>
      </w:r>
      <m:oMath>
        <m:sSup>
          <m:sSupPr>
            <m:ctrlPr>
              <w:rPr>
                <w:rFonts w:ascii="Cambria Math" w:hAnsi="Cambria Math"/>
              </w:rPr>
            </m:ctrlPr>
          </m:sSupPr>
          <m:e>
            <m:r>
              <w:rPr>
                <w:rFonts w:ascii="Cambria Math" w:hAnsi="Cambria Math"/>
              </w:rPr>
              <m:t>120</m:t>
            </m:r>
          </m:e>
          <m:sup>
            <m:r>
              <w:rPr>
                <w:rFonts w:ascii="Cambria Math" w:hAnsi="Cambria Math"/>
              </w:rPr>
              <m:t>∘</m:t>
            </m:r>
          </m:sup>
        </m:sSup>
      </m:oMath>
      <w:r w:rsidR="000E3275" w:rsidRPr="000E3275">
        <w:t>C for 30 min. A 500 nm-thick layer of positive-tone photoresist (ALLRESIST) was spin-coated onto the prepared substrates. The resist was then patterned using the UV-HL method under 266 nm laser illumination, creating a two-dimensional periodic interference pattern. Following development, a periodic photoresist template was formed on the glass surface.</w:t>
      </w:r>
    </w:p>
    <w:p w14:paraId="06A2E26C" w14:textId="03FAC694" w:rsidR="000E3275" w:rsidRDefault="000E3275" w:rsidP="00C122AE">
      <w:pPr>
        <w:spacing w:after="249"/>
        <w:ind w:firstLine="480"/>
        <w:rPr>
          <w:rFonts w:eastAsiaTheme="minorEastAsia"/>
        </w:rPr>
      </w:pPr>
      <w:r w:rsidRPr="000E3275">
        <w:t>To create the metallic lattice, a 100 nm-thick silver layer, supported by a 3 nm-thick chromium adhesion layer, was deposited via thermal evaporation (</w:t>
      </w:r>
      <w:proofErr w:type="spellStart"/>
      <w:r w:rsidRPr="000E3275">
        <w:t>Vnano</w:t>
      </w:r>
      <w:proofErr w:type="spellEnd"/>
      <w:r w:rsidRPr="000E3275">
        <w:t>, VZZ-300) at a base pressure of </w:t>
      </w:r>
      <m:oMath>
        <m:d>
          <m:dPr>
            <m:begChr m:val="&lt;"/>
            <m:sepChr m:val="×"/>
            <m:endChr m:val=""/>
            <m:ctrlPr>
              <w:rPr>
                <w:rFonts w:ascii="Cambria Math" w:hAnsi="Cambria Math"/>
              </w:rPr>
            </m:ctrlPr>
          </m:dPr>
          <m:e>
            <m:r>
              <w:rPr>
                <w:rFonts w:ascii="Cambria Math" w:hAnsi="Cambria Math"/>
              </w:rPr>
              <m:t>5</m:t>
            </m:r>
          </m:e>
          <m:e>
            <m:sSup>
              <m:sSupPr>
                <m:ctrlPr>
                  <w:rPr>
                    <w:rFonts w:ascii="Cambria Math" w:hAnsi="Cambria Math"/>
                  </w:rPr>
                </m:ctrlPr>
              </m:sSupPr>
              <m:e>
                <m:r>
                  <w:rPr>
                    <w:rFonts w:ascii="Cambria Math" w:hAnsi="Cambria Math"/>
                  </w:rPr>
                  <m:t>10</m:t>
                </m:r>
              </m:e>
              <m:sup>
                <m:r>
                  <w:rPr>
                    <w:rFonts w:ascii="Cambria Math" w:hAnsi="Cambria Math"/>
                  </w:rPr>
                  <m:t>-4</m:t>
                </m:r>
              </m:sup>
            </m:sSup>
          </m:e>
        </m:d>
      </m:oMath>
      <w:r w:rsidRPr="000E3275">
        <w:t> Pa. The sample surfaces were then subjected to a brief oxygen plasma treatment to enhance surface energy. Finally, a template-stripping process was employed to transfer the metal films: the silver surface was coated with a small amount of UV-curable optical adhesive (Norland, NOA 81) and covered with a clean glass coverslip. After curing under 365 nm UV illumination, mechanical peeling transferred the metal layer to the coverslip, yielding an ultra-smooth, inverted silver nanoarray.</w:t>
      </w:r>
    </w:p>
    <w:p w14:paraId="64DC05DC" w14:textId="790C696F" w:rsidR="000E3275" w:rsidRPr="000E3275" w:rsidRDefault="000E3275" w:rsidP="00C122AE">
      <w:pPr>
        <w:spacing w:after="249"/>
        <w:ind w:firstLine="480"/>
        <w:rPr>
          <w:rFonts w:eastAsiaTheme="minorEastAsia"/>
        </w:rPr>
      </w:pPr>
      <w:r w:rsidRPr="00C75420">
        <w:rPr>
          <w:rFonts w:eastAsiaTheme="minorEastAsia"/>
        </w:rPr>
        <w:t>We characterized the topography of the fabricated arrays using Atomic Force Microscopy (AFM). The large-area scan (Supplementary Fig. 2a) reveals a high-quality lattice with long-range order and smooth surface morphology, free from significant defects or roughness. Cross-sectional analysis along a continuous lattice row (Supplementary Fig. 2b) confirms the uniformity of the structure, showing a periodicity of </w:t>
      </w:r>
      <w:r w:rsidR="00CB5E8E" w:rsidRPr="00C75420">
        <w:rPr>
          <w:rFonts w:eastAsiaTheme="minorEastAsia" w:hint="eastAsia"/>
        </w:rPr>
        <w:t>~</w:t>
      </w:r>
      <w:r w:rsidRPr="00C75420">
        <w:rPr>
          <w:rFonts w:eastAsiaTheme="minorEastAsia"/>
        </w:rPr>
        <w:t>415 nm and an average modulation height of </w:t>
      </w:r>
      <w:r w:rsidR="00CB5E8E" w:rsidRPr="00C75420">
        <w:rPr>
          <w:rFonts w:eastAsiaTheme="minorEastAsia" w:hint="eastAsia"/>
        </w:rPr>
        <w:t>~</w:t>
      </w:r>
      <w:r w:rsidRPr="00C75420">
        <w:rPr>
          <w:rFonts w:eastAsiaTheme="minorEastAsia"/>
        </w:rPr>
        <w:t>30 nm. Statistical analysis of the height distribution (Supplementary Fig. 2c) indicates that while the modulation depth ranges from 20 nm to 45 nm, the distribution is strongly centered around 3</w:t>
      </w:r>
      <w:r w:rsidR="00E93E39" w:rsidRPr="00C75420">
        <w:rPr>
          <w:rFonts w:eastAsiaTheme="minorEastAsia"/>
        </w:rPr>
        <w:t>3</w:t>
      </w:r>
      <w:r w:rsidRPr="00C75420">
        <w:rPr>
          <w:rFonts w:eastAsiaTheme="minorEastAsia"/>
        </w:rPr>
        <w:t xml:space="preserve"> nm (</w:t>
      </w:r>
      <w:r w:rsidR="00CB5E8E" w:rsidRPr="00C75420">
        <w:rPr>
          <w:rFonts w:eastAsiaTheme="minorEastAsia" w:hint="eastAsia"/>
        </w:rPr>
        <w:t>~</w:t>
      </w:r>
      <w:r w:rsidRPr="00C75420">
        <w:rPr>
          <w:rFonts w:eastAsiaTheme="minorEastAsia"/>
        </w:rPr>
        <w:t xml:space="preserve">50% of the population). Furthermore, the height profile of a single nanostructure (Supplementary Fig. 2d) is well-described by a Gaussian fit, indicating a continuous, gradient profile typical of interference lithography. These results confirm that the fabrication process yields structures with excellent surface quality and geometric uniformity, providing a robust foundation for minimizing scattering losses in </w:t>
      </w:r>
      <w:r w:rsidRPr="000E3275">
        <w:rPr>
          <w:rFonts w:eastAsiaTheme="minorEastAsia"/>
        </w:rPr>
        <w:t>the nano</w:t>
      </w:r>
      <w:r w:rsidR="00C42CD7">
        <w:rPr>
          <w:rFonts w:eastAsiaTheme="minorEastAsia"/>
        </w:rPr>
        <w:t>-</w:t>
      </w:r>
      <w:r w:rsidRPr="000E3275">
        <w:rPr>
          <w:rFonts w:eastAsiaTheme="minorEastAsia"/>
        </w:rPr>
        <w:lastRenderedPageBreak/>
        <w:t>laser.</w:t>
      </w:r>
    </w:p>
    <w:p w14:paraId="32769CC0" w14:textId="4B2C1059" w:rsidR="000E3275" w:rsidRPr="00C75420" w:rsidRDefault="004D7DFD" w:rsidP="00C122AE">
      <w:pPr>
        <w:spacing w:after="249"/>
        <w:ind w:firstLine="480"/>
      </w:pPr>
      <w:r>
        <w:tab/>
      </w:r>
      <w:r w:rsidR="000E3275" w:rsidRPr="00C75420">
        <w:t>We employed oil-soluble CdSe/ZnS core-shell quantum dots (QDs) as the gain medium. These QDs exhibit a photoluminescence (PL) peak at </w:t>
      </w:r>
      <m:oMath>
        <m:r>
          <w:rPr>
            <w:rFonts w:ascii="Cambria Math" w:hAnsi="Cambria Math"/>
          </w:rPr>
          <m:t>610±5</m:t>
        </m:r>
      </m:oMath>
      <w:r w:rsidR="000E3275" w:rsidRPr="00C75420">
        <w:t> nm, a full-width at half-maximum (FWHM) of </w:t>
      </w:r>
      <w:r w:rsidR="00CB5E8E" w:rsidRPr="00C75420">
        <w:rPr>
          <w:rFonts w:eastAsiaTheme="minorEastAsia" w:hint="eastAsia"/>
        </w:rPr>
        <w:t>~</w:t>
      </w:r>
      <w:r w:rsidR="000E3275" w:rsidRPr="00C75420">
        <w:t>35 nm, and a quantum yield exceeding 80%. Notably, the QDs possess a broad absorption spectrum with </w:t>
      </w:r>
      <m:oMath>
        <m:r>
          <w:rPr>
            <w:rFonts w:ascii="Cambria Math" w:hAnsi="Cambria Math"/>
          </w:rPr>
          <m:t>&gt;</m:t>
        </m:r>
      </m:oMath>
      <w:r w:rsidR="000E3275" w:rsidRPr="00C75420">
        <w:t>95% absorption efficiency at 405 nm, which was selected as the pump wavelength to minimize the lasing threshold</w:t>
      </w:r>
      <w:r w:rsidR="0039156C" w:rsidRPr="00C75420">
        <w:rPr>
          <w:rFonts w:eastAsiaTheme="minorEastAsia"/>
        </w:rPr>
        <w:t xml:space="preserve"> (see Supplementary Fig. 3)</w:t>
      </w:r>
      <w:r w:rsidR="000E3275" w:rsidRPr="00C75420">
        <w:t>.</w:t>
      </w:r>
    </w:p>
    <w:p w14:paraId="0B683ACF" w14:textId="55AEF7AE" w:rsidR="000E3275" w:rsidRPr="00C75420" w:rsidRDefault="000E3275" w:rsidP="00C122AE">
      <w:pPr>
        <w:spacing w:after="249"/>
        <w:ind w:firstLine="480"/>
      </w:pPr>
      <w:r w:rsidRPr="00C75420">
        <w:t>To deposit the gain layer, a solution of QDs in hexane was diluted to 1 mg</w:t>
      </w:r>
      <w:r w:rsidRPr="00C75420">
        <w:rPr>
          <w:rFonts w:eastAsiaTheme="minorEastAsia" w:hint="eastAsia"/>
        </w:rPr>
        <w:t xml:space="preserve"> </w:t>
      </w:r>
      <w:r w:rsidRPr="00C75420">
        <w:t>mL</w:t>
      </w:r>
      <w:r w:rsidRPr="00C75420">
        <w:rPr>
          <w:rFonts w:eastAsiaTheme="minorEastAsia" w:hint="eastAsia"/>
          <w:vertAlign w:val="superscript"/>
        </w:rPr>
        <w:t>-1</w:t>
      </w:r>
      <w:r w:rsidRPr="00C75420">
        <w:t>. A 30 </w:t>
      </w:r>
      <m:oMath>
        <m:r>
          <w:rPr>
            <w:rFonts w:ascii="Cambria Math" w:hAnsi="Cambria Math"/>
          </w:rPr>
          <m:t>μ</m:t>
        </m:r>
      </m:oMath>
      <w:r w:rsidRPr="00C75420">
        <w:t>L volume was dispensed onto the center of the sample, followed by spin-coating at 1500 rpm for 30 s. The samples were subsequently dried in a vacuum oven for </w:t>
      </w:r>
      <w:r w:rsidR="0039156C" w:rsidRPr="00C75420">
        <w:t>over 8</w:t>
      </w:r>
      <w:r w:rsidRPr="00C75420">
        <w:t xml:space="preserve"> hours to remove the solvent. During this process, the evaporation of hexane drives the QDs to conformally coat the lattice surface. A </w:t>
      </w:r>
      <w:bookmarkStart w:id="4" w:name="_Hlk218411361"/>
      <w:r w:rsidRPr="00C75420">
        <w:t>residual ultra-thin layer of solvent/ligands aids</w:t>
      </w:r>
      <w:bookmarkEnd w:id="4"/>
      <w:r w:rsidRPr="00C75420">
        <w:t xml:space="preserve"> in the formation of a stable, adhesive interface between the QDs and the silver structure</w:t>
      </w:r>
      <w:r w:rsidR="0036339C" w:rsidRPr="00C75420">
        <w:t xml:space="preserve"> </w:t>
      </w:r>
      <w:r w:rsidR="0036339C" w:rsidRPr="00C75420">
        <w:rPr>
          <w:rFonts w:eastAsiaTheme="minorEastAsia"/>
        </w:rPr>
        <w:t>(see Supplementary Fig. 4)</w:t>
      </w:r>
      <w:r w:rsidRPr="00C75420">
        <w:t>.</w:t>
      </w:r>
    </w:p>
    <w:p w14:paraId="798416A0" w14:textId="381581D3" w:rsidR="000E3275" w:rsidRPr="00C75420" w:rsidRDefault="000E3275" w:rsidP="0036339C">
      <w:pPr>
        <w:spacing w:after="249"/>
        <w:ind w:firstLine="480"/>
      </w:pPr>
      <w:r w:rsidRPr="00C75420">
        <w:t>To ensure that the gain layer does not introduce parasitic waveguide modes or alter the QD emission properties, we performed a series of control experiments. First, we compared the PL spectra of the QDs in the solution phase versus the spin-coated solid film on a planar glass substrate (Supplementary Fig. 5a). Both spectra show a consistent peak emission at </w:t>
      </w:r>
      <w:r w:rsidR="00CB5E8E" w:rsidRPr="00C75420">
        <w:rPr>
          <w:rFonts w:eastAsiaTheme="minorEastAsia" w:hint="eastAsia"/>
        </w:rPr>
        <w:t>~</w:t>
      </w:r>
      <w:r w:rsidRPr="00C75420">
        <w:t>610 nm with no significant spectral shift or broadening, indicating that the deposition process does not induce QD aggregation or defect formation.</w:t>
      </w:r>
      <w:r w:rsidR="0036339C" w:rsidRPr="00C75420">
        <w:rPr>
          <w:rFonts w:eastAsiaTheme="minorEastAsia" w:hint="eastAsia"/>
        </w:rPr>
        <w:t xml:space="preserve"> </w:t>
      </w:r>
      <w:r w:rsidRPr="00C75420">
        <w:t>Second, we analyzed the influence of the gain layer on the plasmonic resonances by comparing the white-light reflectance spectra of the lattice before and after spin-coating (Supplementary Fig. 5b). The coating induces a slight redshift of the primary resonance dip from 606.6 nm to 610.9 nm (</w:t>
      </w:r>
      <m:oMath>
        <m:r>
          <m:rPr>
            <m:sty m:val="p"/>
          </m:rPr>
          <w:rPr>
            <w:rFonts w:ascii="Cambria Math" w:hAnsi="Cambria Math"/>
          </w:rPr>
          <m:t>Δ</m:t>
        </m:r>
        <m:r>
          <w:rPr>
            <w:rFonts w:ascii="Cambria Math" w:hAnsi="Cambria Math"/>
          </w:rPr>
          <m:t>λ≈4.3</m:t>
        </m:r>
      </m:oMath>
      <w:r w:rsidRPr="00C75420">
        <w:t> nm) accompanied by a minor reduction in modulation depth. This small shift confirms that the dielectric environment is only weakly perturbed. Crucially, no additional spectral features corresponding to dielectric waveguide modes were observed in the measurement range. This confirms that the gain layer is sufficiently thin to prevent the support of guided modes, ensuring that the subsequent lasing is driven purely by the Bloch SPP modes of the metallic lattice.</w:t>
      </w:r>
    </w:p>
    <w:p w14:paraId="2FEA745F" w14:textId="779E7AA3" w:rsidR="007C7E51" w:rsidRPr="005B4CD7" w:rsidRDefault="007C7E51" w:rsidP="005B4CD7">
      <w:pPr>
        <w:widowControl/>
        <w:spacing w:afterLines="0" w:after="0" w:line="240" w:lineRule="auto"/>
        <w:ind w:firstLineChars="0" w:firstLine="0"/>
        <w:jc w:val="center"/>
        <w:rPr>
          <w:rFonts w:eastAsiaTheme="minorEastAsia"/>
        </w:rPr>
      </w:pPr>
      <w:r>
        <w:rPr>
          <w:rFonts w:eastAsiaTheme="minorEastAsia"/>
        </w:rPr>
        <w:br w:type="page"/>
      </w:r>
      <w:r w:rsidR="005B4CD7">
        <w:rPr>
          <w:noProof/>
        </w:rPr>
        <w:lastRenderedPageBreak/>
        <w:drawing>
          <wp:inline distT="0" distB="0" distL="0" distR="0" wp14:anchorId="5A12A014" wp14:editId="1794120F">
            <wp:extent cx="5014927" cy="342000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14927" cy="3420000"/>
                    </a:xfrm>
                    <a:prstGeom prst="rect">
                      <a:avLst/>
                    </a:prstGeom>
                    <a:noFill/>
                  </pic:spPr>
                </pic:pic>
              </a:graphicData>
            </a:graphic>
          </wp:inline>
        </w:drawing>
      </w:r>
    </w:p>
    <w:p w14:paraId="6BA8CFA9" w14:textId="4CFBEC21" w:rsidR="005B4CD7" w:rsidRPr="005B4CD7" w:rsidRDefault="005B4CD7" w:rsidP="00F7225F">
      <w:pPr>
        <w:pStyle w:val="ab"/>
        <w:spacing w:after="468"/>
        <w:rPr>
          <w:rFonts w:eastAsiaTheme="minorEastAsia"/>
          <w:b/>
          <w:bCs/>
        </w:rPr>
      </w:pPr>
      <w:r w:rsidRPr="007C7E51">
        <w:rPr>
          <w:b/>
          <w:bCs/>
        </w:rPr>
        <w:t>Supplementary Figure 1</w:t>
      </w:r>
      <w:r>
        <w:rPr>
          <w:rFonts w:eastAsiaTheme="minorEastAsia"/>
          <w:b/>
          <w:bCs/>
        </w:rPr>
        <w:t xml:space="preserve"> |</w:t>
      </w:r>
      <w:r w:rsidRPr="004D7DFD">
        <w:rPr>
          <w:rFonts w:hint="eastAsia"/>
          <w:b/>
          <w:bCs/>
        </w:rPr>
        <w:t xml:space="preserve"> </w:t>
      </w:r>
      <w:r w:rsidRPr="000E3275">
        <w:rPr>
          <w:b/>
          <w:bCs/>
        </w:rPr>
        <w:t>Schematic illustration of the sample fabrication process. </w:t>
      </w:r>
      <w:r w:rsidRPr="000E3275">
        <w:t>The fabrication utilizes UV holographic lithography followed by a template-stripping procedure. A photoresist template is patterned via laser interference, metallized with Ag/Cr, and then transferred to a final glass support using a UV-curable adhesive. This method yields inverted silver lattices with superior surface smoothness compared to direct lift-off processes.</w:t>
      </w:r>
    </w:p>
    <w:p w14:paraId="27B2680F" w14:textId="77777777" w:rsidR="007C7E51" w:rsidRDefault="007C7E51">
      <w:pPr>
        <w:widowControl/>
        <w:spacing w:afterLines="0" w:after="0" w:line="240" w:lineRule="auto"/>
        <w:ind w:firstLineChars="0" w:firstLine="0"/>
        <w:rPr>
          <w:b/>
          <w:bCs/>
        </w:rPr>
      </w:pPr>
      <w:r>
        <w:rPr>
          <w:b/>
          <w:bCs/>
        </w:rPr>
        <w:br w:type="page"/>
      </w:r>
    </w:p>
    <w:p w14:paraId="510B6061" w14:textId="77777777" w:rsidR="005B4CD7" w:rsidRDefault="005B4CD7" w:rsidP="005B4CD7">
      <w:pPr>
        <w:pStyle w:val="ab"/>
        <w:jc w:val="center"/>
        <w:rPr>
          <w:b/>
          <w:bCs/>
        </w:rPr>
      </w:pPr>
      <w:r>
        <w:rPr>
          <w:rFonts w:eastAsiaTheme="minorEastAsia"/>
          <w:noProof/>
        </w:rPr>
        <w:lastRenderedPageBreak/>
        <w:drawing>
          <wp:inline distT="0" distB="0" distL="0" distR="0" wp14:anchorId="34C84528" wp14:editId="0211E807">
            <wp:extent cx="4647598" cy="3600000"/>
            <wp:effectExtent l="0" t="0" r="635" b="6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47598" cy="3600000"/>
                    </a:xfrm>
                    <a:prstGeom prst="rect">
                      <a:avLst/>
                    </a:prstGeom>
                    <a:noFill/>
                  </pic:spPr>
                </pic:pic>
              </a:graphicData>
            </a:graphic>
          </wp:inline>
        </w:drawing>
      </w:r>
      <w:bookmarkStart w:id="5" w:name="_Hlk218529986"/>
    </w:p>
    <w:p w14:paraId="68D6B595" w14:textId="1EF5A6C4" w:rsidR="005B4CD7" w:rsidRPr="005B4CD7" w:rsidRDefault="005B4CD7" w:rsidP="005B4CD7">
      <w:pPr>
        <w:pStyle w:val="ab"/>
        <w:rPr>
          <w:rFonts w:eastAsiaTheme="minorEastAsia"/>
        </w:rPr>
      </w:pPr>
      <w:r w:rsidRPr="005B4CD7">
        <w:rPr>
          <w:b/>
          <w:bCs/>
        </w:rPr>
        <w:t>Supplementary</w:t>
      </w:r>
      <w:bookmarkEnd w:id="5"/>
      <w:r w:rsidRPr="005B4CD7">
        <w:rPr>
          <w:b/>
          <w:bCs/>
        </w:rPr>
        <w:t xml:space="preserve"> Figure 2</w:t>
      </w:r>
      <w:r w:rsidRPr="005B4CD7">
        <w:rPr>
          <w:rFonts w:eastAsiaTheme="minorEastAsia"/>
          <w:b/>
          <w:bCs/>
        </w:rPr>
        <w:t xml:space="preserve"> |</w:t>
      </w:r>
      <w:r w:rsidRPr="005B4CD7">
        <w:rPr>
          <w:rFonts w:hint="eastAsia"/>
          <w:b/>
          <w:bCs/>
        </w:rPr>
        <w:t xml:space="preserve"> </w:t>
      </w:r>
      <w:r w:rsidRPr="005B4CD7">
        <w:rPr>
          <w:b/>
          <w:bCs/>
        </w:rPr>
        <w:t>Morphological characterization of the plasmonic lattice.</w:t>
      </w:r>
      <w:r w:rsidRPr="005B4CD7">
        <w:rPr>
          <w:rFonts w:hint="eastAsia"/>
        </w:rPr>
        <w:t xml:space="preserve"> </w:t>
      </w:r>
      <w:r w:rsidRPr="005B4CD7">
        <w:rPr>
          <w:b/>
          <w:bCs/>
        </w:rPr>
        <w:t>a</w:t>
      </w:r>
      <w:r w:rsidRPr="005B4CD7">
        <w:t>, Large-area Atomic Force Microscopy (AFM) image of the fabricated silver nanoarray, showing high periodicity and surface quality. </w:t>
      </w:r>
      <w:r w:rsidRPr="005B4CD7">
        <w:rPr>
          <w:b/>
          <w:bCs/>
        </w:rPr>
        <w:t>b</w:t>
      </w:r>
      <w:r w:rsidRPr="005B4CD7">
        <w:t>, Height profile extracted along the white dashed line in a, demonstrating a uniform periodicity of </w:t>
      </w:r>
      <w:r w:rsidRPr="005B4CD7">
        <w:rPr>
          <w:rFonts w:eastAsiaTheme="minorEastAsia" w:hint="eastAsia"/>
        </w:rPr>
        <w:t>~</w:t>
      </w:r>
      <w:r w:rsidRPr="005B4CD7">
        <w:t>415 nm and modulation height of </w:t>
      </w:r>
      <w:r w:rsidRPr="005B4CD7">
        <w:rPr>
          <w:rFonts w:eastAsiaTheme="minorEastAsia" w:hint="eastAsia"/>
        </w:rPr>
        <w:t>~</w:t>
      </w:r>
      <w:r w:rsidRPr="005B4CD7">
        <w:t>30 nm. </w:t>
      </w:r>
      <w:r w:rsidRPr="005B4CD7">
        <w:rPr>
          <w:b/>
          <w:bCs/>
        </w:rPr>
        <w:t>c</w:t>
      </w:r>
      <w:r w:rsidRPr="005B4CD7">
        <w:t>, Statistical histogram of the modulation heights collected from the scanned area; the distribution is centered at 33 nm. </w:t>
      </w:r>
      <w:r w:rsidRPr="005B4CD7">
        <w:rPr>
          <w:b/>
          <w:bCs/>
        </w:rPr>
        <w:t>d</w:t>
      </w:r>
      <w:r w:rsidRPr="005B4CD7">
        <w:t>, Cross-sectional profile of a single lattice unit cell (black dots) fitted with a Gaussian function (red line), indicating a smooth, continuous surface profile.</w:t>
      </w:r>
    </w:p>
    <w:p w14:paraId="11002A61" w14:textId="4E66781F" w:rsidR="005C6645" w:rsidRPr="005C6645" w:rsidRDefault="000E3275">
      <w:pPr>
        <w:widowControl/>
        <w:spacing w:afterLines="0" w:after="0" w:line="240" w:lineRule="auto"/>
        <w:ind w:firstLineChars="0" w:firstLine="0"/>
        <w:rPr>
          <w:rFonts w:eastAsiaTheme="minorEastAsia"/>
        </w:rPr>
      </w:pPr>
      <w:r w:rsidRPr="000E3275">
        <w:rPr>
          <w:b/>
          <w:bCs/>
        </w:rPr>
        <w:t xml:space="preserve"> </w:t>
      </w:r>
      <w:r w:rsidR="004D7DFD">
        <w:br w:type="page"/>
      </w:r>
    </w:p>
    <w:p w14:paraId="0580DD54" w14:textId="52A3604E" w:rsidR="005C6645" w:rsidRDefault="005B4CD7" w:rsidP="005B4CD7">
      <w:pPr>
        <w:widowControl/>
        <w:spacing w:afterLines="0" w:after="0" w:line="240" w:lineRule="auto"/>
        <w:ind w:firstLineChars="0" w:firstLine="0"/>
        <w:jc w:val="center"/>
      </w:pPr>
      <w:r w:rsidRPr="00154DC6">
        <w:rPr>
          <w:noProof/>
        </w:rPr>
        <w:lastRenderedPageBreak/>
        <w:drawing>
          <wp:inline distT="0" distB="0" distL="0" distR="0" wp14:anchorId="60B2848C" wp14:editId="3B93E47F">
            <wp:extent cx="2162175" cy="1704975"/>
            <wp:effectExtent l="0" t="0" r="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62175" cy="1704975"/>
                    </a:xfrm>
                    <a:prstGeom prst="rect">
                      <a:avLst/>
                    </a:prstGeom>
                    <a:noFill/>
                    <a:ln>
                      <a:noFill/>
                    </a:ln>
                  </pic:spPr>
                </pic:pic>
              </a:graphicData>
            </a:graphic>
          </wp:inline>
        </w:drawing>
      </w:r>
    </w:p>
    <w:p w14:paraId="0FF405BF" w14:textId="5705250A" w:rsidR="005B4CD7" w:rsidRDefault="005B4CD7">
      <w:pPr>
        <w:widowControl/>
        <w:spacing w:afterLines="0" w:after="0" w:line="240" w:lineRule="auto"/>
        <w:ind w:firstLineChars="0" w:firstLine="0"/>
        <w:rPr>
          <w:rFonts w:eastAsiaTheme="minorEastAsia"/>
        </w:rPr>
      </w:pPr>
      <w:r w:rsidRPr="006A661D">
        <w:rPr>
          <w:b/>
          <w:bCs/>
        </w:rPr>
        <w:t xml:space="preserve">Supplementary Figure 3 | Characteristics of quantum dots. </w:t>
      </w:r>
      <w:r w:rsidRPr="006A661D">
        <w:t>The red solid line and the purple solid line represent the normalized absorption spectrum and the emission spectrum respectively. These QDs exhibit a photoluminescence (PL) peak at </w:t>
      </w:r>
      <m:oMath>
        <m:r>
          <m:rPr>
            <m:sty m:val="p"/>
          </m:rPr>
          <w:rPr>
            <w:rFonts w:ascii="Cambria Math" w:hAnsi="Cambria Math"/>
          </w:rPr>
          <m:t>610±5</m:t>
        </m:r>
      </m:oMath>
      <w:r w:rsidRPr="006A661D">
        <w:t> nm, a full-width at half-maximum of </w:t>
      </w:r>
      <w:r w:rsidRPr="00C75420">
        <w:rPr>
          <w:rFonts w:eastAsiaTheme="minorEastAsia" w:hint="eastAsia"/>
        </w:rPr>
        <w:t>~</w:t>
      </w:r>
      <w:r w:rsidRPr="006A661D">
        <w:t>35 nm.</w:t>
      </w:r>
    </w:p>
    <w:p w14:paraId="06A54FF1" w14:textId="0EF87EEF" w:rsidR="005B4CD7" w:rsidRDefault="005B4CD7">
      <w:pPr>
        <w:widowControl/>
        <w:spacing w:afterLines="0" w:after="0" w:line="240" w:lineRule="auto"/>
        <w:ind w:firstLineChars="0" w:firstLine="0"/>
        <w:jc w:val="left"/>
        <w:rPr>
          <w:rFonts w:eastAsiaTheme="minorEastAsia"/>
        </w:rPr>
      </w:pPr>
      <w:r>
        <w:rPr>
          <w:rFonts w:eastAsiaTheme="minorEastAsia"/>
        </w:rPr>
        <w:br w:type="page"/>
      </w:r>
    </w:p>
    <w:p w14:paraId="6E2A5B02" w14:textId="77777777" w:rsidR="005B4CD7" w:rsidRPr="005B4CD7" w:rsidRDefault="005B4CD7">
      <w:pPr>
        <w:widowControl/>
        <w:spacing w:afterLines="0" w:after="0" w:line="240" w:lineRule="auto"/>
        <w:ind w:firstLineChars="0" w:firstLine="0"/>
        <w:rPr>
          <w:rFonts w:eastAsiaTheme="minorEastAsia"/>
        </w:rPr>
      </w:pPr>
    </w:p>
    <w:p w14:paraId="1CCAFE0C" w14:textId="77777777" w:rsidR="005B4CD7" w:rsidRDefault="005B4CD7" w:rsidP="005B4CD7">
      <w:pPr>
        <w:pStyle w:val="aff"/>
        <w:rPr>
          <w:b/>
          <w:bCs/>
        </w:rPr>
      </w:pPr>
      <w:r>
        <w:drawing>
          <wp:inline distT="0" distB="0" distL="0" distR="0" wp14:anchorId="7197BD04" wp14:editId="653B2788">
            <wp:extent cx="4615908" cy="226800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15908" cy="2268000"/>
                    </a:xfrm>
                    <a:prstGeom prst="rect">
                      <a:avLst/>
                    </a:prstGeom>
                    <a:noFill/>
                  </pic:spPr>
                </pic:pic>
              </a:graphicData>
            </a:graphic>
          </wp:inline>
        </w:drawing>
      </w:r>
    </w:p>
    <w:p w14:paraId="255B0E3C" w14:textId="2C06D2A0" w:rsidR="005B4CD7" w:rsidRPr="005B4CD7" w:rsidRDefault="005B4CD7" w:rsidP="005B4CD7">
      <w:pPr>
        <w:pStyle w:val="ab"/>
      </w:pPr>
      <w:r w:rsidRPr="005B4CD7">
        <w:rPr>
          <w:b/>
          <w:bCs/>
        </w:rPr>
        <w:t xml:space="preserve">Supplementary Figure 4 | Fabrication of nano-laser. </w:t>
      </w:r>
      <w:r w:rsidRPr="005B4CD7">
        <w:rPr>
          <w:rFonts w:eastAsia="宋体"/>
        </w:rPr>
        <w:t>The quantum‑dots in hexane solution was spin‑coated onto the nanostructured array and subsequently dried in a vacuum oven to evaporate the solvent. This process drives the conformal coating of quantum dots over the lattice surface, while the residual solvent helps to firmly adhere the quantum dots to the interface.</w:t>
      </w:r>
    </w:p>
    <w:p w14:paraId="0D526328" w14:textId="6A7E6C2B" w:rsidR="005C6645" w:rsidRDefault="000E3275">
      <w:pPr>
        <w:widowControl/>
        <w:spacing w:afterLines="0" w:after="0" w:line="240" w:lineRule="auto"/>
        <w:ind w:firstLineChars="0" w:firstLine="0"/>
        <w:rPr>
          <w:rFonts w:eastAsiaTheme="minorEastAsia" w:cs="Times New Roman"/>
          <w:b/>
          <w:bCs/>
        </w:rPr>
      </w:pPr>
      <w:r>
        <w:rPr>
          <w:rFonts w:eastAsiaTheme="minorEastAsia" w:cs="Times New Roman"/>
          <w:b/>
          <w:bCs/>
        </w:rPr>
        <w:br w:type="page"/>
      </w:r>
    </w:p>
    <w:p w14:paraId="40A03FDF" w14:textId="77777777" w:rsidR="005B4CD7" w:rsidRDefault="005B4CD7" w:rsidP="005B4CD7">
      <w:pPr>
        <w:pStyle w:val="aff"/>
        <w:rPr>
          <w:rFonts w:cs="Times New Roman"/>
          <w:b/>
          <w:bCs/>
        </w:rPr>
      </w:pPr>
      <w:r>
        <w:lastRenderedPageBreak/>
        <w:drawing>
          <wp:inline distT="0" distB="0" distL="0" distR="0" wp14:anchorId="1779D590" wp14:editId="3802AC9C">
            <wp:extent cx="4700776" cy="1900052"/>
            <wp:effectExtent l="0" t="0" r="5080" b="508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23590" cy="1909274"/>
                    </a:xfrm>
                    <a:prstGeom prst="rect">
                      <a:avLst/>
                    </a:prstGeom>
                    <a:noFill/>
                    <a:ln>
                      <a:noFill/>
                    </a:ln>
                  </pic:spPr>
                </pic:pic>
              </a:graphicData>
            </a:graphic>
          </wp:inline>
        </w:drawing>
      </w:r>
    </w:p>
    <w:p w14:paraId="1F454DE7" w14:textId="1394702E" w:rsidR="005B4CD7" w:rsidRPr="005C6645" w:rsidRDefault="005B4CD7" w:rsidP="005B4CD7">
      <w:pPr>
        <w:pStyle w:val="ab"/>
        <w:rPr>
          <w:rFonts w:eastAsiaTheme="minorEastAsia"/>
        </w:rPr>
      </w:pPr>
      <w:r w:rsidRPr="000C3B2F">
        <w:rPr>
          <w:rFonts w:cs="Times New Roman"/>
          <w:b/>
          <w:bCs/>
        </w:rPr>
        <w:t xml:space="preserve">Supplementary Figure </w:t>
      </w:r>
      <w:r w:rsidRPr="000C3B2F">
        <w:rPr>
          <w:rFonts w:eastAsiaTheme="minorEastAsia" w:cs="Times New Roman"/>
          <w:b/>
          <w:bCs/>
        </w:rPr>
        <w:t>5</w:t>
      </w:r>
      <w:r w:rsidRPr="000C3B2F">
        <w:rPr>
          <w:rFonts w:cs="Times New Roman"/>
          <w:b/>
          <w:bCs/>
        </w:rPr>
        <w:t xml:space="preserve"> </w:t>
      </w:r>
      <w:r w:rsidRPr="006A661D">
        <w:rPr>
          <w:b/>
          <w:bCs/>
        </w:rPr>
        <w:t xml:space="preserve">| </w:t>
      </w:r>
      <w:r w:rsidRPr="000E3275">
        <w:rPr>
          <w:b/>
          <w:bCs/>
        </w:rPr>
        <w:t xml:space="preserve">Optical characterization of the quantum dot gain layer. a, </w:t>
      </w:r>
      <w:r w:rsidRPr="000E3275">
        <w:t>Normalized photoluminescence (PL) spectra of the CdSe QDs in hexane solution (black) and as a spin-coated thin film (red). The identical peak positions (</w:t>
      </w:r>
      <w:r w:rsidRPr="00C75420">
        <w:rPr>
          <w:rFonts w:eastAsiaTheme="minorEastAsia" w:hint="eastAsia"/>
        </w:rPr>
        <w:t>~</w:t>
      </w:r>
      <w:r w:rsidRPr="000E3275">
        <w:t>610 nm) indicate that the film formation process preserves the intrinsic emission properties of the QDs. </w:t>
      </w:r>
      <w:r w:rsidRPr="000E3275">
        <w:rPr>
          <w:b/>
          <w:bCs/>
        </w:rPr>
        <w:t>b,</w:t>
      </w:r>
      <w:r w:rsidRPr="000E3275">
        <w:t xml:space="preserve"> </w:t>
      </w:r>
      <w:r>
        <w:rPr>
          <w:rFonts w:eastAsiaTheme="minorEastAsia" w:hint="eastAsia"/>
        </w:rPr>
        <w:t>R</w:t>
      </w:r>
      <w:r w:rsidRPr="000E3275">
        <w:t>eflectance spectra of the silver lattice before (black) and after (red) coating with the QD layer. The primary Bloch SPP resonance exhibits a minor redshift of 4.3 nm due to the change in refractive index, while the absence of new resonance dips confirms that the thin gain layer does not support parasitic waveguide modes.</w:t>
      </w:r>
    </w:p>
    <w:p w14:paraId="03858D04" w14:textId="77777777" w:rsidR="000E3275" w:rsidRDefault="000E3275">
      <w:pPr>
        <w:widowControl/>
        <w:spacing w:afterLines="0" w:after="0" w:line="240" w:lineRule="auto"/>
        <w:ind w:firstLineChars="0" w:firstLine="0"/>
      </w:pPr>
      <w:r>
        <w:br w:type="page"/>
      </w:r>
    </w:p>
    <w:p w14:paraId="24891A2C" w14:textId="14504596" w:rsidR="00A368FB" w:rsidRPr="008F0747" w:rsidRDefault="001363D2" w:rsidP="00A524AF">
      <w:pPr>
        <w:pStyle w:val="2"/>
        <w:spacing w:after="249"/>
        <w:ind w:firstLineChars="0" w:firstLine="0"/>
        <w:rPr>
          <w:rFonts w:ascii="Times New Roman" w:hAnsi="Times New Roman" w:cs="Times New Roman"/>
          <w:sz w:val="24"/>
          <w:szCs w:val="24"/>
        </w:rPr>
      </w:pPr>
      <w:bookmarkStart w:id="6" w:name="_Hlk218530440"/>
      <w:bookmarkStart w:id="7" w:name="_Toc218536495"/>
      <w:r w:rsidRPr="008F0747">
        <w:rPr>
          <w:rFonts w:ascii="Times New Roman" w:hAnsi="Times New Roman" w:cs="Times New Roman" w:hint="eastAsia"/>
          <w:sz w:val="24"/>
          <w:szCs w:val="24"/>
        </w:rPr>
        <w:lastRenderedPageBreak/>
        <w:t>Supplementary Note 2</w:t>
      </w:r>
      <w:bookmarkEnd w:id="6"/>
      <w:r w:rsidRPr="008F0747">
        <w:rPr>
          <w:rFonts w:ascii="Times New Roman" w:hAnsi="Times New Roman" w:cs="Times New Roman" w:hint="eastAsia"/>
          <w:sz w:val="24"/>
          <w:szCs w:val="24"/>
        </w:rPr>
        <w:t xml:space="preserve">: </w:t>
      </w:r>
      <w:r w:rsidR="00864C32" w:rsidRPr="008F0747">
        <w:rPr>
          <w:rFonts w:ascii="Times New Roman" w:hAnsi="Times New Roman" w:cs="Times New Roman"/>
          <w:sz w:val="24"/>
          <w:szCs w:val="24"/>
        </w:rPr>
        <w:t>Measurement of angle-resolved spectra</w:t>
      </w:r>
      <w:bookmarkEnd w:id="7"/>
    </w:p>
    <w:p w14:paraId="60E32206" w14:textId="5025479E" w:rsidR="00CB5E8E" w:rsidRPr="00C75420" w:rsidRDefault="00CB5E8E" w:rsidP="00CB5E8E">
      <w:pPr>
        <w:spacing w:after="249"/>
        <w:ind w:firstLine="480"/>
        <w:rPr>
          <w:rFonts w:eastAsia="宋体"/>
        </w:rPr>
      </w:pPr>
      <w:r w:rsidRPr="00C75420">
        <w:rPr>
          <w:rFonts w:eastAsia="宋体"/>
        </w:rPr>
        <w:t>To systematically investigate the correlation between the lasing emission and the Bloch</w:t>
      </w:r>
      <w:r w:rsidRPr="00C75420">
        <w:rPr>
          <w:rFonts w:eastAsia="宋体" w:hint="eastAsia"/>
        </w:rPr>
        <w:t xml:space="preserve"> </w:t>
      </w:r>
      <w:r w:rsidRPr="00C75420">
        <w:rPr>
          <w:rFonts w:eastAsia="宋体"/>
        </w:rPr>
        <w:t xml:space="preserve">SPPs, we constructed a versatile custom-built angle-resolved spectroscopy system (Supplementary Fig. 6). This apparatus integrates multiple functionalities, allowing for the comprehensive measurement of angle-resolved reflection spectra, radiation emission spectra, excitation polarization/power dependence, emission polarization analysis, and </w:t>
      </w:r>
      <w:r w:rsidR="004E55AE">
        <w:rPr>
          <w:rFonts w:eastAsia="宋体" w:hint="eastAsia"/>
        </w:rPr>
        <w:t>temporal</w:t>
      </w:r>
      <w:r w:rsidRPr="00C75420">
        <w:rPr>
          <w:rFonts w:eastAsia="宋体"/>
        </w:rPr>
        <w:t xml:space="preserve"> coherence.</w:t>
      </w:r>
    </w:p>
    <w:p w14:paraId="0E1F3F9A" w14:textId="055A3B24" w:rsidR="00CB5E8E" w:rsidRPr="00C75420" w:rsidRDefault="00CB5E8E" w:rsidP="00CB5E8E">
      <w:pPr>
        <w:spacing w:after="249"/>
        <w:ind w:firstLine="480"/>
        <w:rPr>
          <w:rFonts w:eastAsia="宋体"/>
        </w:rPr>
      </w:pPr>
      <w:r w:rsidRPr="00C75420">
        <w:rPr>
          <w:rFonts w:eastAsia="宋体" w:hint="eastAsia"/>
        </w:rPr>
        <w:t>T</w:t>
      </w:r>
      <w:r w:rsidRPr="00C75420">
        <w:rPr>
          <w:rFonts w:eastAsia="宋体"/>
        </w:rPr>
        <w:t>he system comprises four primary modules: a light source selection unit, a polarization/power control unit, a spectral collection unit, and a Michelson interferometer module</w:t>
      </w:r>
      <w:r w:rsidR="005B7F98">
        <w:rPr>
          <w:rFonts w:eastAsia="宋体"/>
        </w:rPr>
        <w:fldChar w:fldCharType="begin"/>
      </w:r>
      <w:r w:rsidR="005B7F98">
        <w:rPr>
          <w:rFonts w:eastAsia="宋体"/>
        </w:rPr>
        <w:instrText xml:space="preserve"> ADDIN ZOTERO_ITEM CSL_CITATION {"citationID":"qhAzTGLJ","properties":{"formattedCitation":"\\super 1\\nosupersub{}","plainCitation":"1","noteIndex":0},"citationItems":[{"id":3542,"uris":["http://zotero.org/users/13959459/items/PN48DZRG"],"itemData":{"id":3542,"type":"article-journal","abstract":"AbstractThe emergence of spatial and temporal coherence of light emitted from solid-state systems is a fundamental phenomenon intrinsically aligned with the control of light-matter coupling. It is canonical for laser oscillation, emerges in the superradiance of collective emitters, and has been investigated in bosonic condensates of thermalized light, as well as exciton-polaritons. Our room temperature experiments show the strong light-matter coupling between microcavity photons and excitons in atomically thin WSe2. We evidence the density-dependent expansion of spatial and temporal coherence of the emitted light from the spatially confined system ground-state, which is accompanied by a threshold-like response of the emitted light intensity. Additionally, valley-physics is manifested in the presence of an external magnetic field, which allows us to manipulate K and K’ polaritons via the valley-Zeeman-effect. Our findings validate the potential of atomically thin crystals as versatile components of coherent light-sources, and in valleytronic applications at room temperature.","container-title":"Nature Communications","DOI":"10.1038/s41467-021-26715-9","ISSN":"2041-1723","issue":"1","journalAbbreviation":"Nat Commun","language":"en","license":"https://creativecommons.org/licenses/by/4.0","note":"publisher: Springer Science and Business Media LLC\nTLDR: These findings validate the potential of atomically thin crystals as versatile components of coherent light-sources, and in valleytronic applications at room temperature, and demonstrate the strong light-matter coupling between microcavity photons and excitons inatomically thin WSe2.","source":"Crossref","title":"Spatial coherence of room-temperature monolayer WSe2 exciton-polaritons in a trap","URL":"https://www.nature.com/articles/s41467-021-26715-9","volume":"12","author":[{"family":"Shan","given":"Hangyong"},{"family":"Lackner","given":"Lukas"},{"family":"Han","given":"Bo"},{"family":"Sedov","given":"Evgeny"},{"family":"Rupprecht","given":"Christoph"},{"family":"Knopf","given":"Heiko"},{"family":"Eilenberger","given":"Falk"},{"family":"Beierlein","given":"Johannes"},{"family":"Kunte","given":"Nils"},{"family":"Esmann","given":"Martin"},{"family":"Yumigeta","given":"Kentaro"},{"family":"Watanabe","given":"Kenji"},{"family":"Taniguchi","given":"Takashi"},{"family":"Klembt","given":"Sebastian"},{"family":"Höfling","given":"Sven"},{"family":"Kavokin","given":"Alexey V."},{"family":"Tongay","given":"Sefaattin"},{"family":"Schneider","given":"Christian"},{"family":"Antón-Solanas","given":"Carlos"}],"accessed":{"date-parts":[["2025",9,8]]},"issued":{"date-parts":[["2021",11,4]]}}}],"schema":"https://github.com/citation-style-language/schema/raw/master/csl-citation.json"} </w:instrText>
      </w:r>
      <w:r w:rsidR="005B7F98">
        <w:rPr>
          <w:rFonts w:eastAsia="宋体"/>
        </w:rPr>
        <w:fldChar w:fldCharType="separate"/>
      </w:r>
      <w:r w:rsidR="00D84474" w:rsidRPr="00D84474">
        <w:rPr>
          <w:rFonts w:cs="Times New Roman"/>
          <w:kern w:val="0"/>
          <w:szCs w:val="24"/>
          <w:vertAlign w:val="superscript"/>
        </w:rPr>
        <w:t>1</w:t>
      </w:r>
      <w:r w:rsidR="005B7F98">
        <w:rPr>
          <w:rFonts w:eastAsia="宋体"/>
        </w:rPr>
        <w:fldChar w:fldCharType="end"/>
      </w:r>
      <w:r w:rsidRPr="00C75420">
        <w:rPr>
          <w:rFonts w:eastAsia="宋体"/>
        </w:rPr>
        <w:t>. The sample positioning and detection geometry are controlled by a nested goniometer configuration</w:t>
      </w:r>
      <w:r w:rsidRPr="00C75420">
        <w:rPr>
          <w:rFonts w:eastAsia="宋体" w:hint="eastAsia"/>
        </w:rPr>
        <w:t xml:space="preserve">. </w:t>
      </w:r>
    </w:p>
    <w:p w14:paraId="08FC09CA" w14:textId="0B333DC8" w:rsidR="00CB5E8E" w:rsidRPr="00C75420" w:rsidRDefault="00CB5E8E" w:rsidP="00CB5E8E">
      <w:pPr>
        <w:spacing w:after="249"/>
        <w:ind w:firstLine="480"/>
        <w:rPr>
          <w:rFonts w:eastAsia="宋体"/>
        </w:rPr>
      </w:pPr>
      <w:r w:rsidRPr="00C75420">
        <w:rPr>
          <w:rFonts w:eastAsia="宋体"/>
        </w:rPr>
        <w:t>The sample is mounted on a motorized rotation stage (Stage 3) to control the azimuthal angle (</w:t>
      </w:r>
      <m:oMath>
        <m:r>
          <w:rPr>
            <w:rFonts w:ascii="Cambria Math" w:eastAsia="宋体" w:hAnsi="Cambria Math" w:hint="eastAsia"/>
          </w:rPr>
          <m:t>φ</m:t>
        </m:r>
      </m:oMath>
      <w:r w:rsidRPr="00C75420">
        <w:rPr>
          <w:rFonts w:eastAsia="宋体"/>
        </w:rPr>
        <w:t>, in the </w:t>
      </w:r>
      <m:oMath>
        <m:r>
          <w:rPr>
            <w:rFonts w:ascii="Cambria Math" w:eastAsia="宋体" w:hAnsi="Cambria Math"/>
          </w:rPr>
          <m:t>x</m:t>
        </m:r>
      </m:oMath>
      <w:r w:rsidRPr="00C75420">
        <w:rPr>
          <w:rFonts w:eastAsia="宋体"/>
        </w:rPr>
        <w:t>-</w:t>
      </w:r>
      <m:oMath>
        <m:r>
          <w:rPr>
            <w:rFonts w:ascii="Cambria Math" w:eastAsia="宋体" w:hAnsi="Cambria Math"/>
          </w:rPr>
          <m:t>y</m:t>
        </m:r>
      </m:oMath>
      <w:r w:rsidRPr="00C75420">
        <w:rPr>
          <w:rFonts w:eastAsia="宋体"/>
        </w:rPr>
        <w:t> plane). Stage 3 is vertically mounted onto a second rotation stage (Stage 2), which tilts the sample to define the incident polar angle (</w:t>
      </w:r>
      <m:oMath>
        <m:sSub>
          <m:sSubPr>
            <m:ctrlPr>
              <w:rPr>
                <w:rFonts w:ascii="Cambria Math" w:eastAsia="宋体" w:hAnsi="Cambria Math"/>
              </w:rPr>
            </m:ctrlPr>
          </m:sSubPr>
          <m:e>
            <m:r>
              <w:rPr>
                <w:rFonts w:ascii="Cambria Math" w:eastAsia="宋体" w:hAnsi="Cambria Math"/>
              </w:rPr>
              <m:t>θ</m:t>
            </m:r>
          </m:e>
          <m:sub>
            <m:r>
              <m:rPr>
                <m:nor/>
              </m:rPr>
              <w:rPr>
                <w:rFonts w:eastAsia="宋体"/>
              </w:rPr>
              <m:t>in</m:t>
            </m:r>
          </m:sub>
        </m:sSub>
      </m:oMath>
      <w:r w:rsidRPr="00C75420">
        <w:rPr>
          <w:rFonts w:eastAsia="宋体"/>
        </w:rPr>
        <w:t>, in the </w:t>
      </w:r>
      <m:oMath>
        <m:r>
          <w:rPr>
            <w:rFonts w:ascii="Cambria Math" w:eastAsia="宋体" w:hAnsi="Cambria Math"/>
          </w:rPr>
          <m:t>x</m:t>
        </m:r>
      </m:oMath>
      <w:r w:rsidRPr="00C75420">
        <w:rPr>
          <w:rFonts w:eastAsia="宋体"/>
        </w:rPr>
        <w:t>-</w:t>
      </w:r>
      <m:oMath>
        <m:r>
          <w:rPr>
            <w:rFonts w:ascii="Cambria Math" w:eastAsia="宋体" w:hAnsi="Cambria Math"/>
          </w:rPr>
          <m:t>z</m:t>
        </m:r>
      </m:oMath>
      <w:r w:rsidRPr="00C75420">
        <w:rPr>
          <w:rFonts w:eastAsia="宋体"/>
        </w:rPr>
        <w:t> plane).</w:t>
      </w:r>
      <w:r w:rsidRPr="00C75420">
        <w:rPr>
          <w:rFonts w:eastAsia="宋体" w:hint="eastAsia"/>
        </w:rPr>
        <w:t xml:space="preserve"> </w:t>
      </w:r>
      <w:r w:rsidRPr="00C75420">
        <w:rPr>
          <w:rFonts w:eastAsia="宋体"/>
        </w:rPr>
        <w:t>A larger, outer coaxial rotation stage (Stage 1) carries the detection modules. Rotating Stage 1 allows the detection unit to sweep the viewing angle (</w:t>
      </w:r>
      <m:oMath>
        <m:sSub>
          <m:sSubPr>
            <m:ctrlPr>
              <w:rPr>
                <w:rFonts w:ascii="Cambria Math" w:eastAsia="宋体" w:hAnsi="Cambria Math"/>
              </w:rPr>
            </m:ctrlPr>
          </m:sSubPr>
          <m:e>
            <m:r>
              <w:rPr>
                <w:rFonts w:ascii="Cambria Math" w:eastAsia="宋体" w:hAnsi="Cambria Math"/>
              </w:rPr>
              <m:t>θ</m:t>
            </m:r>
          </m:e>
          <m:sub>
            <m:r>
              <m:rPr>
                <m:nor/>
              </m:rPr>
              <w:rPr>
                <w:rFonts w:eastAsia="宋体"/>
              </w:rPr>
              <m:t>out</m:t>
            </m:r>
          </m:sub>
        </m:sSub>
      </m:oMath>
      <w:r w:rsidRPr="00C75420">
        <w:rPr>
          <w:rFonts w:eastAsia="宋体"/>
        </w:rPr>
        <w:t>) independently of the sample orientation.</w:t>
      </w:r>
      <w:r w:rsidRPr="00C75420">
        <w:rPr>
          <w:rFonts w:eastAsia="宋体" w:hint="eastAsia"/>
        </w:rPr>
        <w:t xml:space="preserve"> </w:t>
      </w:r>
      <w:r w:rsidRPr="00C75420">
        <w:rPr>
          <w:rFonts w:eastAsia="宋体"/>
        </w:rPr>
        <w:t>This configuration enables full hemispherical mapping of the optical response, defined by the parameters </w:t>
      </w:r>
      <m:oMath>
        <m:d>
          <m:dPr>
            <m:ctrlPr>
              <w:rPr>
                <w:rFonts w:ascii="Cambria Math" w:eastAsia="宋体" w:hAnsi="Cambria Math"/>
              </w:rPr>
            </m:ctrlPr>
          </m:dPr>
          <m:e>
            <m:r>
              <w:rPr>
                <w:rFonts w:ascii="Cambria Math" w:eastAsia="宋体" w:hAnsi="Cambria Math"/>
              </w:rPr>
              <m:t>λ,I∝</m:t>
            </m:r>
            <m:sSub>
              <m:sSubPr>
                <m:ctrlPr>
                  <w:rPr>
                    <w:rFonts w:ascii="Cambria Math" w:eastAsia="宋体" w:hAnsi="Cambria Math"/>
                  </w:rPr>
                </m:ctrlPr>
              </m:sSubPr>
              <m:e>
                <m:r>
                  <w:rPr>
                    <w:rFonts w:ascii="Cambria Math" w:eastAsia="宋体" w:hAnsi="Cambria Math"/>
                  </w:rPr>
                  <m:t>θ</m:t>
                </m:r>
              </m:e>
              <m:sub>
                <m:r>
                  <m:rPr>
                    <m:nor/>
                  </m:rPr>
                  <w:rPr>
                    <w:rFonts w:eastAsia="宋体"/>
                  </w:rPr>
                  <m:t>in</m:t>
                </m:r>
              </m:sub>
            </m:sSub>
            <m:r>
              <w:rPr>
                <w:rFonts w:ascii="Cambria Math" w:eastAsia="宋体" w:hAnsi="Cambria Math"/>
              </w:rPr>
              <m:t>,</m:t>
            </m:r>
            <m:r>
              <w:rPr>
                <w:rFonts w:ascii="Cambria Math" w:eastAsia="宋体" w:hAnsi="Cambria Math" w:hint="eastAsia"/>
              </w:rPr>
              <m:t>φ</m:t>
            </m:r>
            <m:r>
              <w:rPr>
                <w:rFonts w:ascii="Cambria Math" w:eastAsia="宋体" w:hAnsi="Cambria Math"/>
              </w:rPr>
              <m:t>,</m:t>
            </m:r>
            <m:sSub>
              <m:sSubPr>
                <m:ctrlPr>
                  <w:rPr>
                    <w:rFonts w:ascii="Cambria Math" w:eastAsia="宋体" w:hAnsi="Cambria Math"/>
                  </w:rPr>
                </m:ctrlPr>
              </m:sSubPr>
              <m:e>
                <m:r>
                  <w:rPr>
                    <w:rFonts w:ascii="Cambria Math" w:eastAsia="宋体" w:hAnsi="Cambria Math"/>
                  </w:rPr>
                  <m:t>θ</m:t>
                </m:r>
              </m:e>
              <m:sub>
                <m:r>
                  <m:rPr>
                    <m:nor/>
                  </m:rPr>
                  <w:rPr>
                    <w:rFonts w:eastAsia="宋体"/>
                  </w:rPr>
                  <m:t>out</m:t>
                </m:r>
              </m:sub>
            </m:sSub>
          </m:e>
        </m:d>
      </m:oMath>
      <w:r w:rsidRPr="00C75420">
        <w:rPr>
          <w:rFonts w:eastAsia="宋体"/>
        </w:rPr>
        <w:t>.</w:t>
      </w:r>
    </w:p>
    <w:p w14:paraId="7BBC862A" w14:textId="7304D802" w:rsidR="00CB5E8E" w:rsidRPr="00C75420" w:rsidRDefault="00CB5E8E" w:rsidP="00CB5E8E">
      <w:pPr>
        <w:spacing w:after="249"/>
        <w:ind w:firstLine="480"/>
        <w:rPr>
          <w:rFonts w:eastAsia="宋体"/>
        </w:rPr>
      </w:pPr>
      <w:r w:rsidRPr="00C75420">
        <w:rPr>
          <w:rFonts w:eastAsia="宋体"/>
        </w:rPr>
        <w:t>For passive band structure mapping, a collimated halogen light source (HL100, Idea Optics) illuminates the sample</w:t>
      </w:r>
      <w:r w:rsidR="00944502">
        <w:rPr>
          <w:rFonts w:eastAsia="宋体"/>
        </w:rPr>
        <w:t xml:space="preserve"> (</w:t>
      </w:r>
      <w:r w:rsidR="00944502" w:rsidRPr="00944502">
        <w:rPr>
          <w:rFonts w:eastAsiaTheme="minorEastAsia"/>
        </w:rPr>
        <w:t>Supplementary Fig. 7</w:t>
      </w:r>
      <w:r w:rsidR="00944502">
        <w:rPr>
          <w:rFonts w:eastAsia="宋体"/>
        </w:rPr>
        <w:t>b)</w:t>
      </w:r>
      <w:r w:rsidRPr="00C75420">
        <w:rPr>
          <w:rFonts w:eastAsia="宋体"/>
        </w:rPr>
        <w:t>. The incident polarization (TE or TM) is selected via a linear polarizer (LP2; GT10, JCOPTIX). To measure specular reflectance, the angular motion is synchronized such that the detection angle tracks the reflection path: if the sample is rotated by an angle </w:t>
      </w:r>
      <m:oMath>
        <m:r>
          <w:rPr>
            <w:rFonts w:ascii="Cambria Math" w:eastAsia="宋体" w:hAnsi="Cambria Math"/>
          </w:rPr>
          <m:t>α</m:t>
        </m:r>
      </m:oMath>
      <w:r w:rsidRPr="00C75420">
        <w:rPr>
          <w:rFonts w:eastAsia="宋体"/>
        </w:rPr>
        <w:t> (</w:t>
      </w:r>
      <m:oMath>
        <m:sSub>
          <m:sSubPr>
            <m:ctrlPr>
              <w:rPr>
                <w:rFonts w:ascii="Cambria Math" w:eastAsia="宋体" w:hAnsi="Cambria Math"/>
              </w:rPr>
            </m:ctrlPr>
          </m:sSubPr>
          <m:e>
            <m:r>
              <w:rPr>
                <w:rFonts w:ascii="Cambria Math" w:eastAsia="宋体" w:hAnsi="Cambria Math"/>
              </w:rPr>
              <m:t>θ</m:t>
            </m:r>
          </m:e>
          <m:sub>
            <m:r>
              <m:rPr>
                <m:nor/>
              </m:rPr>
              <w:rPr>
                <w:rFonts w:eastAsia="宋体"/>
              </w:rPr>
              <m:t>in</m:t>
            </m:r>
          </m:sub>
        </m:sSub>
        <m:r>
          <w:rPr>
            <w:rFonts w:ascii="Cambria Math" w:eastAsia="宋体" w:hAnsi="Cambria Math"/>
          </w:rPr>
          <m:t>=α</m:t>
        </m:r>
      </m:oMath>
      <w:r w:rsidRPr="00C75420">
        <w:rPr>
          <w:rFonts w:eastAsia="宋体"/>
        </w:rPr>
        <w:t>), Stage 1 is rotated by </w:t>
      </w:r>
      <m:oMath>
        <m:r>
          <w:rPr>
            <w:rFonts w:ascii="Cambria Math" w:eastAsia="宋体" w:hAnsi="Cambria Math"/>
          </w:rPr>
          <m:t>2α</m:t>
        </m:r>
      </m:oMath>
      <w:r w:rsidRPr="00C75420">
        <w:rPr>
          <w:rFonts w:eastAsia="宋体"/>
        </w:rPr>
        <w:t> (</w:t>
      </w:r>
      <m:oMath>
        <m:sSub>
          <m:sSubPr>
            <m:ctrlPr>
              <w:rPr>
                <w:rFonts w:ascii="Cambria Math" w:eastAsia="宋体" w:hAnsi="Cambria Math"/>
              </w:rPr>
            </m:ctrlPr>
          </m:sSubPr>
          <m:e>
            <m:r>
              <w:rPr>
                <w:rFonts w:ascii="Cambria Math" w:eastAsia="宋体" w:hAnsi="Cambria Math"/>
              </w:rPr>
              <m:t>θ</m:t>
            </m:r>
          </m:e>
          <m:sub>
            <m:r>
              <m:rPr>
                <m:nor/>
              </m:rPr>
              <w:rPr>
                <w:rFonts w:eastAsia="宋体"/>
              </w:rPr>
              <m:t>out</m:t>
            </m:r>
          </m:sub>
        </m:sSub>
        <m:r>
          <w:rPr>
            <w:rFonts w:ascii="Cambria Math" w:eastAsia="宋体" w:hAnsi="Cambria Math"/>
          </w:rPr>
          <m:t>=</m:t>
        </m:r>
        <m:sSub>
          <m:sSubPr>
            <m:ctrlPr>
              <w:rPr>
                <w:rFonts w:ascii="Cambria Math" w:eastAsia="宋体" w:hAnsi="Cambria Math"/>
              </w:rPr>
            </m:ctrlPr>
          </m:sSubPr>
          <m:e>
            <m:r>
              <w:rPr>
                <w:rFonts w:ascii="Cambria Math" w:eastAsia="宋体" w:hAnsi="Cambria Math"/>
              </w:rPr>
              <m:t>θ</m:t>
            </m:r>
          </m:e>
          <m:sub>
            <m:r>
              <m:rPr>
                <m:nor/>
              </m:rPr>
              <w:rPr>
                <w:rFonts w:eastAsia="宋体"/>
              </w:rPr>
              <m:t>in</m:t>
            </m:r>
          </m:sub>
        </m:sSub>
        <m:r>
          <w:rPr>
            <w:rFonts w:ascii="Cambria Math" w:eastAsia="宋体" w:hAnsi="Cambria Math"/>
          </w:rPr>
          <m:t>+</m:t>
        </m:r>
        <m:sSub>
          <m:sSubPr>
            <m:ctrlPr>
              <w:rPr>
                <w:rFonts w:ascii="Cambria Math" w:eastAsia="宋体" w:hAnsi="Cambria Math"/>
              </w:rPr>
            </m:ctrlPr>
          </m:sSubPr>
          <m:e>
            <m:r>
              <w:rPr>
                <w:rFonts w:ascii="Cambria Math" w:eastAsia="宋体" w:hAnsi="Cambria Math"/>
              </w:rPr>
              <m:t>θ</m:t>
            </m:r>
          </m:e>
          <m:sub>
            <m:r>
              <m:rPr>
                <m:nor/>
              </m:rPr>
              <w:rPr>
                <w:rFonts w:eastAsia="宋体"/>
              </w:rPr>
              <m:t>r</m:t>
            </m:r>
          </m:sub>
        </m:sSub>
      </m:oMath>
      <w:r w:rsidRPr="00C75420">
        <w:rPr>
          <w:rFonts w:eastAsia="宋体"/>
        </w:rPr>
        <w:t>). The reflected light is coupled into a multimode fiber via the spectral collection module and analyzed by a spectrometer (LEDPRO-50, Ocean Optics).</w:t>
      </w:r>
    </w:p>
    <w:p w14:paraId="730C4618" w14:textId="73B50311" w:rsidR="00CB5E8E" w:rsidRDefault="00CB5E8E" w:rsidP="00CB5E8E">
      <w:pPr>
        <w:spacing w:after="249"/>
        <w:ind w:firstLine="480"/>
        <w:rPr>
          <w:rFonts w:eastAsia="宋体"/>
        </w:rPr>
      </w:pPr>
      <w:r w:rsidRPr="00CB5E8E">
        <w:rPr>
          <w:rFonts w:eastAsia="宋体"/>
        </w:rPr>
        <w:t>For active measurements, the source is switched to a continuous-wave (CW) 405 nm semiconductor laser (GNL-S405, CIOMP)</w:t>
      </w:r>
      <w:r w:rsidR="00944502" w:rsidRPr="00944502">
        <w:rPr>
          <w:rFonts w:eastAsia="宋体"/>
        </w:rPr>
        <w:t xml:space="preserve"> </w:t>
      </w:r>
      <w:r w:rsidR="00944502">
        <w:rPr>
          <w:rFonts w:eastAsia="宋体"/>
        </w:rPr>
        <w:t>(</w:t>
      </w:r>
      <w:r w:rsidR="00944502" w:rsidRPr="00944502">
        <w:rPr>
          <w:rFonts w:eastAsiaTheme="minorEastAsia"/>
        </w:rPr>
        <w:t>Supplementary Fig. 7</w:t>
      </w:r>
      <w:r w:rsidR="00944502">
        <w:rPr>
          <w:rFonts w:eastAsia="宋体"/>
        </w:rPr>
        <w:t>c)</w:t>
      </w:r>
      <w:r w:rsidRPr="00CB5E8E">
        <w:rPr>
          <w:rFonts w:eastAsia="宋体"/>
        </w:rPr>
        <w:t>. The excitation power is continuously tunable using a half-wave plate (HWP; TWP20H-405P, JCOPTIX) in combination with the fixed polarizer LP2. The incident geometry (</w:t>
      </w:r>
      <m:oMath>
        <m:sSub>
          <m:sSubPr>
            <m:ctrlPr>
              <w:rPr>
                <w:rFonts w:ascii="Cambria Math" w:eastAsia="宋体" w:hAnsi="Cambria Math"/>
              </w:rPr>
            </m:ctrlPr>
          </m:sSubPr>
          <m:e>
            <m:r>
              <w:rPr>
                <w:rFonts w:ascii="Cambria Math" w:eastAsia="宋体" w:hAnsi="Cambria Math"/>
              </w:rPr>
              <m:t>θ</m:t>
            </m:r>
          </m:e>
          <m:sub>
            <m:r>
              <m:rPr>
                <m:nor/>
              </m:rPr>
              <w:rPr>
                <w:rFonts w:eastAsia="宋体"/>
              </w:rPr>
              <m:t>in</m:t>
            </m:r>
          </m:sub>
        </m:sSub>
        <m:r>
          <w:rPr>
            <w:rFonts w:ascii="Cambria Math" w:eastAsia="宋体" w:hAnsi="Cambria Math"/>
          </w:rPr>
          <m:t>,</m:t>
        </m:r>
        <m:r>
          <w:rPr>
            <w:rFonts w:ascii="Cambria Math" w:eastAsia="宋体" w:hAnsi="Cambria Math" w:hint="eastAsia"/>
          </w:rPr>
          <m:t>φ</m:t>
        </m:r>
      </m:oMath>
      <w:r w:rsidRPr="00CB5E8E">
        <w:rPr>
          <w:rFonts w:eastAsia="宋体"/>
        </w:rPr>
        <w:t>) is set by Stages 2 and 3, while the emission spectrum is collected at arbitrary angles </w:t>
      </w:r>
      <m:oMath>
        <m:sSub>
          <m:sSubPr>
            <m:ctrlPr>
              <w:rPr>
                <w:rFonts w:ascii="Cambria Math" w:eastAsia="宋体" w:hAnsi="Cambria Math"/>
              </w:rPr>
            </m:ctrlPr>
          </m:sSubPr>
          <m:e>
            <m:r>
              <w:rPr>
                <w:rFonts w:ascii="Cambria Math" w:eastAsia="宋体" w:hAnsi="Cambria Math"/>
              </w:rPr>
              <m:t>θ</m:t>
            </m:r>
          </m:e>
          <m:sub>
            <m:r>
              <m:rPr>
                <m:nor/>
              </m:rPr>
              <w:rPr>
                <w:rFonts w:eastAsia="宋体"/>
              </w:rPr>
              <m:t>out</m:t>
            </m:r>
          </m:sub>
        </m:sSub>
      </m:oMath>
      <w:r w:rsidRPr="00CB5E8E">
        <w:rPr>
          <w:rFonts w:eastAsia="宋体"/>
        </w:rPr>
        <w:t xml:space="preserve"> by rotating Stage 1. To analyze the polarization state of the emission, a rotatable linear polarizer (LP3; GT10, JCOPTIX) is inserted into the collection path. </w:t>
      </w:r>
      <w:r w:rsidRPr="00CB5E8E">
        <w:rPr>
          <w:rFonts w:eastAsia="宋体"/>
        </w:rPr>
        <w:lastRenderedPageBreak/>
        <w:t>To verify excitation polarization dependence, LP3 is removed, and the HWP is rotated to vary the pump polarization while maintaining constant power.</w:t>
      </w:r>
    </w:p>
    <w:p w14:paraId="2CFBFF07" w14:textId="64358D80" w:rsidR="00CB5E8E" w:rsidRDefault="00CB5E8E" w:rsidP="00646B29">
      <w:pPr>
        <w:spacing w:after="249"/>
        <w:ind w:firstLine="480"/>
        <w:rPr>
          <w:rFonts w:eastAsia="宋体"/>
        </w:rPr>
      </w:pPr>
      <w:r w:rsidRPr="00CB5E8E">
        <w:rPr>
          <w:rFonts w:eastAsia="宋体"/>
        </w:rPr>
        <w:t>To measure the coherence length (</w:t>
      </w:r>
      <m:oMath>
        <m:sSub>
          <m:sSubPr>
            <m:ctrlPr>
              <w:rPr>
                <w:rFonts w:ascii="Cambria Math" w:eastAsia="宋体" w:hAnsi="Cambria Math"/>
              </w:rPr>
            </m:ctrlPr>
          </m:sSubPr>
          <m:e>
            <m:r>
              <w:rPr>
                <w:rFonts w:ascii="Cambria Math" w:eastAsia="宋体" w:hAnsi="Cambria Math"/>
              </w:rPr>
              <m:t>l</m:t>
            </m:r>
          </m:e>
          <m:sub>
            <m:r>
              <w:rPr>
                <w:rFonts w:ascii="Cambria Math" w:eastAsia="宋体" w:hAnsi="Cambria Math"/>
              </w:rPr>
              <m:t>c</m:t>
            </m:r>
          </m:sub>
        </m:sSub>
      </m:oMath>
      <w:r w:rsidRPr="00CB5E8E">
        <w:rPr>
          <w:rFonts w:eastAsia="宋体"/>
        </w:rPr>
        <w:t>), the spectral collection module on Stage 1 is replaced by the Michelson interferometer module</w:t>
      </w:r>
      <w:r w:rsidR="00944502">
        <w:rPr>
          <w:rFonts w:eastAsia="宋体"/>
        </w:rPr>
        <w:t xml:space="preserve"> (</w:t>
      </w:r>
      <w:r w:rsidR="00944502" w:rsidRPr="00944502">
        <w:rPr>
          <w:rFonts w:eastAsiaTheme="minorEastAsia"/>
        </w:rPr>
        <w:t>Supplementary Fig. 7</w:t>
      </w:r>
      <w:r w:rsidR="00944502">
        <w:rPr>
          <w:rFonts w:eastAsia="宋体"/>
        </w:rPr>
        <w:t>d)</w:t>
      </w:r>
      <w:r w:rsidRPr="00CB5E8E">
        <w:rPr>
          <w:rFonts w:eastAsia="宋体"/>
        </w:rPr>
        <w:t>. The excitation geometry remains identical to the emission setup. By translating mirror M2 via a high-precision linear actuator to introduce a path length difference between the two interferometer arms, interference fringes are generated and recorded by a CMOS camera (E3ISPM2000</w:t>
      </w:r>
      <w:r w:rsidR="00E7419F">
        <w:rPr>
          <w:rFonts w:eastAsia="宋体" w:hint="eastAsia"/>
        </w:rPr>
        <w:t>0</w:t>
      </w:r>
      <w:r w:rsidRPr="00CB5E8E">
        <w:rPr>
          <w:rFonts w:eastAsia="宋体"/>
        </w:rPr>
        <w:t xml:space="preserve">KPA, </w:t>
      </w:r>
      <w:proofErr w:type="spellStart"/>
      <w:r w:rsidRPr="00CB5E8E">
        <w:rPr>
          <w:rFonts w:eastAsia="宋体"/>
        </w:rPr>
        <w:t>ToupTek</w:t>
      </w:r>
      <w:proofErr w:type="spellEnd"/>
      <w:r w:rsidRPr="00CB5E8E">
        <w:rPr>
          <w:rFonts w:eastAsia="宋体"/>
        </w:rPr>
        <w:t>).</w:t>
      </w:r>
    </w:p>
    <w:p w14:paraId="6A051ECF" w14:textId="5235D2D3" w:rsidR="00CB5E8E" w:rsidRDefault="00CB5E8E" w:rsidP="00646B29">
      <w:pPr>
        <w:spacing w:after="249"/>
        <w:ind w:firstLine="480"/>
        <w:rPr>
          <w:rFonts w:eastAsia="宋体"/>
        </w:rPr>
      </w:pPr>
      <w:r w:rsidRPr="00CB5E8E">
        <w:rPr>
          <w:rFonts w:eastAsia="宋体"/>
        </w:rPr>
        <w:t xml:space="preserve">For all measurements involving the pump laser, a long-pass edge filter (VLP01-532-12.5, </w:t>
      </w:r>
      <w:proofErr w:type="spellStart"/>
      <w:r w:rsidRPr="00CB5E8E">
        <w:rPr>
          <w:rFonts w:eastAsia="宋体"/>
        </w:rPr>
        <w:t>Semrock</w:t>
      </w:r>
      <w:proofErr w:type="spellEnd"/>
      <w:r w:rsidRPr="00CB5E8E">
        <w:rPr>
          <w:rFonts w:eastAsia="宋体"/>
        </w:rPr>
        <w:t>) is installed at the entrance of the detection modules (both spectral and interferometric). This filter effectively blocks scattered 405 nm pump light, ensuring signal purity and protecting the detectors.</w:t>
      </w:r>
    </w:p>
    <w:p w14:paraId="03889086" w14:textId="09F8D23C" w:rsidR="005C6645" w:rsidRPr="00CB5E8E" w:rsidRDefault="00CB5E8E" w:rsidP="00CB5E8E">
      <w:pPr>
        <w:widowControl/>
        <w:spacing w:afterLines="0" w:after="0" w:line="240" w:lineRule="auto"/>
        <w:ind w:firstLineChars="0" w:firstLine="0"/>
        <w:jc w:val="left"/>
        <w:rPr>
          <w:rFonts w:eastAsia="宋体"/>
        </w:rPr>
      </w:pPr>
      <w:r>
        <w:rPr>
          <w:rFonts w:eastAsia="宋体"/>
        </w:rPr>
        <w:br w:type="page"/>
      </w:r>
    </w:p>
    <w:p w14:paraId="53E52DEF" w14:textId="47786DC4" w:rsidR="00A524AF" w:rsidRDefault="005B4CD7" w:rsidP="005B4CD7">
      <w:pPr>
        <w:pStyle w:val="aff"/>
        <w:rPr>
          <w:rFonts w:eastAsiaTheme="minorEastAsia"/>
        </w:rPr>
      </w:pPr>
      <w:r>
        <w:lastRenderedPageBreak/>
        <w:drawing>
          <wp:inline distT="0" distB="0" distL="0" distR="0" wp14:anchorId="1A52E02B" wp14:editId="786EA337">
            <wp:extent cx="4956810" cy="2941171"/>
            <wp:effectExtent l="0" t="0" r="0" b="0"/>
            <wp:docPr id="40" name="图片 40"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图示&#10;&#10;AI 生成的内容可能不正确。"/>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6083"/>
                    <a:stretch/>
                  </pic:blipFill>
                  <pic:spPr bwMode="auto">
                    <a:xfrm>
                      <a:off x="0" y="0"/>
                      <a:ext cx="4957331" cy="2941480"/>
                    </a:xfrm>
                    <a:prstGeom prst="rect">
                      <a:avLst/>
                    </a:prstGeom>
                    <a:noFill/>
                    <a:ln>
                      <a:noFill/>
                    </a:ln>
                    <a:extLst>
                      <a:ext uri="{53640926-AAD7-44D8-BBD7-CCE9431645EC}">
                        <a14:shadowObscured xmlns:a14="http://schemas.microsoft.com/office/drawing/2010/main"/>
                      </a:ext>
                    </a:extLst>
                  </pic:spPr>
                </pic:pic>
              </a:graphicData>
            </a:graphic>
          </wp:inline>
        </w:drawing>
      </w:r>
    </w:p>
    <w:p w14:paraId="7217CA8C" w14:textId="3B8B6EB9" w:rsidR="005B4CD7" w:rsidRDefault="005B4CD7" w:rsidP="00DC0C18">
      <w:pPr>
        <w:pStyle w:val="ab"/>
        <w:spacing w:after="468"/>
        <w:rPr>
          <w:rFonts w:eastAsiaTheme="minorEastAsia"/>
        </w:rPr>
      </w:pPr>
      <w:bookmarkStart w:id="8" w:name="_Hlk218532106"/>
      <w:r w:rsidRPr="000C3B2F">
        <w:rPr>
          <w:rFonts w:cs="Times New Roman"/>
          <w:b/>
          <w:bCs/>
        </w:rPr>
        <w:t>Supplementary Figure</w:t>
      </w:r>
      <w:r>
        <w:rPr>
          <w:rFonts w:cs="Times New Roman"/>
          <w:b/>
          <w:bCs/>
        </w:rPr>
        <w:t xml:space="preserve"> </w:t>
      </w:r>
      <w:r>
        <w:rPr>
          <w:rFonts w:eastAsiaTheme="minorEastAsia" w:cs="Times New Roman"/>
          <w:b/>
          <w:bCs/>
        </w:rPr>
        <w:t>6</w:t>
      </w:r>
      <w:bookmarkEnd w:id="8"/>
      <w:r w:rsidRPr="000C3B2F">
        <w:rPr>
          <w:rFonts w:cs="Times New Roman"/>
          <w:b/>
          <w:bCs/>
        </w:rPr>
        <w:t xml:space="preserve"> </w:t>
      </w:r>
      <w:r w:rsidRPr="006A661D">
        <w:rPr>
          <w:b/>
          <w:bCs/>
        </w:rPr>
        <w:t>|</w:t>
      </w:r>
      <w:r w:rsidRPr="00864C32">
        <w:rPr>
          <w:rFonts w:cs="Times New Roman"/>
          <w:b/>
          <w:bCs/>
        </w:rPr>
        <w:t xml:space="preserve"> </w:t>
      </w:r>
      <w:r w:rsidRPr="00E33A25">
        <w:rPr>
          <w:rFonts w:cs="Times New Roman"/>
          <w:b/>
          <w:bCs/>
        </w:rPr>
        <w:t>Multifunctional angle-resolved spectral measurement system. </w:t>
      </w:r>
      <w:r w:rsidRPr="00E33A25">
        <w:rPr>
          <w:rFonts w:cs="Times New Roman"/>
        </w:rPr>
        <w:t>The schematic illustrates the custom-built setup comprising four primary functional modules: the light source selection unit, the polarization and power control unit (green box), the spectral collection unit (blue box), and the Michelson interferometer</w:t>
      </w:r>
      <w:r>
        <w:rPr>
          <w:rFonts w:cs="Times New Roman"/>
        </w:rPr>
        <w:fldChar w:fldCharType="begin"/>
      </w:r>
      <w:r>
        <w:rPr>
          <w:rFonts w:cs="Times New Roman"/>
        </w:rPr>
        <w:instrText xml:space="preserve"> ADDIN ZOTERO_ITEM CSL_CITATION {"citationID":"R7tUsJ87","properties":{"formattedCitation":"\\super 1\\nosupersub{}","plainCitation":"1","noteIndex":0},"citationItems":[{"id":3542,"uris":["http://zotero.org/users/13959459/items/PN48DZRG"],"itemData":{"id":3542,"type":"article-journal","abstract":"AbstractThe emergence of spatial and temporal coherence of light emitted from solid-state systems is a fundamental phenomenon intrinsically aligned with the control of light-matter coupling. It is canonical for laser oscillation, emerges in the superradiance of collective emitters, and has been investigated in bosonic condensates of thermalized light, as well as exciton-polaritons. Our room temperature experiments show the strong light-matter coupling between microcavity photons and excitons in atomically thin WSe2. We evidence the density-dependent expansion of spatial and temporal coherence of the emitted light from the spatially confined system ground-state, which is accompanied by a threshold-like response of the emitted light intensity. Additionally, valley-physics is manifested in the presence of an external magnetic field, which allows us to manipulate K and K’ polaritons via the valley-Zeeman-effect. Our findings validate the potential of atomically thin crystals as versatile components of coherent light-sources, and in valleytronic applications at room temperature.","container-title":"Nature Communications","DOI":"10.1038/s41467-021-26715-9","ISSN":"2041-1723","issue":"1","journalAbbreviation":"Nat Commun","language":"en","license":"https://creativecommons.org/licenses/by/4.0","note":"publisher: Springer Science and Business Media LLC\nTLDR: These findings validate the potential of atomically thin crystals as versatile components of coherent light-sources, and in valleytronic applications at room temperature, and demonstrate the strong light-matter coupling between microcavity photons and excitons inatomically thin WSe2.","source":"Crossref","title":"Spatial coherence of room-temperature monolayer WSe2 exciton-polaritons in a trap","URL":"https://www.nature.com/articles/s41467-021-26715-9","volume":"12","author":[{"family":"Shan","given":"Hangyong"},{"family":"Lackner","given":"Lukas"},{"family":"Han","given":"Bo"},{"family":"Sedov","given":"Evgeny"},{"family":"Rupprecht","given":"Christoph"},{"family":"Knopf","given":"Heiko"},{"family":"Eilenberger","given":"Falk"},{"family":"Beierlein","given":"Johannes"},{"family":"Kunte","given":"Nils"},{"family":"Esmann","given":"Martin"},{"family":"Yumigeta","given":"Kentaro"},{"family":"Watanabe","given":"Kenji"},{"family":"Taniguchi","given":"Takashi"},{"family":"Klembt","given":"Sebastian"},{"family":"Höfling","given":"Sven"},{"family":"Kavokin","given":"Alexey V."},{"family":"Tongay","given":"Sefaattin"},{"family":"Schneider","given":"Christian"},{"family":"Antón-Solanas","given":"Carlos"}],"accessed":{"date-parts":[["2025",9,8]]},"issued":{"date-parts":[["2021",11,4]]}}}],"schema":"https://github.com/citation-style-language/schema/raw/master/csl-citation.json"} </w:instrText>
      </w:r>
      <w:r>
        <w:rPr>
          <w:rFonts w:cs="Times New Roman"/>
        </w:rPr>
        <w:fldChar w:fldCharType="separate"/>
      </w:r>
      <w:r w:rsidRPr="00D84474">
        <w:rPr>
          <w:rFonts w:cs="Times New Roman"/>
          <w:kern w:val="0"/>
          <w:szCs w:val="24"/>
          <w:vertAlign w:val="superscript"/>
        </w:rPr>
        <w:t>1</w:t>
      </w:r>
      <w:r>
        <w:rPr>
          <w:rFonts w:cs="Times New Roman"/>
        </w:rPr>
        <w:fldChar w:fldCharType="end"/>
      </w:r>
      <w:r w:rsidRPr="00E33A25">
        <w:rPr>
          <w:rFonts w:cs="Times New Roman"/>
        </w:rPr>
        <w:t xml:space="preserve"> unit (pink box).</w:t>
      </w:r>
    </w:p>
    <w:p w14:paraId="3E868614" w14:textId="7BD162C1" w:rsidR="005C6645" w:rsidRDefault="000E3275">
      <w:pPr>
        <w:widowControl/>
        <w:spacing w:afterLines="0" w:after="0" w:line="240" w:lineRule="auto"/>
        <w:ind w:firstLineChars="0" w:firstLine="0"/>
        <w:rPr>
          <w:rFonts w:cs="Times New Roman"/>
          <w:b/>
          <w:bCs/>
        </w:rPr>
      </w:pPr>
      <w:r>
        <w:rPr>
          <w:rFonts w:cs="Times New Roman"/>
          <w:b/>
          <w:bCs/>
        </w:rPr>
        <w:br w:type="page"/>
      </w:r>
    </w:p>
    <w:p w14:paraId="02BFF030" w14:textId="77777777" w:rsidR="005B4CD7" w:rsidRDefault="005B4CD7" w:rsidP="005B4CD7">
      <w:pPr>
        <w:pStyle w:val="aff"/>
        <w:rPr>
          <w:b/>
          <w:bCs/>
        </w:rPr>
      </w:pPr>
      <w:r>
        <w:lastRenderedPageBreak/>
        <w:drawing>
          <wp:inline distT="0" distB="0" distL="0" distR="0" wp14:anchorId="05B4E555" wp14:editId="07CE9D9D">
            <wp:extent cx="5219114" cy="3061453"/>
            <wp:effectExtent l="0" t="0" r="0" b="0"/>
            <wp:docPr id="47" name="图片 47" descr="游戏的截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游戏的截图&#10;&#10;AI 生成的内容可能不正确。"/>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23835" cy="3064222"/>
                    </a:xfrm>
                    <a:prstGeom prst="rect">
                      <a:avLst/>
                    </a:prstGeom>
                    <a:noFill/>
                  </pic:spPr>
                </pic:pic>
              </a:graphicData>
            </a:graphic>
          </wp:inline>
        </w:drawing>
      </w:r>
    </w:p>
    <w:p w14:paraId="4C4D7AAF" w14:textId="16635054" w:rsidR="000213D2" w:rsidRDefault="005B4CD7" w:rsidP="005B4CD7">
      <w:pPr>
        <w:pStyle w:val="aff"/>
        <w:jc w:val="both"/>
        <w:rPr>
          <w:rFonts w:eastAsiaTheme="minorEastAsia"/>
        </w:rPr>
      </w:pPr>
      <w:r w:rsidRPr="00C23EE3">
        <w:rPr>
          <w:b/>
          <w:bCs/>
        </w:rPr>
        <w:t xml:space="preserve">Supplementary Figure </w:t>
      </w:r>
      <w:r>
        <w:rPr>
          <w:b/>
          <w:bCs/>
        </w:rPr>
        <w:t>7</w:t>
      </w:r>
      <w:r w:rsidRPr="00C23EE3">
        <w:rPr>
          <w:b/>
          <w:bCs/>
        </w:rPr>
        <w:t xml:space="preserve"> | Optical path and measurement geometry.</w:t>
      </w:r>
      <w:r>
        <w:rPr>
          <w:rFonts w:eastAsiaTheme="minorEastAsia" w:hint="eastAsia"/>
          <w:b/>
          <w:bCs/>
        </w:rPr>
        <w:t xml:space="preserve"> </w:t>
      </w:r>
      <w:r w:rsidRPr="00E33A25">
        <w:rPr>
          <w:b/>
          <w:bCs/>
        </w:rPr>
        <w:t>a</w:t>
      </w:r>
      <w:r w:rsidRPr="00E33A25">
        <w:t>, Definition of the coordinate system. The plane of incidence is defined as the </w:t>
      </w:r>
      <m:oMath>
        <m:r>
          <w:rPr>
            <w:rFonts w:ascii="Cambria Math" w:hAnsi="Cambria Math"/>
          </w:rPr>
          <m:t>xz</m:t>
        </m:r>
      </m:oMath>
      <w:r w:rsidRPr="00E33A25">
        <w:t>-plane, with the </w:t>
      </w:r>
      <m:oMath>
        <m:r>
          <w:rPr>
            <w:rFonts w:ascii="Cambria Math" w:hAnsi="Cambria Math"/>
          </w:rPr>
          <m:t>z</m:t>
        </m:r>
      </m:oMath>
      <w:r w:rsidRPr="00E33A25">
        <w:t>-axis normal to the sample surface. The incident angle (</w:t>
      </w:r>
      <m:oMath>
        <m:sSub>
          <m:sSubPr>
            <m:ctrlPr>
              <w:rPr>
                <w:rFonts w:ascii="Cambria Math" w:hAnsi="Cambria Math"/>
              </w:rPr>
            </m:ctrlPr>
          </m:sSubPr>
          <m:e>
            <m:r>
              <w:rPr>
                <w:rFonts w:ascii="Cambria Math" w:hAnsi="Cambria Math"/>
              </w:rPr>
              <m:t>θ</m:t>
            </m:r>
          </m:e>
          <m:sub>
            <m:r>
              <m:rPr>
                <m:nor/>
              </m:rPr>
              <m:t>in</m:t>
            </m:r>
          </m:sub>
        </m:sSub>
      </m:oMath>
      <w:r w:rsidRPr="00E33A25">
        <w:t>), reflection angle (</w:t>
      </w:r>
      <m:oMath>
        <m:sSub>
          <m:sSubPr>
            <m:ctrlPr>
              <w:rPr>
                <w:rFonts w:ascii="Cambria Math" w:hAnsi="Cambria Math"/>
              </w:rPr>
            </m:ctrlPr>
          </m:sSubPr>
          <m:e>
            <m:r>
              <w:rPr>
                <w:rFonts w:ascii="Cambria Math" w:hAnsi="Cambria Math"/>
              </w:rPr>
              <m:t>θ</m:t>
            </m:r>
          </m:e>
          <m:sub>
            <m:r>
              <m:rPr>
                <m:nor/>
              </m:rPr>
              <m:t>r</m:t>
            </m:r>
          </m:sub>
        </m:sSub>
      </m:oMath>
      <w:r w:rsidRPr="00E33A25">
        <w:t>), and emission angle (</w:t>
      </w:r>
      <m:oMath>
        <m:sSub>
          <m:sSubPr>
            <m:ctrlPr>
              <w:rPr>
                <w:rFonts w:ascii="Cambria Math" w:hAnsi="Cambria Math"/>
              </w:rPr>
            </m:ctrlPr>
          </m:sSubPr>
          <m:e>
            <m:r>
              <w:rPr>
                <w:rFonts w:ascii="Cambria Math" w:hAnsi="Cambria Math"/>
              </w:rPr>
              <m:t>θ</m:t>
            </m:r>
          </m:e>
          <m:sub>
            <m:r>
              <m:rPr>
                <m:nor/>
              </m:rPr>
              <m:t>out</m:t>
            </m:r>
          </m:sub>
        </m:sSub>
      </m:oMath>
      <w:r w:rsidRPr="00E33A25">
        <w:t>) are all defined relative to the surface normal.</w:t>
      </w:r>
      <w:r>
        <w:rPr>
          <w:rFonts w:eastAsiaTheme="minorEastAsia" w:hint="eastAsia"/>
        </w:rPr>
        <w:t xml:space="preserve"> </w:t>
      </w:r>
      <w:r w:rsidRPr="00E33A25">
        <w:rPr>
          <w:b/>
          <w:bCs/>
        </w:rPr>
        <w:t>b</w:t>
      </w:r>
      <w:r w:rsidRPr="00E33A25">
        <w:t>, Configuration for angle-resolved reflectance. Collimated white light illuminates the sample. The incident angle is set by rotating the sample stage (</w:t>
      </w:r>
      <m:oMath>
        <m:sSub>
          <m:sSubPr>
            <m:ctrlPr>
              <w:rPr>
                <w:rFonts w:ascii="Cambria Math" w:hAnsi="Cambria Math"/>
              </w:rPr>
            </m:ctrlPr>
          </m:sSubPr>
          <m:e>
            <m:r>
              <w:rPr>
                <w:rFonts w:ascii="Cambria Math" w:hAnsi="Cambria Math"/>
              </w:rPr>
              <m:t>θ</m:t>
            </m:r>
          </m:e>
          <m:sub>
            <m:r>
              <m:rPr>
                <m:nor/>
              </m:rPr>
              <m:t>in</m:t>
            </m:r>
          </m:sub>
        </m:sSub>
        <m:r>
          <w:rPr>
            <w:rFonts w:ascii="Cambria Math" w:hAnsi="Cambria Math"/>
          </w:rPr>
          <m:t>=α</m:t>
        </m:r>
      </m:oMath>
      <w:r w:rsidRPr="00E33A25">
        <w:t>), while the detection arm (Stage 1) is rotated to the specular reflection angle to collect the signal.</w:t>
      </w:r>
      <w:r>
        <w:rPr>
          <w:rFonts w:eastAsiaTheme="minorEastAsia" w:hint="eastAsia"/>
        </w:rPr>
        <w:t xml:space="preserve"> </w:t>
      </w:r>
      <w:r w:rsidRPr="00E33A25">
        <w:rPr>
          <w:b/>
          <w:bCs/>
        </w:rPr>
        <w:t>c</w:t>
      </w:r>
      <w:r w:rsidRPr="00E33A25">
        <w:t>, Configuration for lasing emission characterization. The sample is pumped by a 405 nm CW laser. The incident polar angle (</w:t>
      </w:r>
      <m:oMath>
        <m:sSub>
          <m:sSubPr>
            <m:ctrlPr>
              <w:rPr>
                <w:rFonts w:ascii="Cambria Math" w:hAnsi="Cambria Math"/>
              </w:rPr>
            </m:ctrlPr>
          </m:sSubPr>
          <m:e>
            <m:r>
              <w:rPr>
                <w:rFonts w:ascii="Cambria Math" w:hAnsi="Cambria Math"/>
              </w:rPr>
              <m:t>θ</m:t>
            </m:r>
          </m:e>
          <m:sub>
            <m:r>
              <m:rPr>
                <m:nor/>
              </m:rPr>
              <m:t>in</m:t>
            </m:r>
          </m:sub>
        </m:sSub>
      </m:oMath>
      <w:r w:rsidRPr="00E33A25">
        <w:t>) and azimuthal angle (</w:t>
      </w:r>
      <m:oMath>
        <m:r>
          <w:rPr>
            <w:rFonts w:ascii="Cambria Math" w:hAnsi="Cambria Math"/>
          </w:rPr>
          <m:t>ϕ</m:t>
        </m:r>
      </m:oMath>
      <w:r w:rsidRPr="00E33A25">
        <w:t>) are set by the sample goniometer (Stages 2 and 3). The detection arm (Stage 1) scans independently to map the radiation pattern at various emission angles (</w:t>
      </w:r>
      <m:oMath>
        <m:sSub>
          <m:sSubPr>
            <m:ctrlPr>
              <w:rPr>
                <w:rFonts w:ascii="Cambria Math" w:hAnsi="Cambria Math"/>
              </w:rPr>
            </m:ctrlPr>
          </m:sSubPr>
          <m:e>
            <m:r>
              <w:rPr>
                <w:rFonts w:ascii="Cambria Math" w:hAnsi="Cambria Math"/>
              </w:rPr>
              <m:t>θ</m:t>
            </m:r>
          </m:e>
          <m:sub>
            <m:r>
              <m:rPr>
                <m:nor/>
              </m:rPr>
              <m:t>out</m:t>
            </m:r>
          </m:sub>
        </m:sSub>
      </m:oMath>
      <w:r w:rsidRPr="00E33A25">
        <w:t>).</w:t>
      </w:r>
      <w:r>
        <w:rPr>
          <w:rFonts w:eastAsiaTheme="minorEastAsia" w:hint="eastAsia"/>
        </w:rPr>
        <w:t xml:space="preserve"> </w:t>
      </w:r>
      <w:r w:rsidRPr="00E33A25">
        <w:rPr>
          <w:b/>
          <w:bCs/>
        </w:rPr>
        <w:t>d</w:t>
      </w:r>
      <w:r w:rsidRPr="00E33A25">
        <w:t xml:space="preserve">, Configuration for </w:t>
      </w:r>
      <w:r w:rsidR="004E55AE">
        <w:rPr>
          <w:rFonts w:eastAsiaTheme="minorEastAsia" w:hint="eastAsia"/>
        </w:rPr>
        <w:t>temporal</w:t>
      </w:r>
      <w:r w:rsidRPr="00E33A25">
        <w:t xml:space="preserve"> coherence measurement. The geometry is identical to </w:t>
      </w:r>
      <w:r w:rsidRPr="00E33A25">
        <w:rPr>
          <w:b/>
          <w:bCs/>
        </w:rPr>
        <w:t>c</w:t>
      </w:r>
      <w:r w:rsidRPr="00E33A25">
        <w:t>, but the spectral collection module is replaced by the Michelson interferometer module to record interference patterns.</w:t>
      </w:r>
      <w:r w:rsidR="000213D2">
        <w:rPr>
          <w:rFonts w:eastAsiaTheme="minorEastAsia"/>
        </w:rPr>
        <w:br w:type="page"/>
      </w:r>
    </w:p>
    <w:p w14:paraId="39A9F7A3" w14:textId="648D45E4" w:rsidR="00257BDD" w:rsidRPr="000213D2" w:rsidRDefault="00257BDD" w:rsidP="00257BDD">
      <w:pPr>
        <w:pStyle w:val="2"/>
        <w:spacing w:after="249"/>
        <w:ind w:firstLineChars="0" w:firstLine="0"/>
        <w:rPr>
          <w:rFonts w:ascii="Times New Roman" w:hAnsi="Times New Roman" w:cs="Times New Roman"/>
          <w:sz w:val="24"/>
          <w:szCs w:val="24"/>
        </w:rPr>
      </w:pPr>
      <w:bookmarkStart w:id="9" w:name="_Toc218536496"/>
      <w:r w:rsidRPr="008F0747">
        <w:rPr>
          <w:rFonts w:ascii="Times New Roman" w:hAnsi="Times New Roman" w:cs="Times New Roman" w:hint="eastAsia"/>
          <w:sz w:val="24"/>
          <w:szCs w:val="24"/>
        </w:rPr>
        <w:lastRenderedPageBreak/>
        <w:t xml:space="preserve">Supplementary Note </w:t>
      </w:r>
      <w:r w:rsidR="00646B29">
        <w:rPr>
          <w:rFonts w:ascii="Times New Roman" w:hAnsi="Times New Roman" w:cs="Times New Roman"/>
          <w:sz w:val="24"/>
          <w:szCs w:val="24"/>
        </w:rPr>
        <w:t>3</w:t>
      </w:r>
      <w:r w:rsidRPr="008F0747">
        <w:rPr>
          <w:rFonts w:ascii="Times New Roman" w:hAnsi="Times New Roman" w:cs="Times New Roman" w:hint="eastAsia"/>
          <w:sz w:val="24"/>
          <w:szCs w:val="24"/>
        </w:rPr>
        <w:t xml:space="preserve">: </w:t>
      </w:r>
      <w:r w:rsidRPr="00257BDD">
        <w:rPr>
          <w:rFonts w:ascii="Times New Roman" w:hAnsi="Times New Roman" w:cs="Times New Roman"/>
          <w:sz w:val="24"/>
          <w:szCs w:val="24"/>
        </w:rPr>
        <w:t>Measurement of threshold of emitted laser</w:t>
      </w:r>
      <w:bookmarkEnd w:id="9"/>
    </w:p>
    <w:p w14:paraId="00978C2A" w14:textId="0990F3B6" w:rsidR="00CB5E8E" w:rsidRPr="00C75420" w:rsidRDefault="00CB5E8E" w:rsidP="00AD7D6B">
      <w:pPr>
        <w:spacing w:after="249"/>
        <w:ind w:firstLine="480"/>
        <w:rPr>
          <w:rFonts w:eastAsia="宋体"/>
        </w:rPr>
      </w:pPr>
      <w:r w:rsidRPr="00C75420">
        <w:rPr>
          <w:rFonts w:eastAsia="宋体"/>
        </w:rPr>
        <w:t>To ensure accurate determination of the lasing threshold, precise characterization of the pump beam is essential. As shown in the setup diagram (Supplementary Fig. 6 and Supplementary Fig. 7c), a 50:50 non-polarizing beamsplitter was inserted after the polarization/power control module. This diverted half of the excitation beam to a calibrated power meter (Model 2936-R, Newport) for real-time monitoring of the equivalent power incident on the sample.</w:t>
      </w:r>
    </w:p>
    <w:p w14:paraId="169DF895" w14:textId="3D63230C" w:rsidR="00CB5E8E" w:rsidRPr="00C75420" w:rsidRDefault="00CB5E8E" w:rsidP="00AD7D6B">
      <w:pPr>
        <w:spacing w:after="249"/>
        <w:ind w:firstLine="480"/>
        <w:rPr>
          <w:rFonts w:eastAsia="宋体"/>
        </w:rPr>
      </w:pPr>
      <w:r w:rsidRPr="00C75420">
        <w:rPr>
          <w:rFonts w:eastAsia="宋体"/>
        </w:rPr>
        <w:t>To quantify the power density, the power meter was temporarily replaced by a beam profiler (BP209-VIS, Thorlabs). The resulting spatial profile (Supplementary Fig. 8) reveals a near-circular Gaussian distribution. Using the elliptical area formula </w:t>
      </w:r>
      <m:oMath>
        <m:r>
          <w:rPr>
            <w:rFonts w:ascii="Cambria Math" w:eastAsia="宋体" w:hAnsi="Cambria Math"/>
          </w:rPr>
          <m:t>S=πab</m:t>
        </m:r>
      </m:oMath>
      <w:r w:rsidRPr="00C75420">
        <w:rPr>
          <w:rFonts w:eastAsia="宋体"/>
        </w:rPr>
        <w:t>, and the measured major axis </w:t>
      </w:r>
      <m:oMath>
        <m:r>
          <w:rPr>
            <w:rFonts w:ascii="Cambria Math" w:eastAsia="宋体" w:hAnsi="Cambria Math"/>
          </w:rPr>
          <m:t>2a≈282.7</m:t>
        </m:r>
      </m:oMath>
      <w:r w:rsidRPr="00C75420">
        <w:rPr>
          <w:rFonts w:eastAsia="宋体"/>
        </w:rPr>
        <w:t> μm and minor axis </w:t>
      </w:r>
      <m:oMath>
        <m:r>
          <w:rPr>
            <w:rFonts w:ascii="Cambria Math" w:eastAsia="宋体" w:hAnsi="Cambria Math"/>
          </w:rPr>
          <m:t>2b≈273.8</m:t>
        </m:r>
      </m:oMath>
      <w:r w:rsidRPr="00C75420">
        <w:rPr>
          <w:rFonts w:eastAsia="宋体"/>
        </w:rPr>
        <w:t> μm, we calculated the effective spot area to be </w:t>
      </w:r>
      <m:oMath>
        <m:r>
          <w:rPr>
            <w:rFonts w:ascii="Cambria Math" w:eastAsia="宋体" w:hAnsi="Cambria Math"/>
          </w:rPr>
          <m:t>S=6.079×</m:t>
        </m:r>
        <m:sSup>
          <m:sSupPr>
            <m:ctrlPr>
              <w:rPr>
                <w:rFonts w:ascii="Cambria Math" w:eastAsia="宋体" w:hAnsi="Cambria Math"/>
              </w:rPr>
            </m:ctrlPr>
          </m:sSupPr>
          <m:e>
            <m:r>
              <w:rPr>
                <w:rFonts w:ascii="Cambria Math" w:eastAsia="宋体" w:hAnsi="Cambria Math"/>
              </w:rPr>
              <m:t>10</m:t>
            </m:r>
          </m:e>
          <m:sup>
            <m:r>
              <w:rPr>
                <w:rFonts w:ascii="Cambria Math" w:eastAsia="宋体" w:hAnsi="Cambria Math"/>
              </w:rPr>
              <m:t>-4</m:t>
            </m:r>
          </m:sup>
        </m:sSup>
        <m:sSup>
          <m:sSupPr>
            <m:ctrlPr>
              <w:rPr>
                <w:rFonts w:ascii="Cambria Math" w:eastAsia="宋体" w:hAnsi="Cambria Math"/>
              </w:rPr>
            </m:ctrlPr>
          </m:sSupPr>
          <m:e>
            <m:r>
              <m:rPr>
                <m:nor/>
              </m:rPr>
              <w:rPr>
                <w:rFonts w:eastAsia="宋体"/>
              </w:rPr>
              <m:t xml:space="preserve"> cm</m:t>
            </m:r>
          </m:e>
          <m:sup>
            <m:r>
              <w:rPr>
                <w:rFonts w:ascii="Cambria Math" w:eastAsia="宋体" w:hAnsi="Cambria Math"/>
              </w:rPr>
              <m:t>2</m:t>
            </m:r>
          </m:sup>
        </m:sSup>
      </m:oMath>
      <w:r w:rsidRPr="00C75420">
        <w:rPr>
          <w:rFonts w:eastAsia="宋体"/>
        </w:rPr>
        <w:t>. This value was used to convert the measured pump power into power density (</w:t>
      </w:r>
      <m:oMath>
        <m:sSup>
          <m:sSupPr>
            <m:ctrlPr>
              <w:rPr>
                <w:rFonts w:ascii="Cambria Math" w:eastAsia="宋体" w:hAnsi="Cambria Math"/>
                <w:i/>
              </w:rPr>
            </m:ctrlPr>
          </m:sSupPr>
          <m:e>
            <m:r>
              <w:rPr>
                <w:rFonts w:ascii="Cambria Math" w:eastAsia="宋体" w:hAnsi="Cambria Math"/>
              </w:rPr>
              <m:t>mW/cm</m:t>
            </m:r>
          </m:e>
          <m:sup>
            <m:r>
              <w:rPr>
                <w:rFonts w:ascii="Cambria Math" w:eastAsia="宋体" w:hAnsi="Cambria Math"/>
              </w:rPr>
              <m:t>2</m:t>
            </m:r>
          </m:sup>
        </m:sSup>
      </m:oMath>
      <w:r w:rsidRPr="00C75420">
        <w:rPr>
          <w:rFonts w:eastAsia="宋体"/>
        </w:rPr>
        <w:t>) for all threshold calculations.</w:t>
      </w:r>
    </w:p>
    <w:p w14:paraId="0B352D7E" w14:textId="2E9F4E98" w:rsidR="00CB5E8E" w:rsidRPr="00CB5E8E" w:rsidRDefault="00CB5E8E" w:rsidP="00CB5E8E">
      <w:pPr>
        <w:spacing w:after="249"/>
        <w:ind w:firstLine="480"/>
        <w:rPr>
          <w:rFonts w:eastAsia="宋体"/>
        </w:rPr>
      </w:pPr>
      <w:r w:rsidRPr="00CB5E8E">
        <w:rPr>
          <w:rFonts w:eastAsia="宋体"/>
        </w:rPr>
        <w:t>For the input-output (</w:t>
      </w:r>
      <m:oMath>
        <m:r>
          <w:rPr>
            <w:rFonts w:ascii="Cambria Math" w:eastAsia="宋体" w:hAnsi="Cambria Math"/>
          </w:rPr>
          <m:t>L</m:t>
        </m:r>
      </m:oMath>
      <w:r w:rsidRPr="00CB5E8E">
        <w:rPr>
          <w:rFonts w:eastAsia="宋体"/>
        </w:rPr>
        <w:t>-</w:t>
      </w:r>
      <m:oMath>
        <m:r>
          <w:rPr>
            <w:rFonts w:ascii="Cambria Math" w:eastAsia="宋体" w:hAnsi="Cambria Math"/>
          </w:rPr>
          <m:t>L</m:t>
        </m:r>
      </m:oMath>
      <w:r w:rsidRPr="00CB5E8E">
        <w:rPr>
          <w:rFonts w:eastAsia="宋体"/>
        </w:rPr>
        <w:t>) characterization, the linear polarizer (LP2) was fixed to the TM orientation. The excitation power was then swept by rotating the preceding half-wave plate (HWP), ensuring that the polarization state on the sample remained strictly TM-polarized while the intensity varied.</w:t>
      </w:r>
      <w:r w:rsidRPr="00C75420">
        <w:rPr>
          <w:rFonts w:eastAsia="宋体" w:hint="eastAsia"/>
        </w:rPr>
        <w:t xml:space="preserve"> </w:t>
      </w:r>
      <w:r w:rsidRPr="00CB5E8E">
        <w:rPr>
          <w:rFonts w:eastAsia="宋体"/>
        </w:rPr>
        <w:t>We systematically investigated the emission intensity as a function of pump power at various detection angles </w:t>
      </w:r>
      <m:oMath>
        <m:sSub>
          <m:sSubPr>
            <m:ctrlPr>
              <w:rPr>
                <w:rFonts w:ascii="Cambria Math" w:eastAsia="宋体" w:hAnsi="Cambria Math"/>
              </w:rPr>
            </m:ctrlPr>
          </m:sSubPr>
          <m:e>
            <m:r>
              <w:rPr>
                <w:rFonts w:ascii="Cambria Math" w:eastAsia="宋体" w:hAnsi="Cambria Math"/>
              </w:rPr>
              <m:t>θ</m:t>
            </m:r>
          </m:e>
          <m:sub>
            <m:r>
              <m:rPr>
                <m:nor/>
              </m:rPr>
              <w:rPr>
                <w:rFonts w:eastAsia="宋体"/>
              </w:rPr>
              <m:t>out</m:t>
            </m:r>
          </m:sub>
        </m:sSub>
      </m:oMath>
      <w:r w:rsidRPr="00CB5E8E">
        <w:rPr>
          <w:rFonts w:eastAsia="宋体"/>
        </w:rPr>
        <w:t> to clearly distinguish between directional lasing and isotropic spontaneous fluorescence (Supplementary Fig. 9).</w:t>
      </w:r>
    </w:p>
    <w:p w14:paraId="62A6E726" w14:textId="38A5E20B" w:rsidR="00257BDD" w:rsidRDefault="00CB5E8E" w:rsidP="005B4CD7">
      <w:pPr>
        <w:spacing w:after="249"/>
        <w:ind w:firstLine="480"/>
        <w:rPr>
          <w:rFonts w:eastAsia="宋体"/>
        </w:rPr>
      </w:pPr>
      <w:r w:rsidRPr="00CB5E8E">
        <w:rPr>
          <w:rFonts w:eastAsia="宋体"/>
        </w:rPr>
        <w:t> Under vertical pumping, the emitted energy is not concentrated near the optical axis (</w:t>
      </w:r>
      <m:oMath>
        <m:sSub>
          <m:sSubPr>
            <m:ctrlPr>
              <w:rPr>
                <w:rFonts w:ascii="Cambria Math" w:eastAsia="宋体" w:hAnsi="Cambria Math"/>
              </w:rPr>
            </m:ctrlPr>
          </m:sSubPr>
          <m:e>
            <m:r>
              <w:rPr>
                <w:rFonts w:ascii="Cambria Math" w:eastAsia="宋体" w:hAnsi="Cambria Math"/>
              </w:rPr>
              <m:t>θ</m:t>
            </m:r>
          </m:e>
          <m:sub>
            <m:r>
              <m:rPr>
                <m:nor/>
              </m:rPr>
              <w:rPr>
                <w:rFonts w:eastAsia="宋体"/>
              </w:rPr>
              <m:t>out</m:t>
            </m:r>
          </m:sub>
        </m:sSub>
        <m:r>
          <w:rPr>
            <w:rFonts w:ascii="Cambria Math" w:eastAsia="宋体" w:hAnsi="Cambria Math"/>
          </w:rPr>
          <m:t>=</m:t>
        </m:r>
        <m:sSup>
          <m:sSupPr>
            <m:ctrlPr>
              <w:rPr>
                <w:rFonts w:ascii="Cambria Math" w:eastAsia="宋体" w:hAnsi="Cambria Math"/>
              </w:rPr>
            </m:ctrlPr>
          </m:sSupPr>
          <m:e>
            <m:r>
              <w:rPr>
                <w:rFonts w:ascii="Cambria Math" w:eastAsia="宋体" w:hAnsi="Cambria Math"/>
              </w:rPr>
              <m:t>10</m:t>
            </m:r>
          </m:e>
          <m:sup>
            <m:r>
              <w:rPr>
                <w:rFonts w:ascii="Cambria Math" w:eastAsia="宋体" w:hAnsi="Cambria Math"/>
              </w:rPr>
              <m:t>∘</m:t>
            </m:r>
          </m:sup>
        </m:sSup>
      </m:oMath>
      <w:r w:rsidRPr="00CB5E8E">
        <w:rPr>
          <w:rFonts w:eastAsia="宋体"/>
        </w:rPr>
        <w:t>) nor at large angles characteristic of planar interface emission (</w:t>
      </w:r>
      <m:oMath>
        <m:sSub>
          <m:sSubPr>
            <m:ctrlPr>
              <w:rPr>
                <w:rFonts w:ascii="Cambria Math" w:eastAsia="宋体" w:hAnsi="Cambria Math"/>
              </w:rPr>
            </m:ctrlPr>
          </m:sSubPr>
          <m:e>
            <m:r>
              <w:rPr>
                <w:rFonts w:ascii="Cambria Math" w:eastAsia="宋体" w:hAnsi="Cambria Math"/>
              </w:rPr>
              <m:t>θ</m:t>
            </m:r>
          </m:e>
          <m:sub>
            <m:r>
              <m:rPr>
                <m:nor/>
              </m:rPr>
              <w:rPr>
                <w:rFonts w:eastAsia="宋体"/>
              </w:rPr>
              <m:t>out</m:t>
            </m:r>
          </m:sub>
        </m:sSub>
        <m:r>
          <w:rPr>
            <w:rFonts w:ascii="Cambria Math" w:eastAsia="宋体" w:hAnsi="Cambria Math"/>
          </w:rPr>
          <m:t>=</m:t>
        </m:r>
        <m:sSup>
          <m:sSupPr>
            <m:ctrlPr>
              <w:rPr>
                <w:rFonts w:ascii="Cambria Math" w:eastAsia="宋体" w:hAnsi="Cambria Math"/>
              </w:rPr>
            </m:ctrlPr>
          </m:sSupPr>
          <m:e>
            <m:r>
              <w:rPr>
                <w:rFonts w:ascii="Cambria Math" w:eastAsia="宋体" w:hAnsi="Cambria Math"/>
              </w:rPr>
              <m:t>60</m:t>
            </m:r>
          </m:e>
          <m:sup>
            <m:r>
              <w:rPr>
                <w:rFonts w:ascii="Cambria Math" w:eastAsia="宋体" w:hAnsi="Cambria Math"/>
              </w:rPr>
              <m:t>∘</m:t>
            </m:r>
          </m:sup>
        </m:sSup>
      </m:oMath>
      <w:r w:rsidRPr="00CB5E8E">
        <w:rPr>
          <w:rFonts w:eastAsia="宋体"/>
        </w:rPr>
        <w:t>). At these angles, the response is linear and broad, typical of spontaneous fluorescence.</w:t>
      </w:r>
      <w:r>
        <w:rPr>
          <w:rFonts w:eastAsia="宋体" w:hint="eastAsia"/>
        </w:rPr>
        <w:t xml:space="preserve"> </w:t>
      </w:r>
      <w:r w:rsidRPr="00CB5E8E">
        <w:rPr>
          <w:rFonts w:eastAsia="宋体"/>
        </w:rPr>
        <w:t>In contrast, the emission is efficiently funneled into specific directional channels defined by the Bloch surface plasmon polaritons. In these resonant directions, the signal intensity is orders of magnitude higher than the fluorescence background, accompanied by significant spectral narrowing.</w:t>
      </w:r>
    </w:p>
    <w:p w14:paraId="2457ED93" w14:textId="5C41EE54" w:rsidR="005B4CD7" w:rsidRPr="005B4CD7" w:rsidRDefault="005B4CD7" w:rsidP="005B4CD7">
      <w:pPr>
        <w:widowControl/>
        <w:spacing w:afterLines="0" w:after="0" w:line="240" w:lineRule="auto"/>
        <w:ind w:firstLineChars="0" w:firstLine="0"/>
        <w:jc w:val="left"/>
        <w:rPr>
          <w:rFonts w:eastAsia="宋体"/>
        </w:rPr>
      </w:pPr>
      <w:r>
        <w:rPr>
          <w:rFonts w:eastAsia="宋体"/>
        </w:rPr>
        <w:br w:type="page"/>
      </w:r>
    </w:p>
    <w:p w14:paraId="7AEE915D" w14:textId="065D6BCE" w:rsidR="00257BDD" w:rsidRDefault="005B4CD7" w:rsidP="005B4CD7">
      <w:pPr>
        <w:pStyle w:val="aff"/>
        <w:rPr>
          <w:rFonts w:eastAsiaTheme="minorEastAsia"/>
        </w:rPr>
      </w:pPr>
      <w:r w:rsidRPr="003922F9">
        <w:lastRenderedPageBreak/>
        <w:drawing>
          <wp:inline distT="0" distB="0" distL="0" distR="0" wp14:anchorId="48FD7848" wp14:editId="3EFC2FB5">
            <wp:extent cx="2921000" cy="27876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21000" cy="2787650"/>
                    </a:xfrm>
                    <a:prstGeom prst="rect">
                      <a:avLst/>
                    </a:prstGeom>
                    <a:noFill/>
                    <a:ln>
                      <a:noFill/>
                    </a:ln>
                  </pic:spPr>
                </pic:pic>
              </a:graphicData>
            </a:graphic>
          </wp:inline>
        </w:drawing>
      </w:r>
    </w:p>
    <w:p w14:paraId="498D3F2D" w14:textId="1718016B" w:rsidR="00257BDD" w:rsidRDefault="005B4CD7" w:rsidP="00257BDD">
      <w:pPr>
        <w:pStyle w:val="ab"/>
        <w:rPr>
          <w:rFonts w:eastAsiaTheme="minorEastAsia"/>
        </w:rPr>
      </w:pPr>
      <w:r w:rsidRPr="00D82231">
        <w:rPr>
          <w:b/>
          <w:bCs/>
        </w:rPr>
        <w:t xml:space="preserve">Supplementary Figure 8 | </w:t>
      </w:r>
      <w:r w:rsidRPr="00E33A25">
        <w:rPr>
          <w:b/>
          <w:bCs/>
        </w:rPr>
        <w:t>Beam profile of the excitation source. </w:t>
      </w:r>
      <w:r w:rsidRPr="00E33A25">
        <w:t>The 405 nm CW semiconductor laser operates in the fundamental transverse mode (</w:t>
      </w:r>
      <m:oMath>
        <m:sSub>
          <m:sSubPr>
            <m:ctrlPr>
              <w:rPr>
                <w:rFonts w:ascii="Cambria Math" w:hAnsi="Cambria Math"/>
              </w:rPr>
            </m:ctrlPr>
          </m:sSubPr>
          <m:e>
            <m:r>
              <m:rPr>
                <m:nor/>
              </m:rPr>
              <m:t>TEM</m:t>
            </m:r>
          </m:e>
          <m:sub>
            <m:r>
              <w:rPr>
                <w:rFonts w:ascii="Cambria Math" w:hAnsi="Cambria Math"/>
              </w:rPr>
              <m:t>00</m:t>
            </m:r>
          </m:sub>
        </m:sSub>
      </m:oMath>
      <w:r w:rsidRPr="00E33A25">
        <w:t>). The measured spot shape is quasi-circular with a Gaussian intensity distribution, ensuring uniform excitation quality.</w:t>
      </w:r>
    </w:p>
    <w:p w14:paraId="0252EE31" w14:textId="42887EE1" w:rsidR="005B4CD7" w:rsidRPr="005B4CD7" w:rsidRDefault="005B4CD7" w:rsidP="005B4CD7">
      <w:pPr>
        <w:widowControl/>
        <w:spacing w:afterLines="0" w:after="0" w:line="240" w:lineRule="auto"/>
        <w:ind w:firstLineChars="0" w:firstLine="0"/>
        <w:jc w:val="left"/>
        <w:rPr>
          <w:rFonts w:eastAsiaTheme="minorEastAsia"/>
          <w:sz w:val="21"/>
        </w:rPr>
      </w:pPr>
      <w:r>
        <w:rPr>
          <w:rFonts w:eastAsiaTheme="minorEastAsia"/>
        </w:rPr>
        <w:br w:type="page"/>
      </w:r>
    </w:p>
    <w:p w14:paraId="26931426" w14:textId="7B3F5D1B" w:rsidR="00257BDD" w:rsidRDefault="005B4CD7" w:rsidP="005B4CD7">
      <w:pPr>
        <w:pStyle w:val="aff"/>
        <w:rPr>
          <w:rFonts w:eastAsiaTheme="minorEastAsia"/>
        </w:rPr>
      </w:pPr>
      <w:r w:rsidRPr="006843F5">
        <w:lastRenderedPageBreak/>
        <w:drawing>
          <wp:inline distT="0" distB="0" distL="0" distR="0" wp14:anchorId="48E3C846" wp14:editId="5366B69F">
            <wp:extent cx="5274310" cy="5226685"/>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310" cy="5226685"/>
                    </a:xfrm>
                    <a:prstGeom prst="rect">
                      <a:avLst/>
                    </a:prstGeom>
                    <a:noFill/>
                    <a:ln>
                      <a:noFill/>
                    </a:ln>
                  </pic:spPr>
                </pic:pic>
              </a:graphicData>
            </a:graphic>
          </wp:inline>
        </w:drawing>
      </w:r>
    </w:p>
    <w:p w14:paraId="131C9257" w14:textId="1EC10BD7" w:rsidR="00257BDD" w:rsidRDefault="005B4CD7" w:rsidP="005B4CD7">
      <w:pPr>
        <w:pStyle w:val="ab"/>
        <w:rPr>
          <w:rFonts w:eastAsiaTheme="minorEastAsia"/>
        </w:rPr>
      </w:pPr>
      <w:r w:rsidRPr="00D82231">
        <w:rPr>
          <w:b/>
          <w:bCs/>
        </w:rPr>
        <w:t>Supplementary Figure 9 |</w:t>
      </w:r>
      <w:r>
        <w:rPr>
          <w:b/>
          <w:bCs/>
        </w:rPr>
        <w:t xml:space="preserve"> </w:t>
      </w:r>
      <w:r w:rsidRPr="00BF19AC">
        <w:rPr>
          <w:b/>
          <w:bCs/>
        </w:rPr>
        <w:t xml:space="preserve">Emission spectra of power densities </w:t>
      </w:r>
      <w:r w:rsidRPr="00E33A25">
        <w:rPr>
          <w:b/>
          <w:bCs/>
        </w:rPr>
        <w:t>at different detection angles under normal excitatio</w:t>
      </w:r>
      <w:r>
        <w:rPr>
          <w:rFonts w:eastAsiaTheme="minorEastAsia" w:hint="eastAsia"/>
          <w:b/>
          <w:bCs/>
        </w:rPr>
        <w:t>n.</w:t>
      </w:r>
      <w:r w:rsidRPr="00E33A25">
        <w:rPr>
          <w:rFonts w:ascii="DM Sans" w:hAnsi="DM Sans"/>
          <w:b/>
          <w:bCs/>
          <w:szCs w:val="21"/>
          <w:shd w:val="clear" w:color="auto" w:fill="FFFFFF"/>
        </w:rPr>
        <w:t xml:space="preserve"> </w:t>
      </w:r>
      <w:r w:rsidRPr="00E33A25">
        <w:rPr>
          <w:rFonts w:eastAsiaTheme="minorEastAsia"/>
        </w:rPr>
        <w:t>Left panels: Input-output (</w:t>
      </w:r>
      <m:oMath>
        <m:r>
          <w:rPr>
            <w:rFonts w:ascii="Cambria Math" w:eastAsiaTheme="minorEastAsia" w:hAnsi="Cambria Math"/>
          </w:rPr>
          <m:t>L</m:t>
        </m:r>
      </m:oMath>
      <w:r w:rsidRPr="00E33A25">
        <w:rPr>
          <w:rFonts w:eastAsiaTheme="minorEastAsia"/>
        </w:rPr>
        <w:t>-</w:t>
      </w:r>
      <m:oMath>
        <m:r>
          <w:rPr>
            <w:rFonts w:ascii="Cambria Math" w:eastAsiaTheme="minorEastAsia" w:hAnsi="Cambria Math"/>
          </w:rPr>
          <m:t>L</m:t>
        </m:r>
      </m:oMath>
      <w:r w:rsidRPr="00E33A25">
        <w:rPr>
          <w:rFonts w:eastAsiaTheme="minorEastAsia"/>
        </w:rPr>
        <w:t>) curves plotting the integrated emission intensity versus pump power density. Both axes are plotted on a </w:t>
      </w:r>
      <m:oMath>
        <m:sSub>
          <m:sSubPr>
            <m:ctrlPr>
              <w:rPr>
                <w:rFonts w:ascii="Cambria Math" w:eastAsiaTheme="minorEastAsia" w:hAnsi="Cambria Math"/>
              </w:rPr>
            </m:ctrlPr>
          </m:sSubPr>
          <m:e>
            <m:r>
              <m:rPr>
                <m:sty m:val="p"/>
              </m:rPr>
              <w:rPr>
                <w:rFonts w:ascii="Cambria Math" w:eastAsiaTheme="minorEastAsia" w:hAnsi="Cambria Math"/>
              </w:rPr>
              <m:t>log</m:t>
            </m:r>
            <m:r>
              <w:rPr>
                <w:rFonts w:ascii="Cambria Math" w:eastAsiaTheme="minorEastAsia" w:hAnsi="Cambria Math"/>
              </w:rPr>
              <m:t>⁡</m:t>
            </m:r>
          </m:e>
          <m:sub>
            <m:r>
              <w:rPr>
                <w:rFonts w:ascii="Cambria Math" w:eastAsiaTheme="minorEastAsia" w:hAnsi="Cambria Math"/>
              </w:rPr>
              <m:t>2</m:t>
            </m:r>
          </m:sub>
        </m:sSub>
      </m:oMath>
      <w:r w:rsidRPr="00E33A25">
        <w:rPr>
          <w:rFonts w:eastAsiaTheme="minorEastAsia"/>
        </w:rPr>
        <w:t> scale to clearly visualize the transition from spontaneous emission to lasing and to compare the threshold behaviors across different angles.</w:t>
      </w:r>
      <w:r>
        <w:rPr>
          <w:rFonts w:eastAsiaTheme="minorEastAsia" w:hint="eastAsia"/>
        </w:rPr>
        <w:t xml:space="preserve"> </w:t>
      </w:r>
      <w:r w:rsidRPr="00E33A25">
        <w:rPr>
          <w:rFonts w:eastAsiaTheme="minorEastAsia"/>
        </w:rPr>
        <w:t>Right panels: Normalized emission spectra measured at the maximum pump power density for each respective detection angle. The comparison highlights the spectral narrowing and intensity dominance of the resonant lasing mode (</w:t>
      </w:r>
      <m:oMath>
        <m:sSub>
          <m:sSubPr>
            <m:ctrlPr>
              <w:rPr>
                <w:rFonts w:ascii="Cambria Math" w:eastAsiaTheme="minorEastAsia" w:hAnsi="Cambria Math"/>
              </w:rPr>
            </m:ctrlPr>
          </m:sSubPr>
          <m:e>
            <m:r>
              <w:rPr>
                <w:rFonts w:ascii="Cambria Math" w:eastAsiaTheme="minorEastAsia" w:hAnsi="Cambria Math"/>
              </w:rPr>
              <m:t>θ</m:t>
            </m:r>
          </m:e>
          <m:sub>
            <m:r>
              <m:rPr>
                <m:nor/>
              </m:rPr>
              <w:rPr>
                <w:rFonts w:eastAsiaTheme="minorEastAsia"/>
              </w:rPr>
              <m:t>out</m:t>
            </m:r>
          </m:sub>
        </m:sSub>
        <m:r>
          <w:rPr>
            <w:rFonts w:ascii="Cambria Math" w:eastAsiaTheme="minorEastAsia" w:hAnsi="Cambria Math"/>
          </w:rPr>
          <m:t>≈</m:t>
        </m:r>
        <m:sSup>
          <m:sSupPr>
            <m:ctrlPr>
              <w:rPr>
                <w:rFonts w:ascii="Cambria Math" w:eastAsiaTheme="minorEastAsia" w:hAnsi="Cambria Math"/>
              </w:rPr>
            </m:ctrlPr>
          </m:sSupPr>
          <m:e>
            <m:r>
              <w:rPr>
                <w:rFonts w:ascii="Cambria Math" w:eastAsiaTheme="minorEastAsia" w:hAnsi="Cambria Math"/>
              </w:rPr>
              <m:t>36</m:t>
            </m:r>
          </m:e>
          <m:sup>
            <m:r>
              <w:rPr>
                <w:rFonts w:ascii="Cambria Math" w:eastAsiaTheme="minorEastAsia" w:hAnsi="Cambria Math"/>
              </w:rPr>
              <m:t>∘</m:t>
            </m:r>
          </m:sup>
        </m:sSup>
      </m:oMath>
      <w:r w:rsidRPr="00E33A25">
        <w:rPr>
          <w:rFonts w:eastAsiaTheme="minorEastAsia"/>
        </w:rPr>
        <w:t>) compared to the broad background fluorescence observed at off-resonance angles (</w:t>
      </w:r>
      <m:oMath>
        <m:sSub>
          <m:sSubPr>
            <m:ctrlPr>
              <w:rPr>
                <w:rFonts w:ascii="Cambria Math" w:eastAsiaTheme="minorEastAsia" w:hAnsi="Cambria Math"/>
              </w:rPr>
            </m:ctrlPr>
          </m:sSubPr>
          <m:e>
            <m:r>
              <w:rPr>
                <w:rFonts w:ascii="Cambria Math" w:eastAsiaTheme="minorEastAsia" w:hAnsi="Cambria Math"/>
              </w:rPr>
              <m:t>θ</m:t>
            </m:r>
          </m:e>
          <m:sub>
            <m:r>
              <m:rPr>
                <m:nor/>
              </m:rPr>
              <w:rPr>
                <w:rFonts w:eastAsiaTheme="minorEastAsia"/>
              </w:rPr>
              <m:t>out</m:t>
            </m:r>
          </m:sub>
        </m:sSub>
        <m:r>
          <w:rPr>
            <w:rFonts w:ascii="Cambria Math" w:eastAsiaTheme="minorEastAsia" w:hAnsi="Cambria Math"/>
          </w:rPr>
          <m:t>≈</m:t>
        </m:r>
        <m:sSup>
          <m:sSupPr>
            <m:ctrlPr>
              <w:rPr>
                <w:rFonts w:ascii="Cambria Math" w:eastAsiaTheme="minorEastAsia" w:hAnsi="Cambria Math"/>
              </w:rPr>
            </m:ctrlPr>
          </m:sSupPr>
          <m:e>
            <m:r>
              <w:rPr>
                <w:rFonts w:ascii="Cambria Math" w:eastAsiaTheme="minorEastAsia" w:hAnsi="Cambria Math"/>
              </w:rPr>
              <m:t>10</m:t>
            </m:r>
          </m:e>
          <m:sup>
            <m:r>
              <w:rPr>
                <w:rFonts w:ascii="Cambria Math" w:eastAsiaTheme="minorEastAsia" w:hAnsi="Cambria Math"/>
              </w:rPr>
              <m:t>∘</m:t>
            </m:r>
          </m:sup>
        </m:sSup>
      </m:oMath>
      <w:r w:rsidRPr="00E33A25">
        <w:rPr>
          <w:rFonts w:eastAsiaTheme="minorEastAsia"/>
        </w:rPr>
        <w:t> and </w:t>
      </w:r>
      <m:oMath>
        <m:sSup>
          <m:sSupPr>
            <m:ctrlPr>
              <w:rPr>
                <w:rFonts w:ascii="Cambria Math" w:eastAsiaTheme="minorEastAsia" w:hAnsi="Cambria Math"/>
              </w:rPr>
            </m:ctrlPr>
          </m:sSupPr>
          <m:e>
            <m:r>
              <w:rPr>
                <w:rFonts w:ascii="Cambria Math" w:eastAsiaTheme="minorEastAsia" w:hAnsi="Cambria Math"/>
              </w:rPr>
              <m:t>60</m:t>
            </m:r>
          </m:e>
          <m:sup>
            <m:r>
              <w:rPr>
                <w:rFonts w:ascii="Cambria Math" w:eastAsiaTheme="minorEastAsia" w:hAnsi="Cambria Math"/>
              </w:rPr>
              <m:t>∘</m:t>
            </m:r>
          </m:sup>
        </m:sSup>
      </m:oMath>
      <w:r w:rsidRPr="00E33A25">
        <w:rPr>
          <w:rFonts w:eastAsiaTheme="minorEastAsia"/>
        </w:rPr>
        <w:t>).</w:t>
      </w:r>
    </w:p>
    <w:p w14:paraId="4183477C" w14:textId="495D638E" w:rsidR="005B4CD7" w:rsidRPr="005B4CD7" w:rsidRDefault="005B4CD7" w:rsidP="00CB5E8E">
      <w:pPr>
        <w:widowControl/>
        <w:spacing w:afterLines="0" w:after="0" w:line="240" w:lineRule="auto"/>
        <w:ind w:firstLineChars="0" w:firstLine="0"/>
        <w:jc w:val="left"/>
        <w:rPr>
          <w:rFonts w:eastAsiaTheme="minorEastAsia" w:cs="Times New Roman"/>
        </w:rPr>
      </w:pPr>
      <w:r>
        <w:rPr>
          <w:rFonts w:eastAsiaTheme="minorEastAsia" w:cs="Times New Roman"/>
        </w:rPr>
        <w:br w:type="page"/>
      </w:r>
    </w:p>
    <w:p w14:paraId="2476D34B" w14:textId="074500C8" w:rsidR="001F4040" w:rsidRPr="000213D2" w:rsidRDefault="000213D2" w:rsidP="000213D2">
      <w:pPr>
        <w:pStyle w:val="2"/>
        <w:spacing w:after="249"/>
        <w:ind w:firstLineChars="0" w:firstLine="0"/>
        <w:rPr>
          <w:rFonts w:ascii="Times New Roman" w:hAnsi="Times New Roman" w:cs="Times New Roman"/>
          <w:sz w:val="24"/>
          <w:szCs w:val="24"/>
        </w:rPr>
      </w:pPr>
      <w:bookmarkStart w:id="10" w:name="_Toc218536497"/>
      <w:r w:rsidRPr="008F0747">
        <w:rPr>
          <w:rFonts w:ascii="Times New Roman" w:hAnsi="Times New Roman" w:cs="Times New Roman" w:hint="eastAsia"/>
          <w:sz w:val="24"/>
          <w:szCs w:val="24"/>
        </w:rPr>
        <w:lastRenderedPageBreak/>
        <w:t xml:space="preserve">Supplementary Note </w:t>
      </w:r>
      <w:r w:rsidR="00646B29">
        <w:rPr>
          <w:rFonts w:ascii="Times New Roman" w:hAnsi="Times New Roman" w:cs="Times New Roman"/>
          <w:sz w:val="24"/>
          <w:szCs w:val="24"/>
        </w:rPr>
        <w:t>4</w:t>
      </w:r>
      <w:r w:rsidRPr="008F0747">
        <w:rPr>
          <w:rFonts w:ascii="Times New Roman" w:hAnsi="Times New Roman" w:cs="Times New Roman" w:hint="eastAsia"/>
          <w:sz w:val="24"/>
          <w:szCs w:val="24"/>
        </w:rPr>
        <w:t xml:space="preserve">: </w:t>
      </w:r>
      <w:r>
        <w:rPr>
          <w:rFonts w:ascii="Times New Roman" w:hAnsi="Times New Roman" w:cs="Times New Roman"/>
          <w:sz w:val="24"/>
          <w:szCs w:val="24"/>
        </w:rPr>
        <w:t>F</w:t>
      </w:r>
      <w:r w:rsidRPr="008F0747">
        <w:rPr>
          <w:rFonts w:ascii="Times New Roman" w:hAnsi="Times New Roman" w:cs="Times New Roman"/>
          <w:sz w:val="24"/>
          <w:szCs w:val="24"/>
        </w:rPr>
        <w:t xml:space="preserve">irst-order </w:t>
      </w:r>
      <w:r w:rsidR="004E55AE">
        <w:rPr>
          <w:rFonts w:ascii="Times New Roman" w:hAnsi="Times New Roman" w:cs="Times New Roman" w:hint="eastAsia"/>
          <w:sz w:val="24"/>
          <w:szCs w:val="24"/>
        </w:rPr>
        <w:t>temporal</w:t>
      </w:r>
      <w:r w:rsidRPr="008F0747">
        <w:rPr>
          <w:rFonts w:ascii="Times New Roman" w:hAnsi="Times New Roman" w:cs="Times New Roman"/>
          <w:sz w:val="24"/>
          <w:szCs w:val="24"/>
        </w:rPr>
        <w:t xml:space="preserve"> coherence</w:t>
      </w:r>
      <w:bookmarkEnd w:id="10"/>
    </w:p>
    <w:p w14:paraId="74A3780F" w14:textId="75DAF8AE" w:rsidR="000213D2" w:rsidRPr="00C75420" w:rsidRDefault="00E33A25" w:rsidP="000213D2">
      <w:pPr>
        <w:spacing w:after="249"/>
        <w:ind w:firstLine="480"/>
        <w:rPr>
          <w:rFonts w:eastAsiaTheme="minorEastAsia"/>
        </w:rPr>
      </w:pPr>
      <w:r w:rsidRPr="00C75420">
        <w:rPr>
          <w:rFonts w:eastAsiaTheme="minorEastAsia" w:hint="eastAsia"/>
        </w:rPr>
        <w:t>The experimental setup is shown in Supplementary Fig. 6. T</w:t>
      </w:r>
      <w:r w:rsidR="000213D2" w:rsidRPr="00C75420">
        <w:rPr>
          <w:rFonts w:eastAsiaTheme="minorEastAsia"/>
        </w:rPr>
        <w:t>he experiment involved splitting the emission beam into two paths and introducing a controllable path length difference (</w:t>
      </w:r>
      <m:oMath>
        <m:r>
          <m:rPr>
            <m:sty m:val="p"/>
          </m:rPr>
          <w:rPr>
            <w:rFonts w:ascii="Cambria Math" w:eastAsiaTheme="minorEastAsia" w:hAnsi="Cambria Math"/>
          </w:rPr>
          <m:t>Δ</m:t>
        </m:r>
        <m:r>
          <w:rPr>
            <w:rFonts w:ascii="Cambria Math" w:eastAsiaTheme="minorEastAsia" w:hAnsi="Cambria Math"/>
          </w:rPr>
          <m:t>x</m:t>
        </m:r>
      </m:oMath>
      <w:r w:rsidR="000213D2" w:rsidRPr="00C75420">
        <w:rPr>
          <w:rFonts w:eastAsiaTheme="minorEastAsia"/>
        </w:rPr>
        <w:t>) by translating mirror M2. By strictly translating M2 along the optical axis with a step size of </w:t>
      </w:r>
      <m:oMath>
        <m:r>
          <m:rPr>
            <m:sty m:val="p"/>
          </m:rPr>
          <w:rPr>
            <w:rFonts w:ascii="Cambria Math" w:eastAsiaTheme="minorEastAsia" w:hAnsi="Cambria Math"/>
          </w:rPr>
          <m:t>Δ</m:t>
        </m:r>
        <m:r>
          <w:rPr>
            <w:rFonts w:ascii="Cambria Math" w:eastAsiaTheme="minorEastAsia" w:hAnsi="Cambria Math"/>
          </w:rPr>
          <m:t>x=5</m:t>
        </m:r>
      </m:oMath>
      <w:r w:rsidR="000213D2" w:rsidRPr="00C75420">
        <w:rPr>
          <w:rFonts w:eastAsiaTheme="minorEastAsia"/>
        </w:rPr>
        <w:t> </w:t>
      </w:r>
      <m:oMath>
        <m:r>
          <w:rPr>
            <w:rFonts w:ascii="Cambria Math" w:eastAsiaTheme="minorEastAsia" w:hAnsi="Cambria Math"/>
          </w:rPr>
          <m:t>μ</m:t>
        </m:r>
      </m:oMath>
      <w:r w:rsidR="000213D2" w:rsidRPr="00C75420">
        <w:rPr>
          <w:rFonts w:eastAsiaTheme="minorEastAsia"/>
        </w:rPr>
        <w:t>m, we acquired a series of interference fringe patterns at varying path delays (</w:t>
      </w:r>
      <w:r w:rsidR="00C23EE3" w:rsidRPr="00C75420">
        <w:rPr>
          <w:rFonts w:eastAsiaTheme="minorEastAsia"/>
        </w:rPr>
        <w:t xml:space="preserve">see </w:t>
      </w:r>
      <w:r w:rsidR="000213D2" w:rsidRPr="00C75420">
        <w:rPr>
          <w:rFonts w:eastAsiaTheme="minorEastAsia"/>
        </w:rPr>
        <w:t xml:space="preserve">Supplementary Fig. </w:t>
      </w:r>
      <w:r w:rsidR="00AD7D6B" w:rsidRPr="00C75420">
        <w:rPr>
          <w:rFonts w:eastAsiaTheme="minorEastAsia"/>
        </w:rPr>
        <w:t>10</w:t>
      </w:r>
      <w:r w:rsidR="000213D2" w:rsidRPr="00C75420">
        <w:rPr>
          <w:rFonts w:eastAsiaTheme="minorEastAsia"/>
        </w:rPr>
        <w:t xml:space="preserve">). </w:t>
      </w:r>
    </w:p>
    <w:p w14:paraId="3E41C452" w14:textId="5F0015F5" w:rsidR="000213D2" w:rsidRPr="00C75420" w:rsidRDefault="000213D2" w:rsidP="000213D2">
      <w:pPr>
        <w:spacing w:after="249"/>
        <w:ind w:firstLine="480"/>
        <w:rPr>
          <w:rFonts w:eastAsiaTheme="minorEastAsia"/>
        </w:rPr>
      </w:pPr>
      <w:r w:rsidRPr="00C75420">
        <w:rPr>
          <w:rFonts w:eastAsiaTheme="minorEastAsia"/>
        </w:rPr>
        <w:t xml:space="preserve">The first-order </w:t>
      </w:r>
      <w:r w:rsidR="004E55AE">
        <w:rPr>
          <w:rFonts w:eastAsiaTheme="minorEastAsia" w:hint="eastAsia"/>
        </w:rPr>
        <w:t>temporal</w:t>
      </w:r>
      <w:r w:rsidRPr="00C75420">
        <w:rPr>
          <w:rFonts w:eastAsiaTheme="minorEastAsia"/>
        </w:rPr>
        <w:t xml:space="preserve"> coherence function, </w:t>
      </w:r>
      <m:oMath>
        <m:sSup>
          <m:sSupPr>
            <m:ctrlPr>
              <w:rPr>
                <w:rFonts w:ascii="Cambria Math" w:eastAsiaTheme="minorEastAsia" w:hAnsi="Cambria Math"/>
              </w:rPr>
            </m:ctrlPr>
          </m:sSupPr>
          <m:e>
            <m:r>
              <w:rPr>
                <w:rFonts w:ascii="Cambria Math" w:eastAsiaTheme="minorEastAsia" w:hAnsi="Cambria Math"/>
              </w:rPr>
              <m:t>g</m:t>
            </m:r>
          </m:e>
          <m:sup>
            <m:d>
              <m:dPr>
                <m:ctrlPr>
                  <w:rPr>
                    <w:rFonts w:ascii="Cambria Math" w:eastAsiaTheme="minorEastAsia" w:hAnsi="Cambria Math"/>
                  </w:rPr>
                </m:ctrlPr>
              </m:dPr>
              <m:e>
                <m:r>
                  <w:rPr>
                    <w:rFonts w:ascii="Cambria Math" w:eastAsiaTheme="minorEastAsia" w:hAnsi="Cambria Math"/>
                  </w:rPr>
                  <m:t>1</m:t>
                </m:r>
              </m:e>
            </m:d>
          </m:sup>
        </m:sSup>
      </m:oMath>
      <w:r w:rsidRPr="00C75420">
        <w:rPr>
          <w:rFonts w:eastAsiaTheme="minorEastAsia"/>
        </w:rPr>
        <w:t>, is the normalized mutual coherence function that quantifies the correlation between the optical fields. In an interferometric measurement, the modulus </w:t>
      </w:r>
      <m:oMath>
        <m:r>
          <m:rPr>
            <m:sty m:val="p"/>
          </m:rPr>
          <w:rPr>
            <w:rFonts w:ascii="Cambria Math" w:eastAsiaTheme="minorEastAsia" w:hAnsi="Cambria Math"/>
          </w:rPr>
          <m:t>∣</m:t>
        </m:r>
        <m:sSup>
          <m:sSupPr>
            <m:ctrlPr>
              <w:rPr>
                <w:rFonts w:ascii="Cambria Math" w:eastAsiaTheme="minorEastAsia" w:hAnsi="Cambria Math"/>
              </w:rPr>
            </m:ctrlPr>
          </m:sSupPr>
          <m:e>
            <m:r>
              <w:rPr>
                <w:rFonts w:ascii="Cambria Math" w:eastAsiaTheme="minorEastAsia" w:hAnsi="Cambria Math"/>
              </w:rPr>
              <m:t>g</m:t>
            </m:r>
          </m:e>
          <m:sup>
            <m:d>
              <m:dPr>
                <m:ctrlPr>
                  <w:rPr>
                    <w:rFonts w:ascii="Cambria Math" w:eastAsiaTheme="minorEastAsia" w:hAnsi="Cambria Math"/>
                  </w:rPr>
                </m:ctrlPr>
              </m:dPr>
              <m:e>
                <m:r>
                  <w:rPr>
                    <w:rFonts w:ascii="Cambria Math" w:eastAsiaTheme="minorEastAsia" w:hAnsi="Cambria Math"/>
                  </w:rPr>
                  <m:t>1</m:t>
                </m:r>
              </m:e>
            </m:d>
          </m:sup>
        </m:sSup>
        <m:r>
          <m:rPr>
            <m:sty m:val="p"/>
          </m:rPr>
          <w:rPr>
            <w:rFonts w:ascii="Cambria Math" w:eastAsiaTheme="minorEastAsia" w:hAnsi="Cambria Math"/>
          </w:rPr>
          <m:t>∣</m:t>
        </m:r>
      </m:oMath>
      <w:r w:rsidRPr="00C75420">
        <w:rPr>
          <w:rFonts w:eastAsiaTheme="minorEastAsia"/>
        </w:rPr>
        <w:t> is directly related to the fringe visibility </w:t>
      </w:r>
      <m:oMath>
        <m:r>
          <w:rPr>
            <w:rFonts w:ascii="Cambria Math" w:eastAsiaTheme="minorEastAsia" w:hAnsi="Cambria Math"/>
          </w:rPr>
          <m:t>V(</m:t>
        </m:r>
        <m:r>
          <m:rPr>
            <m:sty m:val="p"/>
          </m:rPr>
          <w:rPr>
            <w:rFonts w:ascii="Cambria Math" w:eastAsiaTheme="minorEastAsia" w:hAnsi="Cambria Math"/>
          </w:rPr>
          <m:t>Δ</m:t>
        </m:r>
        <m:r>
          <w:rPr>
            <w:rFonts w:ascii="Cambria Math" w:eastAsiaTheme="minorEastAsia" w:hAnsi="Cambria Math"/>
          </w:rPr>
          <m:t>x)</m:t>
        </m:r>
      </m:oMath>
      <w:r w:rsidRPr="00C75420">
        <w:rPr>
          <w:rFonts w:eastAsiaTheme="minorEastAsia"/>
        </w:rPr>
        <w:t>, defined as </w:t>
      </w:r>
      <m:oMath>
        <m:d>
          <m:dPr>
            <m:ctrlPr>
              <w:rPr>
                <w:rFonts w:ascii="Cambria Math" w:eastAsiaTheme="minorEastAsia" w:hAnsi="Cambria Math"/>
              </w:rPr>
            </m:ctrlPr>
          </m:dPr>
          <m:e>
            <m:sSub>
              <m:sSubPr>
                <m:ctrlPr>
                  <w:rPr>
                    <w:rFonts w:ascii="Cambria Math" w:eastAsiaTheme="minorEastAsia" w:hAnsi="Cambria Math"/>
                  </w:rPr>
                </m:ctrlPr>
              </m:sSubPr>
              <m:e>
                <m:r>
                  <w:rPr>
                    <w:rFonts w:ascii="Cambria Math" w:eastAsiaTheme="minorEastAsia" w:hAnsi="Cambria Math"/>
                  </w:rPr>
                  <m:t>I</m:t>
                </m:r>
              </m:e>
              <m:sub>
                <m:r>
                  <m:rPr>
                    <m:sty m:val="p"/>
                  </m:rPr>
                  <w:rPr>
                    <w:rFonts w:ascii="Cambria Math" w:eastAsiaTheme="minorEastAsia" w:hAnsi="Cambria Math"/>
                  </w:rPr>
                  <m:t>max</m:t>
                </m:r>
              </m:sub>
            </m:sSub>
            <m: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I</m:t>
                </m:r>
              </m:e>
              <m:sub>
                <m:r>
                  <m:rPr>
                    <m:sty m:val="p"/>
                  </m:rPr>
                  <w:rPr>
                    <w:rFonts w:ascii="Cambria Math" w:eastAsiaTheme="minorEastAsia" w:hAnsi="Cambria Math"/>
                  </w:rPr>
                  <m:t>min</m:t>
                </m:r>
              </m:sub>
            </m:sSub>
            <m:r>
              <w:rPr>
                <w:rFonts w:ascii="Cambria Math" w:eastAsiaTheme="minorEastAsia" w:hAnsi="Cambria Math"/>
              </w:rPr>
              <m:t>)</m:t>
            </m:r>
            <m:r>
              <m:rPr>
                <m:sty m:val="p"/>
              </m:rPr>
              <w:rPr>
                <w:rFonts w:ascii="Cambria Math" w:eastAsiaTheme="minorEastAsia" w:hAnsi="Cambria Math"/>
              </w:rPr>
              <m:t>/</m:t>
            </m:r>
            <m: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I</m:t>
                </m:r>
              </m:e>
              <m:sub>
                <m:r>
                  <m:rPr>
                    <m:sty m:val="p"/>
                  </m:rPr>
                  <w:rPr>
                    <w:rFonts w:ascii="Cambria Math" w:eastAsiaTheme="minorEastAsia" w:hAnsi="Cambria Math"/>
                  </w:rPr>
                  <m:t>max</m:t>
                </m:r>
              </m:sub>
            </m:sSub>
            <m:r>
              <w:rPr>
                <w:rFonts w:ascii="Cambria Math" w:eastAsiaTheme="minorEastAsia" w:hAnsi="Cambria Math"/>
              </w:rPr>
              <m:t>+</m:t>
            </m:r>
            <m:sSub>
              <m:sSubPr>
                <m:ctrlPr>
                  <w:rPr>
                    <w:rFonts w:ascii="Cambria Math" w:eastAsiaTheme="minorEastAsia" w:hAnsi="Cambria Math"/>
                  </w:rPr>
                </m:ctrlPr>
              </m:sSubPr>
              <m:e>
                <m:r>
                  <w:rPr>
                    <w:rFonts w:ascii="Cambria Math" w:eastAsiaTheme="minorEastAsia" w:hAnsi="Cambria Math"/>
                  </w:rPr>
                  <m:t>I</m:t>
                </m:r>
              </m:e>
              <m:sub>
                <m:r>
                  <m:rPr>
                    <m:sty m:val="p"/>
                  </m:rPr>
                  <w:rPr>
                    <w:rFonts w:ascii="Cambria Math" w:eastAsiaTheme="minorEastAsia" w:hAnsi="Cambria Math"/>
                  </w:rPr>
                  <m:t>min</m:t>
                </m:r>
              </m:sub>
            </m:sSub>
          </m:e>
        </m:d>
      </m:oMath>
      <w:r w:rsidRPr="00C75420">
        <w:rPr>
          <w:rFonts w:eastAsiaTheme="minorEastAsia"/>
        </w:rPr>
        <w:t>. The decay of fringe visibility with increasing displacement reflects the loss of coherence. The experimental data follows an exponential decay profile, consistent with a Lorentzian spectral lineshape</w:t>
      </w:r>
      <w:r w:rsidR="00857373">
        <w:rPr>
          <w:rFonts w:eastAsiaTheme="minorEastAsia"/>
        </w:rPr>
        <w:fldChar w:fldCharType="begin"/>
      </w:r>
      <w:r w:rsidR="005B7F98">
        <w:rPr>
          <w:rFonts w:eastAsiaTheme="minorEastAsia"/>
        </w:rPr>
        <w:instrText xml:space="preserve"> ADDIN ZOTERO_ITEM CSL_CITATION {"citationID":"k4VyWAip","properties":{"formattedCitation":"\\super 2\\nosupersub{}","plainCitation":"2","noteIndex":0},"citationItems":[{"id":3533,"uris":["http://zotero.org/users/13959459/items/FIXG8RSP"],"itemData":{"id":3533,"type":"article-journal","abstract":"AbstractExciton polaritons in atomically thin transition-metal dichalcogenide microcavities provide a versatile platform for advancing optoelectronic devices and studying the interacting Bosonic physics at ambient conditions. Rationally engineering the favorable properties of polaritons is critically required for the rapidly growing research. Here, we demonstrate the manipulation of nonlinear polaritons with the lithographically defined potential landscapes in monolayer WS2 microcavities. The discretization of photoluminescence dispersions and spatially confined patterns indicate the deterministic on-site localization of polaritons by the artificial mesa cavities. Varying the trapping sizes, the polariton-reservoir interaction strength is enhanced by about six times through managing the polariton–exciton spatial overlap. Meanwhile, the coherence of trapped polaritons is significantly improved due to the spectral narrowing and tailored in a picosecond range. Therefore, our work not only offers a convenient approach to manipulating the nonlinearity and coherence of polaritons but also opens up possibilities for exploring many-body phenomena and developing novel polaritonic devices based on 2D materials.","container-title":"Light: Science &amp; Applications","DOI":"10.1038/s41377-023-01268-2","ISSN":"2047-7538","issue":"1","journalAbbreviation":"Light Sci Appl","language":"en","license":"https://creativecommons.org/licenses/by/4.0","note":"publisher: Springer Science and Business Media LLC","source":"Crossref","title":"Manipulating nonlinear exciton polaritons in an atomically-thin semiconductor with artificial potential landscapes","URL":"https://www.nature.com/articles/s41377-023-01268-2","volume":"12","author":[{"family":"Luo","given":"Yuan"},{"family":"Guo","given":"Quanbing"},{"family":"Deng","given":"Xinyi"},{"family":"Ghosh","given":"Sanjib"},{"family":"Zhang","given":"Qing"},{"family":"Xu","given":"Hongxing"},{"family":"Xiong","given":"Qihua"}],"accessed":{"date-parts":[["2025",9,3]]},"issued":{"date-parts":[["2023",9,8]]}}}],"schema":"https://github.com/citation-style-language/schema/raw/master/csl-citation.json"} </w:instrText>
      </w:r>
      <w:r w:rsidR="00857373">
        <w:rPr>
          <w:rFonts w:eastAsiaTheme="minorEastAsia"/>
        </w:rPr>
        <w:fldChar w:fldCharType="separate"/>
      </w:r>
      <w:r w:rsidR="00D84474" w:rsidRPr="00D84474">
        <w:rPr>
          <w:rFonts w:cs="Times New Roman"/>
          <w:kern w:val="0"/>
          <w:szCs w:val="24"/>
          <w:vertAlign w:val="superscript"/>
        </w:rPr>
        <w:t>2</w:t>
      </w:r>
      <w:r w:rsidR="00857373">
        <w:rPr>
          <w:rFonts w:eastAsiaTheme="minorEastAsia"/>
        </w:rPr>
        <w:fldChar w:fldCharType="end"/>
      </w:r>
      <w:r w:rsidR="00857373">
        <w:rPr>
          <w:rFonts w:eastAsiaTheme="minorEastAsia"/>
        </w:rPr>
        <w:t>.</w:t>
      </w:r>
    </w:p>
    <w:p w14:paraId="7C1554C7" w14:textId="1434B258" w:rsidR="000213D2" w:rsidRPr="00C75420" w:rsidRDefault="00C23EE3" w:rsidP="00C23EE3">
      <w:pPr>
        <w:pStyle w:val="af3"/>
        <w:spacing w:after="249"/>
        <w:ind w:firstLine="480"/>
      </w:pPr>
      <w:r w:rsidRPr="00C75420">
        <w:rPr>
          <w:rFonts w:eastAsiaTheme="minorEastAsia"/>
        </w:rPr>
        <w:tab/>
      </w:r>
      <m:oMath>
        <m:r>
          <m:rPr>
            <m:sty m:val="p"/>
          </m:rPr>
          <w:rPr>
            <w:rFonts w:ascii="Cambria Math" w:hAnsi="Cambria Math"/>
          </w:rPr>
          <m:t>∣</m:t>
        </m:r>
        <m:sSup>
          <m:sSupPr>
            <m:ctrlPr>
              <w:rPr>
                <w:rFonts w:ascii="Cambria Math" w:hAnsi="Cambria Math"/>
              </w:rPr>
            </m:ctrlPr>
          </m:sSupPr>
          <m:e>
            <m:r>
              <w:rPr>
                <w:rFonts w:ascii="Cambria Math" w:hAnsi="Cambria Math"/>
              </w:rPr>
              <m:t>g</m:t>
            </m:r>
          </m:e>
          <m:sup>
            <m:d>
              <m:dPr>
                <m:ctrlPr>
                  <w:rPr>
                    <w:rFonts w:ascii="Cambria Math" w:hAnsi="Cambria Math"/>
                  </w:rPr>
                </m:ctrlPr>
              </m:dPr>
              <m:e>
                <m:r>
                  <w:rPr>
                    <w:rFonts w:ascii="Cambria Math" w:hAnsi="Cambria Math"/>
                  </w:rPr>
                  <m:t>1</m:t>
                </m:r>
              </m:e>
            </m:d>
          </m:sup>
        </m:sSup>
        <m:r>
          <w:rPr>
            <w:rFonts w:ascii="Cambria Math" w:hAnsi="Cambria Math"/>
          </w:rPr>
          <m:t>(</m:t>
        </m:r>
        <m:r>
          <m:rPr>
            <m:sty m:val="p"/>
          </m:rPr>
          <w:rPr>
            <w:rFonts w:ascii="Cambria Math" w:hAnsi="Cambria Math"/>
          </w:rPr>
          <m:t>Δ</m:t>
        </m:r>
        <m:r>
          <w:rPr>
            <w:rFonts w:ascii="Cambria Math" w:hAnsi="Cambria Math"/>
          </w:rPr>
          <m:t>x)</m:t>
        </m:r>
        <m:r>
          <m:rPr>
            <m:sty m:val="p"/>
          </m:rPr>
          <w:rPr>
            <w:rFonts w:ascii="Cambria Math" w:hAnsi="Cambria Math"/>
          </w:rPr>
          <m:t>∣</m:t>
        </m:r>
        <m:r>
          <w:rPr>
            <w:rFonts w:ascii="Cambria Math" w:hAnsi="Cambria Math"/>
          </w:rPr>
          <m:t>=</m:t>
        </m:r>
        <m:sSup>
          <m:sSupPr>
            <m:ctrlPr>
              <w:rPr>
                <w:rFonts w:ascii="Cambria Math" w:hAnsi="Cambria Math"/>
              </w:rPr>
            </m:ctrlPr>
          </m:sSupPr>
          <m:e>
            <m:r>
              <w:rPr>
                <w:rFonts w:ascii="Cambria Math" w:hAnsi="Cambria Math"/>
              </w:rPr>
              <m:t>e</m:t>
            </m:r>
          </m:e>
          <m:sup>
            <m:r>
              <w:rPr>
                <w:rFonts w:ascii="Cambria Math" w:hAnsi="Cambria Math"/>
              </w:rPr>
              <m:t>-</m:t>
            </m:r>
            <m:r>
              <m:rPr>
                <m:sty m:val="p"/>
              </m:rPr>
              <w:rPr>
                <w:rFonts w:ascii="Cambria Math" w:hAnsi="Cambria Math"/>
              </w:rPr>
              <m:t>∣Δ</m:t>
            </m:r>
            <m:r>
              <w:rPr>
                <w:rFonts w:ascii="Cambria Math" w:hAnsi="Cambria Math"/>
              </w:rPr>
              <m:t>x</m:t>
            </m:r>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c</m:t>
                </m:r>
              </m:sub>
            </m:sSub>
          </m:sup>
        </m:sSup>
      </m:oMath>
      <w:r w:rsidRPr="00C75420">
        <w:rPr>
          <w:rFonts w:hint="eastAsia"/>
        </w:rPr>
        <w:t xml:space="preserve"> </w:t>
      </w:r>
      <w:r w:rsidRPr="00C75420">
        <w:tab/>
        <w:t>(S1)</w:t>
      </w:r>
    </w:p>
    <w:p w14:paraId="6792D07F" w14:textId="741CE0BE" w:rsidR="00011BB3" w:rsidRPr="00C75420" w:rsidRDefault="000213D2" w:rsidP="00011BB3">
      <w:pPr>
        <w:spacing w:after="249"/>
        <w:ind w:firstLine="480"/>
        <w:rPr>
          <w:rFonts w:eastAsiaTheme="minorEastAsia" w:cs="Times New Roman"/>
        </w:rPr>
      </w:pPr>
      <w:r w:rsidRPr="00C75420">
        <w:rPr>
          <w:rFonts w:eastAsiaTheme="minorEastAsia"/>
        </w:rPr>
        <w:t>where </w:t>
      </w:r>
      <m:oMath>
        <m:sSub>
          <m:sSubPr>
            <m:ctrlPr>
              <w:rPr>
                <w:rFonts w:ascii="Cambria Math" w:eastAsiaTheme="minorEastAsia" w:hAnsi="Cambria Math"/>
              </w:rPr>
            </m:ctrlPr>
          </m:sSubPr>
          <m:e>
            <m:r>
              <w:rPr>
                <w:rFonts w:ascii="Cambria Math" w:eastAsiaTheme="minorEastAsia" w:hAnsi="Cambria Math"/>
              </w:rPr>
              <m:t>l</m:t>
            </m:r>
          </m:e>
          <m:sub>
            <m:r>
              <w:rPr>
                <w:rFonts w:ascii="Cambria Math" w:eastAsiaTheme="minorEastAsia" w:hAnsi="Cambria Math"/>
              </w:rPr>
              <m:t>c</m:t>
            </m:r>
          </m:sub>
        </m:sSub>
      </m:oMath>
      <w:r w:rsidRPr="00C75420">
        <w:rPr>
          <w:rFonts w:eastAsiaTheme="minorEastAsia"/>
        </w:rPr>
        <w:t> represents the coherence length, defined as the displacement at which the coherence degree decays to </w:t>
      </w:r>
      <m:oMath>
        <m:r>
          <w:rPr>
            <w:rFonts w:ascii="Cambria Math" w:eastAsiaTheme="minorEastAsia" w:hAnsi="Cambria Math"/>
          </w:rPr>
          <m:t>1</m:t>
        </m:r>
        <m:r>
          <m:rPr>
            <m:sty m:val="p"/>
          </m:rPr>
          <w:rPr>
            <w:rFonts w:ascii="Cambria Math" w:eastAsiaTheme="minorEastAsia" w:hAnsi="Cambria Math"/>
          </w:rPr>
          <m:t>/</m:t>
        </m:r>
        <m:r>
          <w:rPr>
            <w:rFonts w:ascii="Cambria Math" w:eastAsiaTheme="minorEastAsia" w:hAnsi="Cambria Math"/>
          </w:rPr>
          <m:t>e≈0.368</m:t>
        </m:r>
      </m:oMath>
      <w:r w:rsidRPr="00C75420">
        <w:rPr>
          <w:rFonts w:eastAsiaTheme="minorEastAsia"/>
        </w:rPr>
        <w:t xml:space="preserve"> of its initial value. By fitting the visibility curve with this function, the full-width at half-maximum (FWHM) can be related to the </w:t>
      </w:r>
      <w:r w:rsidRPr="00C75420">
        <w:rPr>
          <w:rFonts w:eastAsiaTheme="minorEastAsia" w:cs="Times New Roman"/>
        </w:rPr>
        <w:t>coherence length via:</w:t>
      </w:r>
    </w:p>
    <w:p w14:paraId="4AE9DFEB" w14:textId="3AEDB468" w:rsidR="00011BB3" w:rsidRPr="00C75420" w:rsidRDefault="00011BB3" w:rsidP="00011BB3">
      <w:pPr>
        <w:pStyle w:val="af3"/>
        <w:spacing w:after="249"/>
        <w:ind w:firstLine="480"/>
        <w:rPr>
          <w:rFonts w:eastAsiaTheme="minorEastAsia" w:cs="Times New Roman"/>
        </w:rPr>
      </w:pPr>
      <w:r w:rsidRPr="00C75420">
        <w:rPr>
          <w:rFonts w:eastAsiaTheme="minorEastAsia" w:cs="Times New Roman"/>
        </w:rPr>
        <w:tab/>
      </w:r>
      <m:oMath>
        <m:r>
          <m:rPr>
            <m:sty m:val="p"/>
          </m:rPr>
          <w:rPr>
            <w:rFonts w:ascii="Cambria Math" w:hAnsi="Cambria Math" w:cs="Times New Roman"/>
          </w:rPr>
          <m:t>FWHM=2×</m:t>
        </m:r>
        <m:d>
          <m:dPr>
            <m:ctrlPr>
              <w:rPr>
                <w:rFonts w:ascii="Cambria Math" w:hAnsi="Cambria Math" w:cs="Times New Roman"/>
              </w:rPr>
            </m:ctrlPr>
          </m:dPr>
          <m:e>
            <m:r>
              <m:rPr>
                <m:sty m:val="p"/>
              </m:rPr>
              <w:rPr>
                <w:rFonts w:ascii="Cambria Math" w:hAnsi="Cambria Math" w:cs="Times New Roman"/>
              </w:rPr>
              <m:t>ln2·</m:t>
            </m:r>
            <m:sSub>
              <m:sSubPr>
                <m:ctrlPr>
                  <w:rPr>
                    <w:rFonts w:ascii="Cambria Math" w:hAnsi="Cambria Math" w:cs="Times New Roman"/>
                  </w:rPr>
                </m:ctrlPr>
              </m:sSubPr>
              <m:e>
                <m:r>
                  <m:rPr>
                    <m:sty m:val="p"/>
                  </m:rPr>
                  <w:rPr>
                    <w:rFonts w:ascii="Cambria Math" w:hAnsi="Cambria Math" w:cs="Times New Roman"/>
                  </w:rPr>
                  <m:t>l</m:t>
                </m:r>
              </m:e>
              <m:sub>
                <m:r>
                  <m:rPr>
                    <m:sty m:val="p"/>
                  </m:rPr>
                  <w:rPr>
                    <w:rFonts w:ascii="Cambria Math" w:hAnsi="Cambria Math" w:cs="Times New Roman"/>
                  </w:rPr>
                  <m:t>c</m:t>
                </m:r>
              </m:sub>
            </m:sSub>
          </m:e>
        </m:d>
        <m:r>
          <m:rPr>
            <m:sty m:val="p"/>
          </m:rPr>
          <w:rPr>
            <w:rFonts w:ascii="Cambria Math" w:hAnsi="Cambria Math" w:cs="Times New Roman"/>
          </w:rPr>
          <m:t>≈1.386·</m:t>
        </m:r>
        <m:sSub>
          <m:sSubPr>
            <m:ctrlPr>
              <w:rPr>
                <w:rFonts w:ascii="Cambria Math" w:hAnsi="Cambria Math" w:cs="Times New Roman"/>
              </w:rPr>
            </m:ctrlPr>
          </m:sSubPr>
          <m:e>
            <m:r>
              <m:rPr>
                <m:sty m:val="p"/>
              </m:rPr>
              <w:rPr>
                <w:rFonts w:ascii="Cambria Math" w:hAnsi="Cambria Math" w:cs="Times New Roman"/>
              </w:rPr>
              <m:t>l</m:t>
            </m:r>
          </m:e>
          <m:sub>
            <m:r>
              <m:rPr>
                <m:sty m:val="p"/>
              </m:rPr>
              <w:rPr>
                <w:rFonts w:ascii="Cambria Math" w:hAnsi="Cambria Math" w:cs="Times New Roman"/>
              </w:rPr>
              <m:t>c</m:t>
            </m:r>
          </m:sub>
        </m:sSub>
      </m:oMath>
      <w:r w:rsidRPr="00C75420">
        <w:rPr>
          <w:rFonts w:cs="Times New Roman"/>
        </w:rPr>
        <w:tab/>
        <w:t>(S2)</w:t>
      </w:r>
    </w:p>
    <w:p w14:paraId="2BF37F71" w14:textId="3938C3A9" w:rsidR="000213D2" w:rsidRPr="00C75420" w:rsidRDefault="000213D2" w:rsidP="000213D2">
      <w:pPr>
        <w:spacing w:after="249"/>
        <w:ind w:firstLine="480"/>
        <w:rPr>
          <w:rFonts w:eastAsiaTheme="minorEastAsia"/>
        </w:rPr>
      </w:pPr>
      <w:r w:rsidRPr="00C75420">
        <w:rPr>
          <w:rFonts w:eastAsiaTheme="minorEastAsia"/>
        </w:rPr>
        <w:t>To ensure sufficient signal intensity for clear fringe recording by the industrial CMOS camera, the pump power was set to the milliwatt level (</w:t>
      </w:r>
      <m:oMath>
        <m:r>
          <w:rPr>
            <w:rFonts w:ascii="Cambria Math" w:eastAsiaTheme="minorEastAsia" w:hAnsi="Cambria Math"/>
          </w:rPr>
          <m:t>P=10.73</m:t>
        </m:r>
      </m:oMath>
      <w:r w:rsidRPr="00C75420">
        <w:rPr>
          <w:rFonts w:eastAsiaTheme="minorEastAsia"/>
        </w:rPr>
        <w:t> mW), which is well above the lasing threshold (</w:t>
      </w:r>
      <m:oMath>
        <m:r>
          <w:rPr>
            <w:rFonts w:ascii="Cambria Math" w:eastAsiaTheme="minorEastAsia" w:hAnsi="Cambria Math"/>
          </w:rPr>
          <m:t>∼μ</m:t>
        </m:r>
      </m:oMath>
      <w:r w:rsidRPr="00C75420">
        <w:rPr>
          <w:rFonts w:eastAsiaTheme="minorEastAsia"/>
        </w:rPr>
        <w:t>W range). The</w:t>
      </w:r>
      <w:r w:rsidRPr="00C75420">
        <w:rPr>
          <w:rFonts w:eastAsiaTheme="minorEastAsia" w:hint="eastAsia"/>
        </w:rPr>
        <w:t xml:space="preserve"> </w:t>
      </w:r>
      <w:r w:rsidRPr="00C75420">
        <w:rPr>
          <w:rFonts w:eastAsiaTheme="minorEastAsia"/>
        </w:rPr>
        <w:t>extracted</w:t>
      </w:r>
      <w:r w:rsidRPr="00C75420">
        <w:rPr>
          <w:rFonts w:eastAsiaTheme="minorEastAsia" w:hint="eastAsia"/>
        </w:rPr>
        <w:t xml:space="preserve"> </w:t>
      </w:r>
      <m:oMath>
        <m:r>
          <m:rPr>
            <m:sty m:val="p"/>
          </m:rPr>
          <w:rPr>
            <w:rFonts w:ascii="Cambria Math" w:eastAsiaTheme="minorEastAsia" w:hAnsi="Cambria Math" w:hint="eastAsia"/>
          </w:rPr>
          <m:t>|</m:t>
        </m:r>
        <m:sSup>
          <m:sSupPr>
            <m:ctrlPr>
              <w:rPr>
                <w:rFonts w:ascii="Cambria Math" w:eastAsiaTheme="minorEastAsia" w:hAnsi="Cambria Math"/>
              </w:rPr>
            </m:ctrlPr>
          </m:sSupPr>
          <m:e>
            <m:r>
              <w:rPr>
                <w:rFonts w:ascii="Cambria Math" w:eastAsiaTheme="minorEastAsia" w:hAnsi="Cambria Math"/>
              </w:rPr>
              <m:t>g</m:t>
            </m:r>
          </m:e>
          <m:sup>
            <m:d>
              <m:dPr>
                <m:ctrlPr>
                  <w:rPr>
                    <w:rFonts w:ascii="Cambria Math" w:eastAsiaTheme="minorEastAsia" w:hAnsi="Cambria Math"/>
                  </w:rPr>
                </m:ctrlPr>
              </m:dPr>
              <m:e>
                <m:r>
                  <w:rPr>
                    <w:rFonts w:ascii="Cambria Math" w:eastAsiaTheme="minorEastAsia" w:hAnsi="Cambria Math"/>
                  </w:rPr>
                  <m:t>1</m:t>
                </m:r>
              </m:e>
            </m:d>
          </m:sup>
        </m:sSup>
        <m:d>
          <m:dPr>
            <m:ctrlPr>
              <w:rPr>
                <w:rFonts w:ascii="Cambria Math" w:eastAsiaTheme="minorEastAsia" w:hAnsi="Cambria Math"/>
                <w:i/>
              </w:rPr>
            </m:ctrlPr>
          </m:dPr>
          <m:e>
            <m:r>
              <m:rPr>
                <m:sty m:val="p"/>
              </m:rPr>
              <w:rPr>
                <w:rFonts w:ascii="Cambria Math" w:eastAsiaTheme="minorEastAsia" w:hAnsi="Cambria Math"/>
              </w:rPr>
              <m:t>Δ</m:t>
            </m:r>
            <m:r>
              <w:rPr>
                <w:rFonts w:ascii="Cambria Math" w:eastAsiaTheme="minorEastAsia" w:hAnsi="Cambria Math"/>
              </w:rPr>
              <m:t>x</m:t>
            </m:r>
          </m:e>
        </m:d>
        <m:r>
          <m:rPr>
            <m:sty m:val="p"/>
          </m:rPr>
          <w:rPr>
            <w:rFonts w:ascii="Cambria Math" w:eastAsiaTheme="minorEastAsia" w:hAnsi="Cambria Math" w:hint="eastAsia"/>
          </w:rPr>
          <m:t>|</m:t>
        </m:r>
      </m:oMath>
      <w:r w:rsidRPr="00C75420">
        <w:rPr>
          <w:rFonts w:eastAsiaTheme="minorEastAsia"/>
        </w:rPr>
        <w:t> curve is presented in Fig. 2f of the main text. A fit to the experimental data yields an FWHM of approximately 24.98 </w:t>
      </w:r>
      <m:oMath>
        <m:r>
          <w:rPr>
            <w:rFonts w:ascii="Cambria Math" w:eastAsiaTheme="minorEastAsia" w:hAnsi="Cambria Math"/>
          </w:rPr>
          <m:t>μ</m:t>
        </m:r>
      </m:oMath>
      <w:r w:rsidRPr="00C75420">
        <w:rPr>
          <w:rFonts w:eastAsiaTheme="minorEastAsia"/>
        </w:rPr>
        <w:t>m, corresponding to a coherence length of </w:t>
      </w:r>
      <m:oMath>
        <m:sSub>
          <m:sSubPr>
            <m:ctrlPr>
              <w:rPr>
                <w:rFonts w:ascii="Cambria Math" w:eastAsiaTheme="minorEastAsia" w:hAnsi="Cambria Math"/>
              </w:rPr>
            </m:ctrlPr>
          </m:sSubPr>
          <m:e>
            <m:r>
              <w:rPr>
                <w:rFonts w:ascii="Cambria Math" w:eastAsiaTheme="minorEastAsia" w:hAnsi="Cambria Math"/>
              </w:rPr>
              <m:t>l</m:t>
            </m:r>
          </m:e>
          <m:sub>
            <m:r>
              <w:rPr>
                <w:rFonts w:ascii="Cambria Math" w:eastAsiaTheme="minorEastAsia" w:hAnsi="Cambria Math"/>
              </w:rPr>
              <m:t>c</m:t>
            </m:r>
          </m:sub>
        </m:sSub>
        <m:r>
          <w:rPr>
            <w:rFonts w:ascii="Cambria Math" w:eastAsiaTheme="minorEastAsia" w:hAnsi="Cambria Math"/>
          </w:rPr>
          <m:t>≈18.02</m:t>
        </m:r>
      </m:oMath>
      <w:r w:rsidRPr="00C75420">
        <w:rPr>
          <w:rFonts w:eastAsiaTheme="minorEastAsia"/>
        </w:rPr>
        <w:t> </w:t>
      </w:r>
      <m:oMath>
        <m:r>
          <w:rPr>
            <w:rFonts w:ascii="Cambria Math" w:eastAsiaTheme="minorEastAsia" w:hAnsi="Cambria Math"/>
          </w:rPr>
          <m:t>μ</m:t>
        </m:r>
      </m:oMath>
      <w:r w:rsidRPr="00C75420">
        <w:rPr>
          <w:rFonts w:eastAsiaTheme="minorEastAsia"/>
        </w:rPr>
        <w:t>m.</w:t>
      </w:r>
    </w:p>
    <w:p w14:paraId="376CD20A" w14:textId="71E8A8F8" w:rsidR="000213D2" w:rsidRPr="00DC0C18" w:rsidRDefault="000213D2" w:rsidP="000213D2">
      <w:pPr>
        <w:spacing w:after="249"/>
        <w:ind w:firstLine="480"/>
        <w:rPr>
          <w:rFonts w:eastAsiaTheme="minorEastAsia"/>
        </w:rPr>
      </w:pPr>
      <w:r w:rsidRPr="00C75420">
        <w:rPr>
          <w:rFonts w:eastAsiaTheme="minorEastAsia"/>
        </w:rPr>
        <w:t xml:space="preserve">We further verified the stability of the coherence properties by systematically varying the pump power (Supplementary Fig. </w:t>
      </w:r>
      <w:r w:rsidR="00AD7D6B" w:rsidRPr="00C75420">
        <w:rPr>
          <w:rFonts w:eastAsiaTheme="minorEastAsia"/>
        </w:rPr>
        <w:t>11</w:t>
      </w:r>
      <w:r w:rsidRPr="00C75420">
        <w:rPr>
          <w:rFonts w:eastAsiaTheme="minorEastAsia"/>
        </w:rPr>
        <w:t>). The results indicate that the coherence length remains robust at approximately 18 </w:t>
      </w:r>
      <m:oMath>
        <m:r>
          <w:rPr>
            <w:rFonts w:ascii="Cambria Math" w:eastAsiaTheme="minorEastAsia" w:hAnsi="Cambria Math"/>
          </w:rPr>
          <m:t>μ</m:t>
        </m:r>
      </m:oMath>
      <w:r w:rsidRPr="00C75420">
        <w:rPr>
          <w:rFonts w:eastAsiaTheme="minorEastAsia"/>
        </w:rPr>
        <w:t xml:space="preserve">m across the measured power </w:t>
      </w:r>
      <w:r w:rsidRPr="00DC0C18">
        <w:rPr>
          <w:rFonts w:eastAsiaTheme="minorEastAsia"/>
        </w:rPr>
        <w:t>range. This value is in excellent agreement with the theoretical coherence length estimated from the spectral properties of the laser (center wavelength </w:t>
      </w:r>
      <m:oMath>
        <m:r>
          <w:rPr>
            <w:rFonts w:ascii="Cambria Math" w:eastAsiaTheme="minorEastAsia" w:hAnsi="Cambria Math"/>
          </w:rPr>
          <m:t>λ≈612</m:t>
        </m:r>
      </m:oMath>
      <w:r w:rsidRPr="00DC0C18">
        <w:rPr>
          <w:rFonts w:eastAsiaTheme="minorEastAsia"/>
        </w:rPr>
        <w:t> nm, linewidth </w:t>
      </w:r>
      <m:oMath>
        <m:r>
          <m:rPr>
            <m:sty m:val="p"/>
          </m:rPr>
          <w:rPr>
            <w:rFonts w:ascii="Cambria Math" w:eastAsiaTheme="minorEastAsia" w:hAnsi="Cambria Math"/>
          </w:rPr>
          <m:t>Δ</m:t>
        </m:r>
        <m:r>
          <w:rPr>
            <w:rFonts w:ascii="Cambria Math" w:eastAsiaTheme="minorEastAsia" w:hAnsi="Cambria Math"/>
          </w:rPr>
          <m:t>λ≈5.8</m:t>
        </m:r>
      </m:oMath>
      <w:r w:rsidRPr="00DC0C18">
        <w:rPr>
          <w:rFonts w:eastAsiaTheme="minorEastAsia"/>
        </w:rPr>
        <w:t> nm), confirming the validity of the interferometric characterization.</w:t>
      </w:r>
    </w:p>
    <w:p w14:paraId="1C05002F" w14:textId="41438202" w:rsidR="005B4CD7" w:rsidRPr="005B4CD7" w:rsidRDefault="005B4CD7" w:rsidP="00DC0C18">
      <w:pPr>
        <w:pStyle w:val="ab"/>
        <w:spacing w:after="468"/>
      </w:pPr>
      <w:r>
        <w:rPr>
          <w:noProof/>
        </w:rPr>
        <w:lastRenderedPageBreak/>
        <w:drawing>
          <wp:inline distT="0" distB="0" distL="0" distR="0" wp14:anchorId="694AFFDC" wp14:editId="7D469A39">
            <wp:extent cx="5198744" cy="843070"/>
            <wp:effectExtent l="0" t="0" r="0" b="0"/>
            <wp:docPr id="65" name="图片 65" descr="电脑萤幕&#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电脑萤幕&#10;&#10;AI 生成的内容可能不正确。"/>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6394" cy="855662"/>
                    </a:xfrm>
                    <a:prstGeom prst="rect">
                      <a:avLst/>
                    </a:prstGeom>
                    <a:noFill/>
                  </pic:spPr>
                </pic:pic>
              </a:graphicData>
            </a:graphic>
          </wp:inline>
        </w:drawing>
      </w:r>
      <w:r w:rsidRPr="00011BB3">
        <w:rPr>
          <w:b/>
          <w:bCs/>
        </w:rPr>
        <w:t xml:space="preserve">Supplementary Figure </w:t>
      </w:r>
      <w:r>
        <w:rPr>
          <w:rFonts w:eastAsiaTheme="minorEastAsia"/>
          <w:b/>
          <w:bCs/>
        </w:rPr>
        <w:t>10</w:t>
      </w:r>
      <w:r w:rsidRPr="00011BB3">
        <w:rPr>
          <w:b/>
          <w:bCs/>
        </w:rPr>
        <w:t xml:space="preserve"> | Evolution of interference fringes. </w:t>
      </w:r>
      <w:r w:rsidRPr="00011BB3">
        <w:t>Representative interference patterns recorded by the camera at selected path length differences (</w:t>
      </w:r>
      <m:oMath>
        <m:r>
          <m:rPr>
            <m:sty m:val="p"/>
          </m:rPr>
          <w:rPr>
            <w:rFonts w:ascii="Cambria Math" w:hAnsi="Cambria Math"/>
          </w:rPr>
          <m:t>Δ</m:t>
        </m:r>
        <m:r>
          <w:rPr>
            <w:rFonts w:ascii="Cambria Math" w:hAnsi="Cambria Math"/>
          </w:rPr>
          <m:t>x</m:t>
        </m:r>
      </m:oMath>
      <w:r w:rsidRPr="00011BB3">
        <w:t>). High-contrast fringes are observed near zero path difference (</w:t>
      </w:r>
      <m:oMath>
        <m:r>
          <m:rPr>
            <m:sty m:val="p"/>
          </m:rPr>
          <w:rPr>
            <w:rFonts w:ascii="Cambria Math" w:hAnsi="Cambria Math"/>
          </w:rPr>
          <m:t>Δ</m:t>
        </m:r>
        <m:r>
          <w:rPr>
            <w:rFonts w:ascii="Cambria Math" w:hAnsi="Cambria Math"/>
          </w:rPr>
          <m:t>x</m:t>
        </m:r>
        <m:r>
          <m:rPr>
            <m:sty m:val="p"/>
          </m:rPr>
          <w:rPr>
            <w:rFonts w:ascii="Cambria Math" w:hAnsi="Cambria Math"/>
          </w:rPr>
          <m:t>=0</m:t>
        </m:r>
      </m:oMath>
      <w:r w:rsidRPr="00011BB3">
        <w:t>), with visibility gradually decreasing as </w:t>
      </w:r>
      <m:oMath>
        <m:r>
          <m:rPr>
            <m:sty m:val="p"/>
          </m:rPr>
          <w:rPr>
            <w:rFonts w:ascii="Cambria Math" w:hAnsi="Cambria Math"/>
          </w:rPr>
          <m:t>Δ</m:t>
        </m:r>
        <m:r>
          <w:rPr>
            <w:rFonts w:ascii="Cambria Math" w:hAnsi="Cambria Math"/>
          </w:rPr>
          <m:t>x</m:t>
        </m:r>
      </m:oMath>
      <w:r w:rsidRPr="00011BB3">
        <w:t> increases, indicative of the finite coherence length of the lasing mode.</w:t>
      </w:r>
    </w:p>
    <w:p w14:paraId="207C705A" w14:textId="5DDF307D" w:rsidR="005C6645" w:rsidRPr="005C6645" w:rsidRDefault="000E3275" w:rsidP="005C6645">
      <w:pPr>
        <w:widowControl/>
        <w:spacing w:afterLines="0" w:after="0" w:line="240" w:lineRule="auto"/>
        <w:ind w:firstLineChars="0" w:firstLine="0"/>
        <w:rPr>
          <w:rFonts w:eastAsiaTheme="minorEastAsia" w:cs="Times New Roman"/>
          <w:b/>
          <w:bCs/>
        </w:rPr>
      </w:pPr>
      <w:r>
        <w:rPr>
          <w:rFonts w:eastAsiaTheme="minorEastAsia" w:cs="Times New Roman"/>
          <w:b/>
          <w:bCs/>
        </w:rPr>
        <w:br w:type="page"/>
      </w:r>
    </w:p>
    <w:p w14:paraId="76853B55" w14:textId="10ABB866" w:rsidR="005C6645" w:rsidRDefault="00FB7E72" w:rsidP="00FB7E72">
      <w:pPr>
        <w:pStyle w:val="aff"/>
        <w:rPr>
          <w:rFonts w:eastAsiaTheme="minorEastAsia"/>
        </w:rPr>
      </w:pPr>
      <w:r w:rsidRPr="000D5948">
        <w:lastRenderedPageBreak/>
        <w:drawing>
          <wp:inline distT="0" distB="0" distL="0" distR="0" wp14:anchorId="6131F365" wp14:editId="04E8D489">
            <wp:extent cx="3076575" cy="191452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
                      <a:extLst>
                        <a:ext uri="{28A0092B-C50C-407E-A947-70E740481C1C}">
                          <a14:useLocalDpi xmlns:a14="http://schemas.microsoft.com/office/drawing/2010/main" val="0"/>
                        </a:ext>
                      </a:extLst>
                    </a:blip>
                    <a:srcRect b="5190"/>
                    <a:stretch/>
                  </pic:blipFill>
                  <pic:spPr bwMode="auto">
                    <a:xfrm>
                      <a:off x="0" y="0"/>
                      <a:ext cx="3076575" cy="1914525"/>
                    </a:xfrm>
                    <a:prstGeom prst="rect">
                      <a:avLst/>
                    </a:prstGeom>
                    <a:noFill/>
                    <a:ln>
                      <a:noFill/>
                    </a:ln>
                    <a:extLst>
                      <a:ext uri="{53640926-AAD7-44D8-BBD7-CCE9431645EC}">
                        <a14:shadowObscured xmlns:a14="http://schemas.microsoft.com/office/drawing/2010/main"/>
                      </a:ext>
                    </a:extLst>
                  </pic:spPr>
                </pic:pic>
              </a:graphicData>
            </a:graphic>
          </wp:inline>
        </w:drawing>
      </w:r>
    </w:p>
    <w:p w14:paraId="26CDE9A9" w14:textId="08441608" w:rsidR="00FB7E72" w:rsidRPr="00FB7E72" w:rsidRDefault="00FB7E72" w:rsidP="00FB7E72">
      <w:pPr>
        <w:pStyle w:val="ab"/>
        <w:rPr>
          <w:rFonts w:eastAsiaTheme="minorEastAsia"/>
        </w:rPr>
      </w:pPr>
      <w:r w:rsidRPr="00011BB3">
        <w:rPr>
          <w:b/>
          <w:bCs/>
        </w:rPr>
        <w:t xml:space="preserve">Supplementary Figure </w:t>
      </w:r>
      <w:r>
        <w:rPr>
          <w:rFonts w:eastAsiaTheme="minorEastAsia"/>
          <w:b/>
          <w:bCs/>
        </w:rPr>
        <w:t>11</w:t>
      </w:r>
      <w:r w:rsidRPr="00011BB3">
        <w:rPr>
          <w:b/>
          <w:bCs/>
        </w:rPr>
        <w:t xml:space="preserve"> | </w:t>
      </w:r>
      <w:r w:rsidRPr="00D84D4B">
        <w:rPr>
          <w:rFonts w:cs="Times New Roman"/>
          <w:b/>
          <w:bCs/>
        </w:rPr>
        <w:t>Coherence length of different power</w:t>
      </w:r>
      <w:r w:rsidRPr="00011BB3">
        <w:rPr>
          <w:b/>
          <w:bCs/>
        </w:rPr>
        <w:t>. </w:t>
      </w:r>
      <w:r w:rsidRPr="00011BB3">
        <w:t>Extracted coherence length (</w:t>
      </w:r>
      <m:oMath>
        <m:sSub>
          <m:sSubPr>
            <m:ctrlPr>
              <w:rPr>
                <w:rFonts w:ascii="Cambria Math" w:hAnsi="Cambria Math"/>
              </w:rPr>
            </m:ctrlPr>
          </m:sSubPr>
          <m:e>
            <m:r>
              <w:rPr>
                <w:rFonts w:ascii="Cambria Math" w:hAnsi="Cambria Math"/>
              </w:rPr>
              <m:t>l</m:t>
            </m:r>
          </m:e>
          <m:sub>
            <m:r>
              <w:rPr>
                <w:rFonts w:ascii="Cambria Math" w:hAnsi="Cambria Math"/>
              </w:rPr>
              <m:t>c</m:t>
            </m:r>
          </m:sub>
        </m:sSub>
      </m:oMath>
      <w:r w:rsidRPr="00011BB3">
        <w:t>) plotted as a function of pump power. The coherence length remains stable at </w:t>
      </w:r>
      <m:oMath>
        <m:r>
          <m:rPr>
            <m:sty m:val="p"/>
          </m:rPr>
          <w:rPr>
            <w:rFonts w:ascii="Cambria Math" w:hAnsi="Cambria Math"/>
          </w:rPr>
          <m:t>∼</m:t>
        </m:r>
      </m:oMath>
      <w:r w:rsidRPr="00011BB3">
        <w:t>18 </w:t>
      </w:r>
      <m:oMath>
        <m:r>
          <w:rPr>
            <w:rFonts w:ascii="Cambria Math" w:hAnsi="Cambria Math"/>
          </w:rPr>
          <m:t>μ</m:t>
        </m:r>
      </m:oMath>
      <w:r w:rsidRPr="00011BB3">
        <w:t>m (dashed line), consistent with the spectral linewidth limits, indicating that the temporal coherence of the device is maintained even at high pump powers.</w:t>
      </w:r>
    </w:p>
    <w:p w14:paraId="1E8F41DB" w14:textId="4367AFEF" w:rsidR="005C6645" w:rsidRDefault="005C6645">
      <w:pPr>
        <w:widowControl/>
        <w:spacing w:afterLines="0" w:after="0" w:line="240" w:lineRule="auto"/>
        <w:ind w:firstLineChars="0" w:firstLine="0"/>
      </w:pPr>
      <w:r>
        <w:br w:type="page"/>
      </w:r>
    </w:p>
    <w:p w14:paraId="4401A778" w14:textId="4367AFEF" w:rsidR="001363D2" w:rsidRPr="00FE4293" w:rsidRDefault="001363D2" w:rsidP="00FE4293">
      <w:pPr>
        <w:pStyle w:val="2"/>
        <w:spacing w:after="249"/>
        <w:ind w:firstLineChars="0" w:firstLine="0"/>
        <w:rPr>
          <w:rFonts w:ascii="Times New Roman" w:hAnsi="Times New Roman" w:cs="Times New Roman"/>
          <w:sz w:val="24"/>
          <w:szCs w:val="24"/>
        </w:rPr>
      </w:pPr>
      <w:bookmarkStart w:id="11" w:name="_Toc218536498"/>
      <w:r w:rsidRPr="00FE4293">
        <w:rPr>
          <w:rFonts w:ascii="Times New Roman" w:hAnsi="Times New Roman" w:cs="Times New Roman" w:hint="eastAsia"/>
          <w:sz w:val="24"/>
          <w:szCs w:val="24"/>
        </w:rPr>
        <w:lastRenderedPageBreak/>
        <w:t xml:space="preserve">Supplementary Note </w:t>
      </w:r>
      <w:r w:rsidR="00646B29" w:rsidRPr="00FE4293">
        <w:rPr>
          <w:rFonts w:ascii="Times New Roman" w:hAnsi="Times New Roman" w:cs="Times New Roman"/>
          <w:sz w:val="24"/>
          <w:szCs w:val="24"/>
        </w:rPr>
        <w:t>5</w:t>
      </w:r>
      <w:r w:rsidRPr="00FE4293">
        <w:rPr>
          <w:rFonts w:ascii="Times New Roman" w:hAnsi="Times New Roman" w:cs="Times New Roman" w:hint="eastAsia"/>
          <w:sz w:val="24"/>
          <w:szCs w:val="24"/>
        </w:rPr>
        <w:t xml:space="preserve">: </w:t>
      </w:r>
      <w:r w:rsidRPr="00FE4293">
        <w:rPr>
          <w:rFonts w:ascii="Times New Roman" w:hAnsi="Times New Roman" w:cs="Times New Roman"/>
          <w:sz w:val="24"/>
          <w:szCs w:val="24"/>
        </w:rPr>
        <w:t>Theoretical formulation of Surface Plasmon Lattice Resonances</w:t>
      </w:r>
      <w:bookmarkEnd w:id="11"/>
    </w:p>
    <w:p w14:paraId="28C54836" w14:textId="77777777" w:rsidR="00D277B4" w:rsidRPr="00D277B4" w:rsidRDefault="00D277B4" w:rsidP="002F23A6">
      <w:pPr>
        <w:spacing w:after="249"/>
        <w:ind w:firstLine="480"/>
      </w:pPr>
      <w:r w:rsidRPr="00D277B4">
        <w:t>Surface Lattice Resonances (SLRs) are typically defined as collective optical modes arising in periodic arrays of discrete metal nanoparticles, where the Localized Surface Plasmon Resonance (LSPR) of individual particles couples radiatively with the diffraction orders of the array (Rayleigh anomaly). This coupling leads to spectral features with significantly narrower linewidths than individual LSPRs.</w:t>
      </w:r>
    </w:p>
    <w:p w14:paraId="7F027381" w14:textId="6C770973" w:rsidR="00D277B4" w:rsidRPr="00C75420" w:rsidRDefault="00D277B4" w:rsidP="002F23A6">
      <w:pPr>
        <w:spacing w:after="249"/>
        <w:ind w:firstLine="480"/>
        <w:rPr>
          <w:rFonts w:ascii="DM Sans" w:eastAsiaTheme="minorEastAsia" w:hAnsi="DM Sans"/>
          <w:shd w:val="clear" w:color="auto" w:fill="FFFFFF"/>
        </w:rPr>
      </w:pPr>
      <w:r w:rsidRPr="00C75420">
        <w:t xml:space="preserve">However, when the system transitions to a continuous metallic film with periodic modulation (as in this work), the optical response is dominated by the coupling between propagating </w:t>
      </w:r>
      <w:r w:rsidR="00FA41D5">
        <w:rPr>
          <w:rFonts w:eastAsiaTheme="minorEastAsia" w:hint="eastAsia"/>
        </w:rPr>
        <w:t>SPPs</w:t>
      </w:r>
      <w:r w:rsidRPr="00C75420">
        <w:t xml:space="preserve"> and the lattice diffraction. While physically analogous to SLRs in terms of band formation, this phenomenon is more accurately described as Bloch SP</w:t>
      </w:r>
      <w:r w:rsidRPr="00C75420">
        <w:rPr>
          <w:rFonts w:eastAsiaTheme="minorEastAsia" w:hint="eastAsia"/>
        </w:rPr>
        <w:t>Ps</w:t>
      </w:r>
      <w:r w:rsidRPr="00C75420">
        <w:t>. Here, the lattice acts as a grating coupler that folds the dispersion of the propagating SPPs into the first Brillouin zone, creating leaky modes inside the light cone that can couple to free-space radiation</w:t>
      </w:r>
      <w:r w:rsidR="00AD7D6B" w:rsidRPr="00C75420">
        <w:t xml:space="preserve"> (see </w:t>
      </w:r>
      <w:r w:rsidR="00AD7D6B" w:rsidRPr="00C75420">
        <w:rPr>
          <w:rFonts w:eastAsiaTheme="minorEastAsia"/>
        </w:rPr>
        <w:t>Supplementary Fig. 12</w:t>
      </w:r>
      <w:r w:rsidR="00AD7D6B" w:rsidRPr="00C75420">
        <w:t>)</w:t>
      </w:r>
      <w:r w:rsidRPr="00C75420">
        <w:t>.</w:t>
      </w:r>
      <w:r w:rsidRPr="00C75420">
        <w:rPr>
          <w:rFonts w:ascii="DM Sans" w:hAnsi="DM Sans"/>
          <w:shd w:val="clear" w:color="auto" w:fill="FFFFFF"/>
        </w:rPr>
        <w:t xml:space="preserve"> </w:t>
      </w:r>
    </w:p>
    <w:p w14:paraId="13CFF180" w14:textId="227F4573" w:rsidR="00D277B4" w:rsidRPr="00D277B4" w:rsidRDefault="00D277B4" w:rsidP="002F23A6">
      <w:pPr>
        <w:spacing w:after="249"/>
        <w:ind w:firstLine="480"/>
        <w:rPr>
          <w:rFonts w:eastAsiaTheme="minorEastAsia"/>
        </w:rPr>
      </w:pPr>
      <w:r w:rsidRPr="00D277B4">
        <w:t>The dispersion relation of an SPP propagating at a flat interface between a metal (permittivity </w:t>
      </w:r>
      <m:oMath>
        <m:sSub>
          <m:sSubPr>
            <m:ctrlPr>
              <w:rPr>
                <w:rFonts w:ascii="Cambria Math" w:hAnsi="Cambria Math"/>
              </w:rPr>
            </m:ctrlPr>
          </m:sSubPr>
          <m:e>
            <m:r>
              <w:rPr>
                <w:rFonts w:ascii="Cambria Math" w:hAnsi="Cambria Math"/>
              </w:rPr>
              <m:t>ε</m:t>
            </m:r>
          </m:e>
          <m:sub>
            <m:r>
              <w:rPr>
                <w:rFonts w:ascii="Cambria Math" w:hAnsi="Cambria Math"/>
              </w:rPr>
              <m:t>m</m:t>
            </m:r>
          </m:sub>
        </m:sSub>
      </m:oMath>
      <w:r w:rsidRPr="00D277B4">
        <w:t>) and a dielectric (permittivity </w:t>
      </w:r>
      <m:oMath>
        <m:sSub>
          <m:sSubPr>
            <m:ctrlPr>
              <w:rPr>
                <w:rFonts w:ascii="Cambria Math" w:hAnsi="Cambria Math"/>
              </w:rPr>
            </m:ctrlPr>
          </m:sSubPr>
          <m:e>
            <m:r>
              <w:rPr>
                <w:rFonts w:ascii="Cambria Math" w:hAnsi="Cambria Math"/>
              </w:rPr>
              <m:t>ε</m:t>
            </m:r>
          </m:e>
          <m:sub>
            <m:r>
              <w:rPr>
                <w:rFonts w:ascii="Cambria Math" w:hAnsi="Cambria Math"/>
              </w:rPr>
              <m:t>d</m:t>
            </m:r>
          </m:sub>
        </m:sSub>
      </m:oMath>
      <w:r w:rsidRPr="00D277B4">
        <w:t>) is given by:</w:t>
      </w:r>
    </w:p>
    <w:p w14:paraId="43309DE7" w14:textId="5015CD99" w:rsidR="00392965" w:rsidRPr="002F23A6" w:rsidRDefault="002F23A6" w:rsidP="0064662E">
      <w:pPr>
        <w:pStyle w:val="af3"/>
        <w:spacing w:after="249"/>
        <w:ind w:firstLine="420"/>
      </w:pPr>
      <w:r w:rsidRPr="002F23A6">
        <w:rPr>
          <w:sz w:val="21"/>
          <w:szCs w:val="21"/>
        </w:rPr>
        <w:tab/>
      </w:r>
      <m:oMath>
        <m:d>
          <m:dPr>
            <m:begChr m:val="|"/>
            <m:endChr m:val="|"/>
            <m:ctrlPr>
              <w:rPr>
                <w:rFonts w:ascii="Cambria Math" w:hAnsi="Cambria Math"/>
              </w:rPr>
            </m:ctrlPr>
          </m:dPr>
          <m:e>
            <m:sSub>
              <m:sSubPr>
                <m:ctrlPr>
                  <w:rPr>
                    <w:rFonts w:ascii="Cambria Math" w:hAnsi="Cambria Math"/>
                  </w:rPr>
                </m:ctrlPr>
              </m:sSubPr>
              <m:e>
                <m:r>
                  <m:rPr>
                    <m:sty m:val="bi"/>
                  </m:rPr>
                  <w:rPr>
                    <w:rFonts w:ascii="Cambria Math" w:hAnsi="Cambria Math"/>
                  </w:rPr>
                  <m:t>k</m:t>
                </m:r>
              </m:e>
              <m:sub>
                <m:r>
                  <w:rPr>
                    <w:rFonts w:ascii="Cambria Math" w:hAnsi="Cambria Math"/>
                  </w:rPr>
                  <m:t>spp</m:t>
                </m:r>
              </m:sub>
            </m:sSub>
          </m:e>
        </m:d>
        <m:r>
          <m:rPr>
            <m:sty m:val="p"/>
          </m:rPr>
          <w:rPr>
            <w:rFonts w:ascii="Cambria Math" w:hAnsi="Cambria Math"/>
          </w:rPr>
          <m:t>=</m:t>
        </m:r>
        <m:f>
          <m:fPr>
            <m:ctrlPr>
              <w:rPr>
                <w:rFonts w:ascii="Cambria Math" w:hAnsi="Cambria Math"/>
              </w:rPr>
            </m:ctrlPr>
          </m:fPr>
          <m:num>
            <m:r>
              <m:rPr>
                <m:sty m:val="p"/>
              </m:rPr>
              <w:rPr>
                <w:rFonts w:ascii="Cambria Math" w:hAnsi="Cambria Math"/>
              </w:rPr>
              <m:t>2</m:t>
            </m:r>
            <m:r>
              <w:rPr>
                <w:rFonts w:ascii="Cambria Math" w:hAnsi="Cambria Math"/>
              </w:rPr>
              <m:t>π</m:t>
            </m:r>
          </m:num>
          <m:den>
            <m:r>
              <w:rPr>
                <w:rFonts w:ascii="Cambria Math" w:hAnsi="Cambria Math"/>
              </w:rPr>
              <m:t>λ</m:t>
            </m:r>
          </m:den>
        </m:f>
        <m:r>
          <m:rPr>
            <m:sty m:val="p"/>
          </m:rPr>
          <w:rPr>
            <w:rFonts w:ascii="Cambria Math" w:hAnsi="Cambria Math"/>
          </w:rPr>
          <m:t>·</m:t>
        </m:r>
        <m:sSup>
          <m:sSupPr>
            <m:ctrlPr>
              <w:rPr>
                <w:rFonts w:ascii="Cambria Math" w:hAnsi="Cambria Math"/>
              </w:rPr>
            </m:ctrlPr>
          </m:sSupPr>
          <m:e>
            <m:d>
              <m:dPr>
                <m:ctrlPr>
                  <w:rPr>
                    <w:rFonts w:ascii="Cambria Math" w:hAnsi="Cambria Math"/>
                  </w:rPr>
                </m:ctrlPr>
              </m:dPr>
              <m:e>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ε</m:t>
                        </m:r>
                      </m:e>
                      <m:sub>
                        <m:r>
                          <m:rPr>
                            <m:sty m:val="p"/>
                          </m:rPr>
                          <w:rPr>
                            <w:rFonts w:ascii="Cambria Math" w:hAnsi="Cambria Math"/>
                          </w:rPr>
                          <m:t>1</m:t>
                        </m:r>
                      </m:sub>
                    </m:sSub>
                  </m:den>
                </m:f>
                <m:r>
                  <m:rPr>
                    <m:sty m:val="p"/>
                  </m:rPr>
                  <w:rPr>
                    <w:rFonts w:ascii="Cambria Math" w:hAnsi="Cambria Math"/>
                  </w:rPr>
                  <m:t>+</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ε</m:t>
                        </m:r>
                      </m:e>
                      <m:sub>
                        <m:r>
                          <m:rPr>
                            <m:sty m:val="p"/>
                          </m:rPr>
                          <w:rPr>
                            <w:rFonts w:ascii="Cambria Math" w:hAnsi="Cambria Math"/>
                          </w:rPr>
                          <m:t>2</m:t>
                        </m:r>
                      </m:sub>
                    </m:sSub>
                  </m:den>
                </m:f>
              </m:e>
            </m:d>
          </m:e>
          <m:sup>
            <m:r>
              <m:rPr>
                <m:sty m:val="p"/>
              </m:rPr>
              <w:rPr>
                <w:rFonts w:ascii="Cambria Math" w:hAnsi="Cambria Math"/>
              </w:rPr>
              <m:t>1/2</m:t>
            </m:r>
          </m:sup>
        </m:sSup>
        <m:r>
          <w:rPr>
            <w:rFonts w:ascii="Cambria Math" w:hAnsi="Cambria Math"/>
          </w:rPr>
          <m:t xml:space="preserve"> </m:t>
        </m:r>
      </m:oMath>
      <w:r w:rsidRPr="002F23A6">
        <w:tab/>
        <w:t>(S3)</w:t>
      </w:r>
    </w:p>
    <w:p w14:paraId="65FA15D9" w14:textId="1DB13FDF" w:rsidR="00D277B4" w:rsidRDefault="00D277B4" w:rsidP="002F23A6">
      <w:pPr>
        <w:spacing w:after="249"/>
        <w:ind w:firstLine="480"/>
      </w:pPr>
      <w:r w:rsidRPr="00D277B4">
        <w:t>where </w:t>
      </w:r>
      <m:oMath>
        <m:r>
          <w:rPr>
            <w:rFonts w:ascii="Cambria Math" w:hAnsi="Cambria Math"/>
          </w:rPr>
          <m:t>λ</m:t>
        </m:r>
      </m:oMath>
      <w:r w:rsidRPr="00D277B4">
        <w:t> is the vacuum wavelength. In a system with two-dimensional periodicity, the lattice momentum allows the SPP to couple to free-space light. The resonance condition is satisfied when the momentum matching equation is met</w:t>
      </w:r>
      <w:r w:rsidR="004A2817">
        <w:fldChar w:fldCharType="begin"/>
      </w:r>
      <w:r w:rsidR="005B7F98">
        <w:instrText xml:space="preserve"> ADDIN ZOTERO_ITEM CSL_CITATION {"citationID":"tR5ILpxP","properties":{"formattedCitation":"\\super 3\\nosupersub{}","plainCitation":"3","noteIndex":0},"citationItems":[{"id":460,"uris":["http://zotero.org/users/13959459/items/FN683FSU"],"itemData":{"id":460,"type":"article-journal","abstract":"This paper describes the properties of silver plasmonic crystals with quasiperiodic rotational symmetries. Compared to periodic plasmonic crystals, quasiperiodic moire structures exhibited an increased number of surface plasmon polariton modes, especially at high angles of excitation. In addition, plasmonic band gaps were often formed at the intersections of these new modes. To identify the origin and predict the location of the band gaps, we developed a Bragg-based indexing system using the reciprocal lattice vectors of the moire plasmonic crystals. We showed that even more complicated quasiperiodic geometries could also be described by this indexing model. We anticipate that these quasiperiodic lattices will be useful for applications that require the concentration and manipulation of light over a broadband spectrum.","archive":"Q1","archive_location":"</w:instrText>
      </w:r>
      <w:r w:rsidR="005B7F98">
        <w:rPr>
          <w:rFonts w:ascii="宋体" w:eastAsia="宋体" w:hAnsi="宋体" w:cs="宋体" w:hint="eastAsia"/>
        </w:rPr>
        <w:instrText>材料科学</w:instrText>
      </w:r>
      <w:r w:rsidR="005B7F98">
        <w:instrText>1</w:instrText>
      </w:r>
      <w:r w:rsidR="005B7F98">
        <w:rPr>
          <w:rFonts w:ascii="宋体" w:eastAsia="宋体" w:hAnsi="宋体" w:cs="宋体" w:hint="eastAsia"/>
        </w:rPr>
        <w:instrText>区</w:instrText>
      </w:r>
      <w:r w:rsidR="005B7F98">
        <w:rPr>
          <w:rFonts w:cs="Times New Roman"/>
        </w:rPr>
        <w:instrText> </w:instrText>
      </w:r>
      <w:r w:rsidR="005B7F98">
        <w:instrText>Top","call-number":"15.8000","collection-title":"</w:instrText>
      </w:r>
      <w:r w:rsidR="005B7F98">
        <w:rPr>
          <w:rFonts w:ascii="宋体" w:eastAsia="宋体" w:hAnsi="宋体" w:cs="宋体" w:hint="eastAsia"/>
        </w:rPr>
        <w:instrText>自然科学</w:instrText>
      </w:r>
      <w:r w:rsidR="005B7F98">
        <w:instrText>A","container-title":"ACS Nano","DOI":"10.1021/nn404703z","ISSN":"1936-0851, 1936-086X","issue":"12","journalAbbreviation":"ACS Nano","language":"en","license":"16.2000","note":"number: 12\nJCR</w:instrText>
      </w:r>
      <w:r w:rsidR="005B7F98">
        <w:rPr>
          <w:rFonts w:ascii="宋体" w:eastAsia="宋体" w:hAnsi="宋体" w:cs="宋体" w:hint="eastAsia"/>
        </w:rPr>
        <w:instrText>分区</w:instrText>
      </w:r>
      <w:r w:rsidR="005B7F98">
        <w:instrText>: Q1\n</w:instrText>
      </w:r>
      <w:r w:rsidR="005B7F98">
        <w:rPr>
          <w:rFonts w:ascii="宋体" w:eastAsia="宋体" w:hAnsi="宋体" w:cs="宋体" w:hint="eastAsia"/>
        </w:rPr>
        <w:instrText>中科院分区升级版</w:instrText>
      </w:r>
      <w:r w:rsidR="005B7F98">
        <w:instrText xml:space="preserve">: </w:instrText>
      </w:r>
      <w:r w:rsidR="005B7F98">
        <w:rPr>
          <w:rFonts w:ascii="宋体" w:eastAsia="宋体" w:hAnsi="宋体" w:cs="宋体" w:hint="eastAsia"/>
        </w:rPr>
        <w:instrText>材料科学</w:instrText>
      </w:r>
      <w:r w:rsidR="005B7F98">
        <w:instrText>1</w:instrText>
      </w:r>
      <w:r w:rsidR="005B7F98">
        <w:rPr>
          <w:rFonts w:ascii="宋体" w:eastAsia="宋体" w:hAnsi="宋体" w:cs="宋体" w:hint="eastAsia"/>
        </w:rPr>
        <w:instrText>区</w:instrText>
      </w:r>
      <w:r w:rsidR="005B7F98">
        <w:instrText>\n</w:instrText>
      </w:r>
      <w:r w:rsidR="005B7F98">
        <w:rPr>
          <w:rFonts w:ascii="宋体" w:eastAsia="宋体" w:hAnsi="宋体" w:cs="宋体" w:hint="eastAsia"/>
        </w:rPr>
        <w:instrText>影响因子</w:instrText>
      </w:r>
      <w:r w:rsidR="005B7F98">
        <w:instrText>: 15.8\n5</w:instrText>
      </w:r>
      <w:r w:rsidR="005B7F98">
        <w:rPr>
          <w:rFonts w:ascii="宋体" w:eastAsia="宋体" w:hAnsi="宋体" w:cs="宋体" w:hint="eastAsia"/>
        </w:rPr>
        <w:instrText>年影响因子</w:instrText>
      </w:r>
      <w:r w:rsidR="005B7F98">
        <w:instrText xml:space="preserve">: 16.2\nEI: </w:instrText>
      </w:r>
      <w:r w:rsidR="005B7F98">
        <w:rPr>
          <w:rFonts w:ascii="宋体" w:eastAsia="宋体" w:hAnsi="宋体" w:cs="宋体" w:hint="eastAsia"/>
        </w:rPr>
        <w:instrText>是</w:instrText>
      </w:r>
      <w:r w:rsidR="005B7F98">
        <w:instrText>\n</w:instrText>
      </w:r>
      <w:r w:rsidR="005B7F98">
        <w:rPr>
          <w:rFonts w:ascii="宋体" w:eastAsia="宋体" w:hAnsi="宋体" w:cs="宋体" w:hint="eastAsia"/>
        </w:rPr>
        <w:instrText>南农高质量</w:instrText>
      </w:r>
      <w:r w:rsidR="005B7F98">
        <w:instrText>: A\nTLDR: This paper developed a Bragg-based indexing system using the reciprocal lattice vectors of the moiré plasmonic crystals, and showed that even more complicated quasiperiodic geometries could also be described by this indexing model.","page":"11035-11042","source":"</w:instrText>
      </w:r>
      <w:r w:rsidR="005B7F98">
        <w:rPr>
          <w:rFonts w:ascii="宋体" w:eastAsia="宋体" w:hAnsi="宋体" w:cs="宋体" w:hint="eastAsia"/>
        </w:rPr>
        <w:instrText>纳米科技</w:instrText>
      </w:r>
      <w:r w:rsidR="005B7F98">
        <w:instrText>1</w:instrText>
      </w:r>
      <w:r w:rsidR="005B7F98">
        <w:rPr>
          <w:rFonts w:ascii="宋体" w:eastAsia="宋体" w:hAnsi="宋体" w:cs="宋体" w:hint="eastAsia"/>
        </w:rPr>
        <w:instrText>区</w:instrText>
      </w:r>
      <w:r w:rsidR="005B7F98">
        <w:instrText xml:space="preserve">  </w:instrText>
      </w:r>
      <w:r w:rsidR="005B7F98">
        <w:rPr>
          <w:rFonts w:ascii="宋体" w:eastAsia="宋体" w:hAnsi="宋体" w:cs="宋体" w:hint="eastAsia"/>
        </w:rPr>
        <w:instrText>化学：综合</w:instrText>
      </w:r>
      <w:r w:rsidR="005B7F98">
        <w:instrText>1</w:instrText>
      </w:r>
      <w:r w:rsidR="005B7F98">
        <w:rPr>
          <w:rFonts w:ascii="宋体" w:eastAsia="宋体" w:hAnsi="宋体" w:cs="宋体" w:hint="eastAsia"/>
        </w:rPr>
        <w:instrText>区</w:instrText>
      </w:r>
      <w:r w:rsidR="005B7F98">
        <w:instrText xml:space="preserve">  </w:instrText>
      </w:r>
      <w:r w:rsidR="005B7F98">
        <w:rPr>
          <w:rFonts w:ascii="宋体" w:eastAsia="宋体" w:hAnsi="宋体" w:cs="宋体" w:hint="eastAsia"/>
        </w:rPr>
        <w:instrText>材料科学：综合</w:instrText>
      </w:r>
      <w:r w:rsidR="005B7F98">
        <w:instrText>1</w:instrText>
      </w:r>
      <w:r w:rsidR="005B7F98">
        <w:rPr>
          <w:rFonts w:ascii="宋体" w:eastAsia="宋体" w:hAnsi="宋体" w:cs="宋体" w:hint="eastAsia"/>
        </w:rPr>
        <w:instrText>区</w:instrText>
      </w:r>
      <w:r w:rsidR="005B7F98">
        <w:instrText xml:space="preserve">  </w:instrText>
      </w:r>
      <w:r w:rsidR="005B7F98">
        <w:rPr>
          <w:rFonts w:ascii="宋体" w:eastAsia="宋体" w:hAnsi="宋体" w:cs="宋体" w:hint="eastAsia"/>
        </w:rPr>
        <w:instrText>物理化学</w:instrText>
      </w:r>
      <w:r w:rsidR="005B7F98">
        <w:instrText>1</w:instrText>
      </w:r>
      <w:r w:rsidR="005B7F98">
        <w:rPr>
          <w:rFonts w:ascii="宋体" w:eastAsia="宋体" w:hAnsi="宋体" w:cs="宋体" w:hint="eastAsia"/>
        </w:rPr>
        <w:instrText>区</w:instrText>
      </w:r>
      <w:r w:rsidR="005B7F98">
        <w:instrText xml:space="preserve">","title":"Quasiperiodic Moiré Plasmonic Crystals","volume":"7","author":[{"family":"Lubin","given":"Steven M."},{"family":"Hryn","given":"Alexander J."},{"family":"Huntington","given":"Mark D."},{"family":"Engel","given":"Clifford J."},{"family":"Odom","given":"Teri W."}],"issued":{"date-parts":[["2013",12,23]]}}}],"schema":"https://github.com/citation-style-language/schema/raw/master/csl-citation.json"} </w:instrText>
      </w:r>
      <w:r w:rsidR="004A2817">
        <w:fldChar w:fldCharType="separate"/>
      </w:r>
      <w:r w:rsidR="00D84474" w:rsidRPr="00D84474">
        <w:rPr>
          <w:rFonts w:cs="Times New Roman"/>
          <w:kern w:val="0"/>
          <w:szCs w:val="24"/>
          <w:vertAlign w:val="superscript"/>
        </w:rPr>
        <w:t>3</w:t>
      </w:r>
      <w:r w:rsidR="004A2817">
        <w:fldChar w:fldCharType="end"/>
      </w:r>
      <w:r w:rsidRPr="00D277B4">
        <w:t>:</w:t>
      </w:r>
    </w:p>
    <w:p w14:paraId="4A242290" w14:textId="38E52F74" w:rsidR="002F23A6" w:rsidRPr="0064662E" w:rsidRDefault="00081252" w:rsidP="0064662E">
      <w:pPr>
        <w:pStyle w:val="af3"/>
        <w:spacing w:after="249"/>
        <w:ind w:firstLine="420"/>
        <w:rPr>
          <w:rFonts w:ascii="Calibri" w:eastAsiaTheme="minorEastAsia" w:hAnsi="Calibri" w:cs="Times New Roman"/>
          <w:b/>
        </w:rPr>
      </w:pPr>
      <w:r w:rsidRPr="004D5171">
        <w:rPr>
          <w:rFonts w:ascii="Calibri" w:hAnsi="Calibri" w:cs="Times New Roman"/>
          <w:iCs/>
          <w:sz w:val="21"/>
          <w:szCs w:val="21"/>
        </w:rPr>
        <w:tab/>
      </w:r>
      <m:oMath>
        <m:sSub>
          <m:sSubPr>
            <m:ctrlPr>
              <w:rPr>
                <w:rFonts w:ascii="Cambria Math" w:hAnsi="Cambria Math"/>
                <w:iCs/>
              </w:rPr>
            </m:ctrlPr>
          </m:sSubPr>
          <m:e>
            <m:r>
              <m:rPr>
                <m:sty m:val="bi"/>
              </m:rPr>
              <w:rPr>
                <w:rFonts w:ascii="Cambria Math" w:hAnsi="Cambria Math"/>
              </w:rPr>
              <m:t>k</m:t>
            </m:r>
          </m:e>
          <m:sub>
            <m:r>
              <w:rPr>
                <w:rFonts w:ascii="Cambria Math" w:hAnsi="Cambria Math"/>
              </w:rPr>
              <m:t>spp</m:t>
            </m:r>
          </m:sub>
        </m:sSub>
        <m:r>
          <m:rPr>
            <m:sty m:val="p"/>
          </m:rPr>
          <w:rPr>
            <w:rFonts w:ascii="Cambria Math" w:hAnsi="Cambria Math"/>
          </w:rPr>
          <m:t>=</m:t>
        </m:r>
        <m:sSub>
          <m:sSubPr>
            <m:ctrlPr>
              <w:rPr>
                <w:rFonts w:ascii="Cambria Math" w:hAnsi="Cambria Math"/>
                <w:iCs/>
              </w:rPr>
            </m:ctrlPr>
          </m:sSubPr>
          <m:e>
            <m:r>
              <m:rPr>
                <m:sty m:val="bi"/>
              </m:rPr>
              <w:rPr>
                <w:rFonts w:ascii="Cambria Math" w:hAnsi="Cambria Math"/>
              </w:rPr>
              <m:t>k</m:t>
            </m:r>
          </m:e>
          <m:sub>
            <m:r>
              <m:rPr>
                <m:sty m:val="p"/>
              </m:rPr>
              <w:rPr>
                <w:rFonts w:ascii="Cambria Math" w:hAnsi="Cambria Math"/>
              </w:rPr>
              <m:t>||</m:t>
            </m:r>
          </m:sub>
        </m:sSub>
        <m:r>
          <m:rPr>
            <m:sty m:val="p"/>
          </m:rPr>
          <w:rPr>
            <w:rFonts w:ascii="Cambria Math" w:hAnsi="Cambria Math"/>
          </w:rPr>
          <m:t>+</m:t>
        </m:r>
        <m:r>
          <m:rPr>
            <m:sty m:val="bi"/>
          </m:rPr>
          <w:rPr>
            <w:rFonts w:ascii="Cambria Math" w:hAnsi="Cambria Math"/>
          </w:rPr>
          <m:t xml:space="preserve">G  </m:t>
        </m:r>
      </m:oMath>
      <w:r w:rsidR="0064662E">
        <w:rPr>
          <w:rFonts w:ascii="Calibri" w:hAnsi="Calibri" w:cs="Times New Roman"/>
          <w:b/>
        </w:rPr>
        <w:tab/>
      </w:r>
      <w:r w:rsidR="0064662E" w:rsidRPr="0064662E">
        <w:rPr>
          <w:rFonts w:eastAsiaTheme="minorEastAsia" w:cs="Times New Roman"/>
          <w:bCs/>
        </w:rPr>
        <w:t>(S4)</w:t>
      </w:r>
    </w:p>
    <w:p w14:paraId="569C8D22" w14:textId="2B53D521" w:rsidR="00D277B4" w:rsidRPr="002F23A6" w:rsidRDefault="00D277B4" w:rsidP="002F23A6">
      <w:pPr>
        <w:spacing w:after="249"/>
        <w:ind w:firstLine="480"/>
        <w:rPr>
          <w:rFonts w:ascii="Calibri" w:eastAsia="宋体" w:hAnsi="Calibri" w:cs="Times New Roman"/>
        </w:rPr>
      </w:pPr>
      <w:r w:rsidRPr="00D277B4">
        <w:rPr>
          <w:rFonts w:eastAsia="宋体"/>
        </w:rPr>
        <w:t>Here, </w:t>
      </w:r>
      <m:oMath>
        <m:sSub>
          <m:sSubPr>
            <m:ctrlPr>
              <w:rPr>
                <w:rFonts w:ascii="Cambria Math" w:eastAsia="宋体" w:hAnsi="Cambria Math"/>
              </w:rPr>
            </m:ctrlPr>
          </m:sSubPr>
          <m:e>
            <m:r>
              <m:rPr>
                <m:sty m:val="b"/>
              </m:rPr>
              <w:rPr>
                <w:rFonts w:ascii="Cambria Math" w:hAnsi="Cambria Math"/>
              </w:rPr>
              <m:t>k</m:t>
            </m:r>
          </m:e>
          <m:sub>
            <m:r>
              <w:rPr>
                <w:rFonts w:ascii="Cambria Math" w:hAnsi="Cambria Math"/>
              </w:rPr>
              <m:t>∥</m:t>
            </m:r>
          </m:sub>
        </m:sSub>
      </m:oMath>
      <w:r w:rsidRPr="00D277B4">
        <w:rPr>
          <w:rFonts w:eastAsia="宋体"/>
        </w:rPr>
        <w:t> is the in-plane wavevector component of the incident (or emitted) light, and </w:t>
      </w:r>
      <m:oMath>
        <m:r>
          <m:rPr>
            <m:sty m:val="b"/>
          </m:rPr>
          <w:rPr>
            <w:rFonts w:ascii="Cambria Math" w:hAnsi="Cambria Math"/>
          </w:rPr>
          <m:t>G</m:t>
        </m:r>
      </m:oMath>
      <w:r w:rsidRPr="00D277B4">
        <w:rPr>
          <w:rFonts w:eastAsia="宋体"/>
        </w:rPr>
        <w:t> is a reciprocal lattice vector.</w:t>
      </w:r>
    </w:p>
    <w:p w14:paraId="0D2B4794" w14:textId="3C7B86A6" w:rsidR="00D277B4" w:rsidRPr="0064662E" w:rsidRDefault="00D277B4" w:rsidP="0064662E">
      <w:pPr>
        <w:spacing w:after="249"/>
        <w:ind w:firstLine="480"/>
        <w:rPr>
          <w:rFonts w:eastAsia="宋体"/>
        </w:rPr>
      </w:pPr>
      <w:r w:rsidRPr="00C75420">
        <w:rPr>
          <w:rFonts w:eastAsia="宋体"/>
        </w:rPr>
        <w:t>For a plane wave incident at a polar angle </w:t>
      </w:r>
      <m:oMath>
        <m:r>
          <w:rPr>
            <w:rFonts w:ascii="Cambria Math" w:hAnsi="Cambria Math"/>
          </w:rPr>
          <m:t>θ</m:t>
        </m:r>
      </m:oMath>
      <w:r w:rsidRPr="00C75420">
        <w:rPr>
          <w:rFonts w:eastAsia="宋体"/>
        </w:rPr>
        <w:t> and azimuthal angle </w:t>
      </w:r>
      <m:oMath>
        <m:r>
          <w:rPr>
            <w:rFonts w:ascii="Cambria Math" w:hAnsi="Cambria Math"/>
          </w:rPr>
          <m:t>ϕ</m:t>
        </m:r>
      </m:oMath>
      <w:r w:rsidRPr="00C75420">
        <w:rPr>
          <w:rFonts w:eastAsia="宋体"/>
        </w:rPr>
        <w:t> (see schematic in Supplementary Fig. 1</w:t>
      </w:r>
      <w:r w:rsidR="00BD0B57" w:rsidRPr="00C75420">
        <w:rPr>
          <w:rFonts w:eastAsia="宋体"/>
        </w:rPr>
        <w:t>2</w:t>
      </w:r>
      <w:r w:rsidRPr="00C75420">
        <w:rPr>
          <w:rFonts w:eastAsia="宋体"/>
        </w:rPr>
        <w:t>a), t</w:t>
      </w:r>
      <w:r w:rsidRPr="00D277B4">
        <w:rPr>
          <w:rFonts w:eastAsia="宋体"/>
        </w:rPr>
        <w:t>he in-plane wavevector is:</w:t>
      </w:r>
    </w:p>
    <w:p w14:paraId="4C650B2B" w14:textId="2E45DE63" w:rsidR="00D277B4" w:rsidRPr="0064662E" w:rsidRDefault="00081252" w:rsidP="0064662E">
      <w:pPr>
        <w:pStyle w:val="af3"/>
        <w:spacing w:after="249"/>
        <w:ind w:firstLine="420"/>
        <w:rPr>
          <w:rFonts w:ascii="Calibri" w:eastAsiaTheme="minorEastAsia" w:hAnsi="Calibri" w:cs="Times New Roman"/>
          <w:sz w:val="21"/>
          <w:szCs w:val="21"/>
        </w:rPr>
      </w:pPr>
      <w:r w:rsidRPr="004D5171">
        <w:rPr>
          <w:rFonts w:ascii="Calibri" w:hAnsi="Calibri" w:cs="Times New Roman"/>
          <w:sz w:val="21"/>
          <w:szCs w:val="21"/>
        </w:rPr>
        <w:tab/>
      </w:r>
      <m:oMath>
        <m:sSub>
          <m:sSubPr>
            <m:ctrlPr>
              <w:rPr>
                <w:rFonts w:ascii="Cambria Math" w:hAnsi="Cambria Math"/>
              </w:rPr>
            </m:ctrlPr>
          </m:sSubPr>
          <m:e>
            <m:r>
              <m:rPr>
                <m:sty m:val="bi"/>
              </m:rPr>
              <w:rPr>
                <w:rFonts w:ascii="Cambria Math" w:hAnsi="Cambria Math"/>
              </w:rPr>
              <m:t>k</m:t>
            </m:r>
          </m:e>
          <m:sub>
            <m:r>
              <m:rPr>
                <m:sty m:val="p"/>
              </m:rPr>
              <w:rPr>
                <w:rFonts w:ascii="Cambria Math" w:hAnsi="Cambria Math"/>
              </w:rPr>
              <m:t>||</m:t>
            </m:r>
          </m:sub>
        </m:sSub>
        <m:r>
          <m:rPr>
            <m:sty m:val="p"/>
          </m:rPr>
          <w:rPr>
            <w:rFonts w:ascii="Cambria Math" w:hAnsi="Cambria Math"/>
          </w:rPr>
          <m:t>=</m:t>
        </m:r>
        <m:f>
          <m:fPr>
            <m:ctrlPr>
              <w:rPr>
                <w:rFonts w:ascii="Cambria Math" w:hAnsi="Cambria Math"/>
              </w:rPr>
            </m:ctrlPr>
          </m:fPr>
          <m:num>
            <m:r>
              <m:rPr>
                <m:sty m:val="p"/>
              </m:rPr>
              <w:rPr>
                <w:rFonts w:ascii="Cambria Math" w:hAnsi="Cambria Math"/>
              </w:rPr>
              <m:t>2</m:t>
            </m:r>
            <m:r>
              <w:rPr>
                <w:rFonts w:ascii="Cambria Math" w:hAnsi="Cambria Math"/>
              </w:rPr>
              <m:t>πn</m:t>
            </m:r>
          </m:num>
          <m:den>
            <m:r>
              <w:rPr>
                <w:rFonts w:ascii="Cambria Math" w:hAnsi="Cambria Math"/>
              </w:rPr>
              <m:t>λ</m:t>
            </m:r>
          </m:den>
        </m:f>
        <m:r>
          <w:rPr>
            <w:rFonts w:ascii="Cambria Math" w:hAnsi="Cambria Math"/>
          </w:rPr>
          <m:t>sinθ</m:t>
        </m:r>
        <m:r>
          <m:rPr>
            <m:sty m:val="p"/>
          </m:rPr>
          <w:rPr>
            <w:rFonts w:ascii="Cambria Math" w:hAnsi="Cambria Math"/>
          </w:rPr>
          <m:t>∙</m:t>
        </m:r>
        <m:d>
          <m:dPr>
            <m:ctrlPr>
              <w:rPr>
                <w:rFonts w:ascii="Cambria Math" w:hAnsi="Cambria Math"/>
              </w:rPr>
            </m:ctrlPr>
          </m:dPr>
          <m:e>
            <m:r>
              <w:rPr>
                <w:rFonts w:ascii="Cambria Math" w:hAnsi="Cambria Math"/>
              </w:rPr>
              <m:t>cosφ</m:t>
            </m:r>
            <m:r>
              <m:rPr>
                <m:sty m:val="p"/>
              </m:rPr>
              <w:rPr>
                <w:rFonts w:ascii="Cambria Math" w:hAnsi="Cambria Math"/>
              </w:rPr>
              <m:t>,</m:t>
            </m:r>
            <m:r>
              <w:rPr>
                <w:rFonts w:ascii="Cambria Math" w:hAnsi="Cambria Math"/>
              </w:rPr>
              <m:t>sinφ</m:t>
            </m:r>
          </m:e>
        </m:d>
      </m:oMath>
      <w:r w:rsidR="0064662E">
        <w:rPr>
          <w:rFonts w:ascii="Calibri" w:hAnsi="Calibri" w:cs="Times New Roman"/>
        </w:rPr>
        <w:tab/>
      </w:r>
      <w:r w:rsidR="0064662E" w:rsidRPr="0064662E">
        <w:rPr>
          <w:rFonts w:eastAsiaTheme="minorEastAsia" w:cs="Times New Roman"/>
        </w:rPr>
        <w:t>(S5)</w:t>
      </w:r>
    </w:p>
    <w:p w14:paraId="71BBA976" w14:textId="57E02129" w:rsidR="00392965" w:rsidRPr="00D277B4" w:rsidRDefault="00D277B4" w:rsidP="002F23A6">
      <w:pPr>
        <w:spacing w:after="249"/>
        <w:ind w:firstLine="480"/>
        <w:rPr>
          <w:rFonts w:ascii="Calibri" w:hAnsi="Calibri" w:cs="Times New Roman"/>
          <w:sz w:val="21"/>
          <w:szCs w:val="21"/>
        </w:rPr>
      </w:pPr>
      <w:r w:rsidRPr="00D277B4">
        <w:t>where </w:t>
      </w:r>
      <m:oMath>
        <m:r>
          <w:rPr>
            <w:rFonts w:ascii="Cambria Math" w:hAnsi="Cambria Math"/>
          </w:rPr>
          <m:t>n</m:t>
        </m:r>
      </m:oMath>
      <w:r w:rsidRPr="00D277B4">
        <w:t> is the refractive index of the surrounding medium.</w:t>
      </w:r>
    </w:p>
    <w:p w14:paraId="0D4E3A89" w14:textId="77777777" w:rsidR="00D277B4" w:rsidRDefault="00D277B4" w:rsidP="002F23A6">
      <w:pPr>
        <w:spacing w:after="249"/>
        <w:ind w:firstLine="480"/>
      </w:pPr>
      <w:r w:rsidRPr="00D277B4">
        <w:lastRenderedPageBreak/>
        <w:t>For the triangular lattice structure used in this work, the reciprocal lattice is hexagonal. The reciprocal lattice vectors </w:t>
      </w:r>
      <m:oMath>
        <m:r>
          <m:rPr>
            <m:sty m:val="b"/>
          </m:rPr>
          <w:rPr>
            <w:rFonts w:ascii="Cambria Math" w:hAnsi="Cambria Math"/>
          </w:rPr>
          <m:t>G</m:t>
        </m:r>
      </m:oMath>
      <w:r w:rsidRPr="00D277B4">
        <w:t> are defined as:</w:t>
      </w:r>
    </w:p>
    <w:p w14:paraId="4F0F7753" w14:textId="59B54B09" w:rsidR="00392965" w:rsidRPr="004D5171" w:rsidRDefault="00D2600D" w:rsidP="0064662E">
      <w:pPr>
        <w:pStyle w:val="af3"/>
        <w:spacing w:after="249"/>
        <w:ind w:firstLine="422"/>
        <w:rPr>
          <w:sz w:val="21"/>
          <w:szCs w:val="21"/>
        </w:rPr>
      </w:pPr>
      <w:r w:rsidRPr="004D5171">
        <w:rPr>
          <w:rFonts w:ascii="Calibri" w:hAnsi="Calibri" w:cs="Times New Roman"/>
          <w:b/>
          <w:bCs/>
          <w:iCs/>
          <w:sz w:val="21"/>
          <w:szCs w:val="21"/>
        </w:rPr>
        <w:tab/>
      </w:r>
      <m:oMath>
        <m:r>
          <m:rPr>
            <m:sty m:val="bi"/>
          </m:rPr>
          <w:rPr>
            <w:rFonts w:ascii="Cambria Math" w:hAnsi="Cambria Math"/>
          </w:rPr>
          <m:t>G</m:t>
        </m:r>
        <m:r>
          <m:rPr>
            <m:sty m:val="p"/>
          </m:rPr>
          <w:rPr>
            <w:rFonts w:ascii="Cambria Math" w:hAnsi="Cambria Math"/>
          </w:rPr>
          <m:t>=</m:t>
        </m:r>
        <m:f>
          <m:fPr>
            <m:ctrlPr>
              <w:rPr>
                <w:rFonts w:ascii="Cambria Math" w:hAnsi="Cambria Math"/>
              </w:rPr>
            </m:ctrlPr>
          </m:fPr>
          <m:num>
            <m:r>
              <m:rPr>
                <m:sty m:val="p"/>
              </m:rPr>
              <w:rPr>
                <w:rFonts w:ascii="Cambria Math" w:hAnsi="Cambria Math"/>
              </w:rPr>
              <m:t>2</m:t>
            </m:r>
            <m:r>
              <w:rPr>
                <w:rFonts w:ascii="Cambria Math" w:hAnsi="Cambria Math"/>
              </w:rPr>
              <m:t>π</m:t>
            </m:r>
          </m:num>
          <m:den>
            <m:r>
              <w:rPr>
                <w:rFonts w:ascii="Cambria Math" w:hAnsi="Cambria Math"/>
              </w:rPr>
              <m:t>P</m:t>
            </m:r>
          </m:den>
        </m:f>
        <m:r>
          <m:rPr>
            <m:sty m:val="bi"/>
          </m:rPr>
          <w:rPr>
            <w:rFonts w:ascii="Cambria Math" w:hAnsi="Cambria Math"/>
          </w:rPr>
          <m:t>K</m:t>
        </m:r>
      </m:oMath>
      <w:r w:rsidRPr="004D5171">
        <w:rPr>
          <w:rFonts w:ascii="宋体" w:hAnsi="宋体" w:cs="宋体" w:hint="eastAsia"/>
          <w:sz w:val="21"/>
          <w:szCs w:val="21"/>
        </w:rPr>
        <w:t>，</w:t>
      </w:r>
      <m:oMath>
        <m:r>
          <m:rPr>
            <m:sty m:val="bi"/>
          </m:rPr>
          <w:rPr>
            <w:rFonts w:ascii="Cambria Math" w:hAnsi="Cambria Math"/>
          </w:rPr>
          <m:t>K</m:t>
        </m:r>
        <m:r>
          <m:rPr>
            <m:sty m:val="p"/>
          </m:rPr>
          <w:rPr>
            <w:rFonts w:ascii="Cambria Math" w:hAnsi="Cambria Math"/>
          </w:rPr>
          <m:t>=</m:t>
        </m:r>
        <m:r>
          <w:rPr>
            <w:rFonts w:ascii="Cambria Math" w:hAnsi="Cambria Math"/>
          </w:rPr>
          <m:t>m</m:t>
        </m:r>
        <m:sSub>
          <m:sSubPr>
            <m:ctrlPr>
              <w:rPr>
                <w:rFonts w:ascii="Cambria Math" w:hAnsi="Cambria Math"/>
              </w:rPr>
            </m:ctrlPr>
          </m:sSubPr>
          <m:e>
            <m:r>
              <m:rPr>
                <m:sty m:val="bi"/>
              </m:rPr>
              <w:rPr>
                <w:rFonts w:ascii="Cambria Math" w:hAnsi="Cambria Math"/>
              </w:rPr>
              <m:t>b</m:t>
            </m:r>
          </m:e>
          <m:sub>
            <m:r>
              <m:rPr>
                <m:sty m:val="b"/>
              </m:rPr>
              <w:rPr>
                <w:rFonts w:ascii="Cambria Math" w:hAnsi="Cambria Math"/>
              </w:rPr>
              <m:t>1</m:t>
            </m:r>
          </m:sub>
        </m:sSub>
        <m:r>
          <w:rPr>
            <w:rFonts w:ascii="Cambria Math" w:hAnsi="Cambria Math" w:hint="eastAsia"/>
          </w:rPr>
          <m:t>+</m:t>
        </m:r>
        <m:r>
          <w:rPr>
            <w:rFonts w:ascii="Cambria Math" w:hAnsi="Cambria Math"/>
          </w:rPr>
          <m:t>n</m:t>
        </m:r>
        <m:sSub>
          <m:sSubPr>
            <m:ctrlPr>
              <w:rPr>
                <w:rFonts w:ascii="Cambria Math" w:hAnsi="Cambria Math"/>
              </w:rPr>
            </m:ctrlPr>
          </m:sSubPr>
          <m:e>
            <m:r>
              <m:rPr>
                <m:sty m:val="bi"/>
              </m:rPr>
              <w:rPr>
                <w:rFonts w:ascii="Cambria Math" w:hAnsi="Cambria Math"/>
              </w:rPr>
              <m:t>b</m:t>
            </m:r>
          </m:e>
          <m:sub>
            <m:r>
              <m:rPr>
                <m:sty m:val="b"/>
              </m:rPr>
              <w:rPr>
                <w:rFonts w:ascii="Cambria Math" w:hAnsi="Cambria Math"/>
              </w:rPr>
              <m:t>2</m:t>
            </m:r>
          </m:sub>
        </m:sSub>
      </m:oMath>
      <w:r w:rsidR="0064662E">
        <w:rPr>
          <w:rFonts w:ascii="宋体" w:hAnsi="宋体" w:cs="宋体"/>
        </w:rPr>
        <w:tab/>
      </w:r>
      <w:r w:rsidR="00D277B4" w:rsidRPr="00D277B4">
        <w:rPr>
          <w:rFonts w:hint="eastAsia"/>
        </w:rPr>
        <w:t xml:space="preserve">     (</w:t>
      </w:r>
      <w:r w:rsidR="0064662E">
        <w:t>S6</w:t>
      </w:r>
      <w:r w:rsidR="00D277B4">
        <w:rPr>
          <w:rFonts w:hint="eastAsia"/>
          <w:sz w:val="21"/>
          <w:szCs w:val="21"/>
        </w:rPr>
        <w:t>)</w:t>
      </w:r>
    </w:p>
    <w:p w14:paraId="52C01B07" w14:textId="22021181" w:rsidR="00D277B4" w:rsidRPr="00D277B4" w:rsidRDefault="00D277B4" w:rsidP="002F23A6">
      <w:pPr>
        <w:spacing w:after="249"/>
        <w:ind w:firstLine="480"/>
      </w:pPr>
      <w:r w:rsidRPr="00D277B4">
        <w:t>where </w:t>
      </w:r>
      <m:oMath>
        <m:r>
          <w:rPr>
            <w:rFonts w:ascii="Cambria Math" w:hAnsi="Cambria Math"/>
          </w:rPr>
          <m:t>m,n</m:t>
        </m:r>
      </m:oMath>
      <w:r w:rsidRPr="00D277B4">
        <w:t> are integers representing the diffraction order, and </w:t>
      </w:r>
      <m:oMath>
        <m:sSub>
          <m:sSubPr>
            <m:ctrlPr>
              <w:rPr>
                <w:rFonts w:ascii="Cambria Math" w:hAnsi="Cambria Math"/>
              </w:rPr>
            </m:ctrlPr>
          </m:sSubPr>
          <m:e>
            <m:r>
              <m:rPr>
                <m:sty m:val="b"/>
              </m:rPr>
              <w:rPr>
                <w:rFonts w:ascii="Cambria Math" w:hAnsi="Cambria Math"/>
              </w:rPr>
              <m:t>b</m:t>
            </m:r>
          </m:e>
          <m:sub>
            <m:r>
              <w:rPr>
                <w:rFonts w:ascii="Cambria Math" w:hAnsi="Cambria Math"/>
              </w:rPr>
              <m:t>1</m:t>
            </m:r>
          </m:sub>
        </m:sSub>
        <m:r>
          <w:rPr>
            <w:rFonts w:ascii="Cambria Math" w:hAnsi="Cambria Math"/>
          </w:rPr>
          <m:t>,</m:t>
        </m:r>
        <m:sSub>
          <m:sSubPr>
            <m:ctrlPr>
              <w:rPr>
                <w:rFonts w:ascii="Cambria Math" w:hAnsi="Cambria Math"/>
              </w:rPr>
            </m:ctrlPr>
          </m:sSubPr>
          <m:e>
            <m:r>
              <m:rPr>
                <m:sty m:val="b"/>
              </m:rPr>
              <w:rPr>
                <w:rFonts w:ascii="Cambria Math" w:hAnsi="Cambria Math"/>
              </w:rPr>
              <m:t>b</m:t>
            </m:r>
          </m:e>
          <m:sub>
            <m:r>
              <w:rPr>
                <w:rFonts w:ascii="Cambria Math" w:hAnsi="Cambria Math"/>
              </w:rPr>
              <m:t>2</m:t>
            </m:r>
          </m:sub>
        </m:sSub>
      </m:oMath>
      <w:r w:rsidRPr="00D277B4">
        <w:t> are the primitive reciprocal lattice vectors. The magnitude of the primitive vectors is </w:t>
      </w:r>
      <m:oMath>
        <m:r>
          <w:rPr>
            <w:rFonts w:ascii="Cambria Math" w:eastAsiaTheme="minorEastAsia" w:hAnsi="Cambria Math" w:hint="eastAsia"/>
          </w:rPr>
          <m:t>|</m:t>
        </m:r>
        <m:r>
          <m:rPr>
            <m:sty m:val="b"/>
          </m:rPr>
          <w:rPr>
            <w:rFonts w:ascii="Cambria Math" w:hAnsi="Cambria Math"/>
          </w:rPr>
          <m:t>b</m:t>
        </m:r>
        <m:r>
          <m:rPr>
            <m:sty m:val="b"/>
          </m:rPr>
          <w:rPr>
            <w:rFonts w:ascii="Cambria Math" w:eastAsiaTheme="minorEastAsia" w:hAnsi="Cambria Math" w:hint="eastAsia"/>
          </w:rPr>
          <m:t>|</m:t>
        </m:r>
        <m:r>
          <w:rPr>
            <w:rFonts w:ascii="Cambria Math" w:hAnsi="Cambria Math"/>
          </w:rPr>
          <m:t>=4π</m:t>
        </m:r>
        <m:r>
          <m:rPr>
            <m:sty m:val="p"/>
          </m:rPr>
          <w:rPr>
            <w:rFonts w:ascii="Cambria Math" w:hAnsi="Cambria Math"/>
          </w:rPr>
          <m:t>/</m:t>
        </m:r>
        <m:r>
          <w:rPr>
            <w:rFonts w:ascii="Cambria Math" w:hAnsi="Cambria Math"/>
          </w:rPr>
          <m:t>(</m:t>
        </m:r>
        <m:rad>
          <m:radPr>
            <m:degHide m:val="1"/>
            <m:ctrlPr>
              <w:rPr>
                <w:rFonts w:ascii="Cambria Math" w:hAnsi="Cambria Math"/>
              </w:rPr>
            </m:ctrlPr>
          </m:radPr>
          <m:deg/>
          <m:e>
            <m:r>
              <w:rPr>
                <w:rFonts w:ascii="Cambria Math" w:hAnsi="Cambria Math"/>
              </w:rPr>
              <m:t>3</m:t>
            </m:r>
          </m:e>
        </m:rad>
        <m:r>
          <w:rPr>
            <w:rFonts w:ascii="Cambria Math" w:hAnsi="Cambria Math"/>
          </w:rPr>
          <m:t>P)</m:t>
        </m:r>
      </m:oMath>
      <w:r w:rsidRPr="00D277B4">
        <w:t>, where </w:t>
      </w:r>
      <m:oMath>
        <m:r>
          <w:rPr>
            <w:rFonts w:ascii="Cambria Math" w:hAnsi="Cambria Math"/>
          </w:rPr>
          <m:t>P</m:t>
        </m:r>
      </m:oMath>
      <w:r w:rsidRPr="00D277B4">
        <w:t> is the lattice constant. The geometric relationship between the lattice basis, reciprocal vectors, and wavevectors is illustrated i</w:t>
      </w:r>
      <w:r w:rsidRPr="00C75420">
        <w:t xml:space="preserve">n Fig. </w:t>
      </w:r>
      <w:r w:rsidR="00AD7D6B" w:rsidRPr="00C75420">
        <w:t>4g</w:t>
      </w:r>
      <w:r w:rsidRPr="00C75420">
        <w:t> o</w:t>
      </w:r>
      <w:r w:rsidRPr="00D277B4">
        <w:t>f the main text.</w:t>
      </w:r>
    </w:p>
    <w:p w14:paraId="2ED9C32C" w14:textId="6A7FF4CB" w:rsidR="00D277B4" w:rsidRPr="00D277B4" w:rsidRDefault="00D277B4" w:rsidP="002F23A6">
      <w:pPr>
        <w:spacing w:after="249"/>
        <w:ind w:firstLine="480"/>
      </w:pPr>
      <w:r w:rsidRPr="00D277B4">
        <w:t xml:space="preserve">To map the </w:t>
      </w:r>
      <w:proofErr w:type="spellStart"/>
      <w:r w:rsidRPr="00D277B4">
        <w:t>isofrequency</w:t>
      </w:r>
      <w:proofErr w:type="spellEnd"/>
      <w:r w:rsidRPr="00D277B4">
        <w:t xml:space="preserve"> contours in momentum space, we consider the vector components in a Cartesian coordinate system. The momentum conservation law </w:t>
      </w:r>
      <w:r w:rsidRPr="00AD7D6B">
        <w:rPr>
          <w:b/>
          <w:bCs/>
        </w:rPr>
        <w:t>(</w:t>
      </w:r>
      <w:r w:rsidRPr="00C75420">
        <w:t xml:space="preserve">Eq. </w:t>
      </w:r>
      <w:r w:rsidR="00AD7D6B" w:rsidRPr="00C75420">
        <w:t>S</w:t>
      </w:r>
      <w:r w:rsidRPr="00C75420">
        <w:t>4)</w:t>
      </w:r>
      <w:r w:rsidRPr="00D277B4">
        <w:t xml:space="preserve"> dictates that a resonant mode exists when the magnitude of the diffracted wavevector equals the SPP wavenumber. Decomposing this into components allows us to solve for the resonant angles:</w:t>
      </w:r>
    </w:p>
    <w:p w14:paraId="1698FAB2" w14:textId="4DF0B9CB" w:rsidR="00D277B4" w:rsidRPr="0064662E" w:rsidRDefault="0064662E" w:rsidP="0064662E">
      <w:pPr>
        <w:pStyle w:val="af3"/>
        <w:spacing w:after="249"/>
        <w:ind w:firstLineChars="83" w:firstLine="199"/>
      </w:pPr>
      <w:r>
        <w:rPr>
          <w:rFonts w:eastAsiaTheme="minorEastAsia"/>
          <w:b/>
          <w:bCs/>
          <w:iCs/>
        </w:rPr>
        <w:tab/>
      </w:r>
      <m:oMath>
        <m:sSub>
          <m:sSubPr>
            <m:ctrlPr>
              <w:rPr>
                <w:rFonts w:ascii="Cambria Math" w:eastAsiaTheme="minorEastAsia" w:hAnsi="Cambria Math"/>
              </w:rPr>
            </m:ctrlPr>
          </m:sSubPr>
          <m:e>
            <m:r>
              <m:rPr>
                <m:sty m:val="bi"/>
              </m:rPr>
              <w:rPr>
                <w:rFonts w:ascii="Cambria Math" w:hAnsi="Cambria Math"/>
              </w:rPr>
              <m:t>k</m:t>
            </m:r>
          </m:e>
          <m:sub>
            <m:r>
              <m:rPr>
                <m:sty m:val="p"/>
              </m:rPr>
              <w:rPr>
                <w:rFonts w:ascii="Cambria Math" w:hAnsi="Cambria Math"/>
              </w:rPr>
              <m:t>||</m:t>
            </m:r>
          </m:sub>
        </m:sSub>
        <m:r>
          <m:rPr>
            <m:sty m:val="p"/>
          </m:rPr>
          <w:rPr>
            <w:rFonts w:ascii="Cambria Math" w:eastAsiaTheme="minorEastAsia" w:hAnsi="Cambria Math"/>
          </w:rPr>
          <m:t xml:space="preserve">: </m:t>
        </m:r>
        <m:d>
          <m:dPr>
            <m:begChr m:val="{"/>
            <m:endChr m:val=""/>
            <m:ctrlPr>
              <w:rPr>
                <w:rFonts w:ascii="Cambria Math" w:eastAsiaTheme="minorEastAsia" w:hAnsi="Cambria Math"/>
              </w:rPr>
            </m:ctrlPr>
          </m:dPr>
          <m:e>
            <m:eqArr>
              <m:eqArrPr>
                <m:ctrlPr>
                  <w:rPr>
                    <w:rFonts w:ascii="Cambria Math" w:hAnsi="Cambria Math"/>
                  </w:rPr>
                </m:ctrlPr>
              </m:eqArrPr>
              <m:e>
                <m:sSub>
                  <m:sSubPr>
                    <m:ctrlPr>
                      <w:rPr>
                        <w:rFonts w:ascii="Cambria Math" w:eastAsiaTheme="minorEastAsia" w:hAnsi="Cambria Math"/>
                      </w:rPr>
                    </m:ctrlPr>
                  </m:sSubPr>
                  <m:e>
                    <m:r>
                      <w:rPr>
                        <w:rFonts w:ascii="Cambria Math" w:hAnsi="Cambria Math"/>
                      </w:rPr>
                      <m:t>k</m:t>
                    </m:r>
                  </m:e>
                  <m:sub>
                    <m:r>
                      <w:rPr>
                        <w:rFonts w:ascii="Cambria Math" w:hAnsi="Cambria Math"/>
                      </w:rPr>
                      <m:t>x</m:t>
                    </m:r>
                  </m:sub>
                </m:sSub>
                <m:r>
                  <m:rPr>
                    <m:sty m:val="p"/>
                  </m:rPr>
                  <w:rPr>
                    <w:rFonts w:ascii="Cambria Math" w:hAnsi="Cambria Math"/>
                  </w:rPr>
                  <m:t>=</m:t>
                </m:r>
                <m:f>
                  <m:fPr>
                    <m:ctrlPr>
                      <w:rPr>
                        <w:rFonts w:ascii="Cambria Math" w:hAnsi="Cambria Math"/>
                      </w:rPr>
                    </m:ctrlPr>
                  </m:fPr>
                  <m:num>
                    <m:r>
                      <m:rPr>
                        <m:sty m:val="p"/>
                      </m:rPr>
                      <w:rPr>
                        <w:rFonts w:ascii="Cambria Math" w:hAnsi="Cambria Math"/>
                      </w:rPr>
                      <m:t>2</m:t>
                    </m:r>
                    <m:r>
                      <w:rPr>
                        <w:rFonts w:ascii="Cambria Math" w:hAnsi="Cambria Math"/>
                      </w:rPr>
                      <m:t>πn</m:t>
                    </m:r>
                  </m:num>
                  <m:den>
                    <m:r>
                      <w:rPr>
                        <w:rFonts w:ascii="Cambria Math" w:hAnsi="Cambria Math"/>
                      </w:rPr>
                      <m:t>λ</m:t>
                    </m:r>
                  </m:den>
                </m:f>
                <m:r>
                  <w:rPr>
                    <w:rFonts w:ascii="Cambria Math" w:hAnsi="Cambria Math"/>
                  </w:rPr>
                  <m:t>sinθ</m:t>
                </m:r>
                <m:r>
                  <m:rPr>
                    <m:sty m:val="p"/>
                  </m:rPr>
                  <w:rPr>
                    <w:rFonts w:ascii="Cambria Math" w:hAnsi="Cambria Math"/>
                  </w:rPr>
                  <m:t>∙</m:t>
                </m:r>
                <m:r>
                  <w:rPr>
                    <w:rFonts w:ascii="Cambria Math" w:hAnsi="Cambria Math"/>
                  </w:rPr>
                  <m:t>cosφ</m:t>
                </m:r>
              </m:e>
              <m:e>
                <m:sSub>
                  <m:sSubPr>
                    <m:ctrlPr>
                      <w:rPr>
                        <w:rFonts w:ascii="Cambria Math" w:eastAsiaTheme="minorEastAsia" w:hAnsi="Cambria Math"/>
                      </w:rPr>
                    </m:ctrlPr>
                  </m:sSubPr>
                  <m:e>
                    <m:r>
                      <w:rPr>
                        <w:rFonts w:ascii="Cambria Math" w:hAnsi="Cambria Math"/>
                      </w:rPr>
                      <m:t>k</m:t>
                    </m:r>
                  </m:e>
                  <m:sub>
                    <m:r>
                      <w:rPr>
                        <w:rFonts w:ascii="Cambria Math" w:hAnsi="Cambria Math"/>
                      </w:rPr>
                      <m:t>y</m:t>
                    </m:r>
                  </m:sub>
                </m:sSub>
                <m:r>
                  <m:rPr>
                    <m:sty m:val="p"/>
                  </m:rPr>
                  <w:rPr>
                    <w:rFonts w:ascii="Cambria Math" w:hAnsi="Cambria Math"/>
                  </w:rPr>
                  <m:t>=</m:t>
                </m:r>
                <m:f>
                  <m:fPr>
                    <m:ctrlPr>
                      <w:rPr>
                        <w:rFonts w:ascii="Cambria Math" w:hAnsi="Cambria Math"/>
                      </w:rPr>
                    </m:ctrlPr>
                  </m:fPr>
                  <m:num>
                    <m:r>
                      <m:rPr>
                        <m:sty m:val="p"/>
                      </m:rPr>
                      <w:rPr>
                        <w:rFonts w:ascii="Cambria Math" w:hAnsi="Cambria Math"/>
                      </w:rPr>
                      <m:t>2</m:t>
                    </m:r>
                    <m:r>
                      <w:rPr>
                        <w:rFonts w:ascii="Cambria Math" w:hAnsi="Cambria Math"/>
                      </w:rPr>
                      <m:t>πn</m:t>
                    </m:r>
                  </m:num>
                  <m:den>
                    <m:r>
                      <w:rPr>
                        <w:rFonts w:ascii="Cambria Math" w:hAnsi="Cambria Math"/>
                      </w:rPr>
                      <m:t>λ</m:t>
                    </m:r>
                  </m:den>
                </m:f>
                <m:r>
                  <w:rPr>
                    <w:rFonts w:ascii="Cambria Math" w:hAnsi="Cambria Math"/>
                  </w:rPr>
                  <m:t>sinθ</m:t>
                </m:r>
                <m:r>
                  <m:rPr>
                    <m:sty m:val="p"/>
                  </m:rPr>
                  <w:rPr>
                    <w:rFonts w:ascii="Cambria Math" w:hAnsi="Cambria Math"/>
                  </w:rPr>
                  <m:t>∙</m:t>
                </m:r>
                <m:r>
                  <w:rPr>
                    <w:rFonts w:ascii="Cambria Math" w:hAnsi="Cambria Math"/>
                  </w:rPr>
                  <m:t>sinφ</m:t>
                </m:r>
              </m:e>
            </m:eqArr>
          </m:e>
        </m:d>
        <m:r>
          <m:rPr>
            <m:sty m:val="p"/>
          </m:rPr>
          <w:rPr>
            <w:rFonts w:ascii="Cambria Math" w:eastAsiaTheme="minorEastAsia" w:hAnsi="Cambria Math"/>
          </w:rPr>
          <m:t xml:space="preserve"> </m:t>
        </m:r>
      </m:oMath>
      <w:r w:rsidR="00AE7D08" w:rsidRPr="0064662E">
        <w:rPr>
          <w:sz w:val="21"/>
          <w:szCs w:val="20"/>
        </w:rPr>
        <w:t xml:space="preserve"> </w:t>
      </w:r>
      <w:r w:rsidR="00D277B4" w:rsidRPr="0064662E">
        <w:rPr>
          <w:sz w:val="21"/>
          <w:szCs w:val="20"/>
        </w:rPr>
        <w:t xml:space="preserve">   </w:t>
      </w:r>
      <w:r>
        <w:rPr>
          <w:sz w:val="21"/>
          <w:szCs w:val="20"/>
        </w:rPr>
        <w:tab/>
      </w:r>
      <w:r w:rsidR="00AE7D08" w:rsidRPr="0064662E">
        <w:t xml:space="preserve"> </w:t>
      </w:r>
      <w:r w:rsidRPr="0064662E">
        <w:t>(S7)</w:t>
      </w:r>
    </w:p>
    <w:p w14:paraId="62419F72" w14:textId="0C6AD735" w:rsidR="0064662E" w:rsidRPr="0064662E" w:rsidRDefault="0064662E" w:rsidP="0064662E">
      <w:pPr>
        <w:pStyle w:val="af3"/>
        <w:spacing w:after="249"/>
        <w:ind w:firstLine="482"/>
        <w:rPr>
          <w:rFonts w:eastAsia="Times New Roman"/>
        </w:rPr>
      </w:pPr>
      <w:r>
        <w:rPr>
          <w:b/>
        </w:rPr>
        <w:tab/>
      </w:r>
      <m:oMath>
        <m:r>
          <m:rPr>
            <m:sty m:val="bi"/>
          </m:rPr>
          <w:rPr>
            <w:rFonts w:ascii="Cambria Math" w:hAnsi="Cambria Math"/>
          </w:rPr>
          <m:t xml:space="preserve">G: </m:t>
        </m:r>
        <m:d>
          <m:dPr>
            <m:begChr m:val="{"/>
            <m:endChr m:val=""/>
            <m:ctrlPr>
              <w:rPr>
                <w:rFonts w:ascii="Cambria Math" w:eastAsiaTheme="minorEastAsia" w:hAnsi="Cambria Math"/>
              </w:rPr>
            </m:ctrlPr>
          </m:dPr>
          <m:e>
            <m:eqArr>
              <m:eqArrPr>
                <m:ctrlPr>
                  <w:rPr>
                    <w:rFonts w:ascii="Cambria Math" w:hAnsi="Cambria Math"/>
                  </w:rPr>
                </m:ctrlPr>
              </m:eqArrPr>
              <m:e>
                <m:sSub>
                  <m:sSubPr>
                    <m:ctrlPr>
                      <w:rPr>
                        <w:rFonts w:ascii="Cambria Math" w:eastAsiaTheme="minorEastAsia" w:hAnsi="Cambria Math"/>
                      </w:rPr>
                    </m:ctrlPr>
                  </m:sSubPr>
                  <m:e>
                    <m:r>
                      <w:rPr>
                        <w:rFonts w:ascii="Cambria Math" w:hAnsi="Cambria Math"/>
                      </w:rPr>
                      <m:t>G</m:t>
                    </m:r>
                  </m:e>
                  <m:sub>
                    <m:r>
                      <w:rPr>
                        <w:rFonts w:ascii="Cambria Math" w:hAnsi="Cambria Math"/>
                      </w:rPr>
                      <m:t>x</m:t>
                    </m:r>
                  </m:sub>
                </m:sSub>
                <m:r>
                  <m:rPr>
                    <m:sty m:val="p"/>
                  </m:rPr>
                  <w:rPr>
                    <w:rFonts w:ascii="Cambria Math" w:hAnsi="Cambria Math"/>
                  </w:rPr>
                  <m:t>=</m:t>
                </m:r>
                <m:f>
                  <m:fPr>
                    <m:ctrlPr>
                      <w:rPr>
                        <w:rFonts w:ascii="Cambria Math" w:hAnsi="Cambria Math"/>
                      </w:rPr>
                    </m:ctrlPr>
                  </m:fPr>
                  <m:num>
                    <m:r>
                      <m:rPr>
                        <m:sty m:val="p"/>
                      </m:rPr>
                      <w:rPr>
                        <w:rFonts w:ascii="Cambria Math" w:hAnsi="Cambria Math"/>
                      </w:rPr>
                      <m:t>2</m:t>
                    </m:r>
                    <m:r>
                      <w:rPr>
                        <w:rFonts w:ascii="Cambria Math" w:hAnsi="Cambria Math"/>
                      </w:rPr>
                      <m:t>π</m:t>
                    </m:r>
                  </m:num>
                  <m:den>
                    <m:r>
                      <w:rPr>
                        <w:rFonts w:ascii="Cambria Math" w:hAnsi="Cambria Math"/>
                      </w:rPr>
                      <m:t>P</m:t>
                    </m:r>
                  </m:den>
                </m:f>
                <m:d>
                  <m:dPr>
                    <m:ctrlPr>
                      <w:rPr>
                        <w:rFonts w:ascii="Cambria Math" w:hAnsi="Cambria Math"/>
                      </w:rPr>
                    </m:ctrlPr>
                  </m:dPr>
                  <m:e>
                    <m:r>
                      <w:rPr>
                        <w:rFonts w:ascii="Cambria Math" w:hAnsi="Cambria Math"/>
                      </w:rPr>
                      <m:t>m</m:t>
                    </m:r>
                    <m:sSub>
                      <m:sSubPr>
                        <m:ctrlPr>
                          <w:rPr>
                            <w:rFonts w:ascii="Cambria Math" w:hAnsi="Cambria Math"/>
                          </w:rPr>
                        </m:ctrlPr>
                      </m:sSubPr>
                      <m:e>
                        <m:r>
                          <m:rPr>
                            <m:sty m:val="bi"/>
                          </m:rPr>
                          <w:rPr>
                            <w:rFonts w:ascii="Cambria Math" w:hAnsi="Cambria Math"/>
                          </w:rPr>
                          <m:t>b</m:t>
                        </m:r>
                      </m:e>
                      <m:sub>
                        <m:r>
                          <m:rPr>
                            <m:sty m:val="b"/>
                          </m:rPr>
                          <w:rPr>
                            <w:rFonts w:ascii="Cambria Math" w:hAnsi="Cambria Math"/>
                          </w:rPr>
                          <m:t>1</m:t>
                        </m:r>
                      </m:sub>
                    </m:sSub>
                    <m:r>
                      <w:rPr>
                        <w:rFonts w:ascii="Cambria Math" w:hAnsi="Cambria Math" w:hint="eastAsia"/>
                      </w:rPr>
                      <m:t>+</m:t>
                    </m:r>
                    <m:r>
                      <w:rPr>
                        <w:rFonts w:ascii="Cambria Math" w:hAnsi="Cambria Math"/>
                      </w:rPr>
                      <m:t>n</m:t>
                    </m:r>
                    <m:sSub>
                      <m:sSubPr>
                        <m:ctrlPr>
                          <w:rPr>
                            <w:rFonts w:ascii="Cambria Math" w:hAnsi="Cambria Math"/>
                          </w:rPr>
                        </m:ctrlPr>
                      </m:sSubPr>
                      <m:e>
                        <m:r>
                          <m:rPr>
                            <m:sty m:val="bi"/>
                          </m:rPr>
                          <w:rPr>
                            <w:rFonts w:ascii="Cambria Math" w:hAnsi="Cambria Math"/>
                          </w:rPr>
                          <m:t>b</m:t>
                        </m:r>
                      </m:e>
                      <m:sub>
                        <m:r>
                          <m:rPr>
                            <m:sty m:val="b"/>
                          </m:rPr>
                          <w:rPr>
                            <w:rFonts w:ascii="Cambria Math" w:hAnsi="Cambria Math"/>
                          </w:rPr>
                          <m:t>2</m:t>
                        </m:r>
                      </m:sub>
                    </m:sSub>
                  </m:e>
                </m:d>
                <m:r>
                  <m:rPr>
                    <m:sty m:val="p"/>
                  </m:rPr>
                  <w:rPr>
                    <w:rFonts w:ascii="Cambria Math" w:hAnsi="Cambria Math"/>
                  </w:rPr>
                  <m:t>·</m:t>
                </m:r>
                <m:r>
                  <w:rPr>
                    <w:rFonts w:ascii="Cambria Math" w:hAnsi="Cambria Math"/>
                  </w:rPr>
                  <m:t>cosφ</m:t>
                </m:r>
              </m:e>
              <m:e>
                <m:sSub>
                  <m:sSubPr>
                    <m:ctrlPr>
                      <w:rPr>
                        <w:rFonts w:ascii="Cambria Math" w:eastAsiaTheme="minorEastAsia" w:hAnsi="Cambria Math"/>
                      </w:rPr>
                    </m:ctrlPr>
                  </m:sSubPr>
                  <m:e>
                    <m:r>
                      <w:rPr>
                        <w:rFonts w:ascii="Cambria Math" w:hAnsi="Cambria Math"/>
                      </w:rPr>
                      <m:t>G</m:t>
                    </m:r>
                  </m:e>
                  <m:sub>
                    <m:r>
                      <w:rPr>
                        <w:rFonts w:ascii="Cambria Math" w:hAnsi="Cambria Math"/>
                      </w:rPr>
                      <m:t>y</m:t>
                    </m:r>
                  </m:sub>
                </m:sSub>
                <m:r>
                  <m:rPr>
                    <m:sty m:val="p"/>
                  </m:rPr>
                  <w:rPr>
                    <w:rFonts w:ascii="Cambria Math" w:hAnsi="Cambria Math"/>
                  </w:rPr>
                  <m:t>=</m:t>
                </m:r>
                <m:f>
                  <m:fPr>
                    <m:ctrlPr>
                      <w:rPr>
                        <w:rFonts w:ascii="Cambria Math" w:hAnsi="Cambria Math"/>
                      </w:rPr>
                    </m:ctrlPr>
                  </m:fPr>
                  <m:num>
                    <m:r>
                      <m:rPr>
                        <m:sty m:val="p"/>
                      </m:rPr>
                      <w:rPr>
                        <w:rFonts w:ascii="Cambria Math" w:hAnsi="Cambria Math"/>
                      </w:rPr>
                      <m:t>2</m:t>
                    </m:r>
                    <m:r>
                      <w:rPr>
                        <w:rFonts w:ascii="Cambria Math" w:hAnsi="Cambria Math"/>
                      </w:rPr>
                      <m:t>π</m:t>
                    </m:r>
                  </m:num>
                  <m:den>
                    <m:r>
                      <w:rPr>
                        <w:rFonts w:ascii="Cambria Math" w:hAnsi="Cambria Math"/>
                      </w:rPr>
                      <m:t>P</m:t>
                    </m:r>
                  </m:den>
                </m:f>
                <m:d>
                  <m:dPr>
                    <m:ctrlPr>
                      <w:rPr>
                        <w:rFonts w:ascii="Cambria Math" w:hAnsi="Cambria Math"/>
                      </w:rPr>
                    </m:ctrlPr>
                  </m:dPr>
                  <m:e>
                    <m:r>
                      <w:rPr>
                        <w:rFonts w:ascii="Cambria Math" w:hAnsi="Cambria Math"/>
                      </w:rPr>
                      <m:t>m</m:t>
                    </m:r>
                    <m:sSub>
                      <m:sSubPr>
                        <m:ctrlPr>
                          <w:rPr>
                            <w:rFonts w:ascii="Cambria Math" w:hAnsi="Cambria Math"/>
                          </w:rPr>
                        </m:ctrlPr>
                      </m:sSubPr>
                      <m:e>
                        <m:r>
                          <m:rPr>
                            <m:sty m:val="bi"/>
                          </m:rPr>
                          <w:rPr>
                            <w:rFonts w:ascii="Cambria Math" w:hAnsi="Cambria Math"/>
                          </w:rPr>
                          <m:t>b</m:t>
                        </m:r>
                      </m:e>
                      <m:sub>
                        <m:r>
                          <m:rPr>
                            <m:sty m:val="b"/>
                          </m:rPr>
                          <w:rPr>
                            <w:rFonts w:ascii="Cambria Math" w:hAnsi="Cambria Math"/>
                          </w:rPr>
                          <m:t>1</m:t>
                        </m:r>
                      </m:sub>
                    </m:sSub>
                    <m:r>
                      <w:rPr>
                        <w:rFonts w:ascii="Cambria Math" w:hAnsi="Cambria Math" w:hint="eastAsia"/>
                      </w:rPr>
                      <m:t>+</m:t>
                    </m:r>
                    <m:r>
                      <w:rPr>
                        <w:rFonts w:ascii="Cambria Math" w:hAnsi="Cambria Math"/>
                      </w:rPr>
                      <m:t>n</m:t>
                    </m:r>
                    <m:sSub>
                      <m:sSubPr>
                        <m:ctrlPr>
                          <w:rPr>
                            <w:rFonts w:ascii="Cambria Math" w:hAnsi="Cambria Math"/>
                          </w:rPr>
                        </m:ctrlPr>
                      </m:sSubPr>
                      <m:e>
                        <m:r>
                          <m:rPr>
                            <m:sty m:val="bi"/>
                          </m:rPr>
                          <w:rPr>
                            <w:rFonts w:ascii="Cambria Math" w:hAnsi="Cambria Math"/>
                          </w:rPr>
                          <m:t>b</m:t>
                        </m:r>
                      </m:e>
                      <m:sub>
                        <m:r>
                          <m:rPr>
                            <m:sty m:val="b"/>
                          </m:rPr>
                          <w:rPr>
                            <w:rFonts w:ascii="Cambria Math" w:hAnsi="Cambria Math"/>
                          </w:rPr>
                          <m:t>2</m:t>
                        </m:r>
                      </m:sub>
                    </m:sSub>
                  </m:e>
                </m:d>
                <m:r>
                  <m:rPr>
                    <m:sty m:val="p"/>
                  </m:rPr>
                  <w:rPr>
                    <w:rFonts w:ascii="Cambria Math" w:hAnsi="Cambria Math"/>
                  </w:rPr>
                  <m:t>·</m:t>
                </m:r>
                <m:r>
                  <w:rPr>
                    <w:rFonts w:ascii="Cambria Math" w:hAnsi="Cambria Math"/>
                  </w:rPr>
                  <m:t>sinφ</m:t>
                </m:r>
              </m:e>
            </m:eqArr>
          </m:e>
        </m:d>
        <m:r>
          <w:rPr>
            <w:rFonts w:ascii="Cambria Math" w:hAnsi="Cambria Math"/>
          </w:rPr>
          <m:t xml:space="preserve"> </m:t>
        </m:r>
      </m:oMath>
      <w:r>
        <w:tab/>
      </w:r>
      <w:r>
        <w:rPr>
          <w:rFonts w:hint="eastAsia"/>
        </w:rPr>
        <w:t>(</w:t>
      </w:r>
      <w:r>
        <w:t>S8)</w:t>
      </w:r>
    </w:p>
    <w:p w14:paraId="6E43F103" w14:textId="0339FA3D" w:rsidR="00D277B4" w:rsidRPr="0064662E" w:rsidRDefault="00D277B4" w:rsidP="002F23A6">
      <w:pPr>
        <w:spacing w:after="249"/>
        <w:ind w:firstLine="480"/>
        <w:rPr>
          <w:rFonts w:asciiTheme="minorEastAsia" w:hAnsiTheme="minorEastAsia"/>
        </w:rPr>
      </w:pPr>
      <w:r w:rsidRPr="00D277B4">
        <w:rPr>
          <w:rFonts w:eastAsiaTheme="minorEastAsia"/>
        </w:rPr>
        <w:t>Finally, the out-of-plane component of the free-space wavevector, which determines the radiative decay into the far field, is given by:</w:t>
      </w:r>
    </w:p>
    <w:p w14:paraId="224CF19B" w14:textId="3B0A6188" w:rsidR="00D277B4" w:rsidRPr="0064662E" w:rsidRDefault="0064662E" w:rsidP="0064662E">
      <w:pPr>
        <w:pStyle w:val="af3"/>
        <w:spacing w:after="249"/>
        <w:ind w:firstLine="480"/>
        <w:rPr>
          <w:sz w:val="21"/>
        </w:rPr>
      </w:pPr>
      <w:r>
        <w:rPr>
          <w:rFonts w:asciiTheme="minorEastAsia" w:eastAsiaTheme="minorEastAsia" w:hAnsiTheme="minorEastAsia"/>
        </w:rPr>
        <w:tab/>
      </w:r>
      <m:oMath>
        <m:sSub>
          <m:sSubPr>
            <m:ctrlPr>
              <w:rPr>
                <w:rFonts w:ascii="Cambria Math" w:hAnsi="Cambria Math"/>
              </w:rPr>
            </m:ctrlPr>
          </m:sSubPr>
          <m:e>
            <m:r>
              <w:rPr>
                <w:rFonts w:ascii="Cambria Math" w:hAnsi="Cambria Math"/>
              </w:rPr>
              <m:t>k</m:t>
            </m:r>
          </m:e>
          <m:sub>
            <m:r>
              <w:rPr>
                <w:rFonts w:ascii="Cambria Math" w:hAnsi="Cambria Math"/>
              </w:rPr>
              <m:t>z</m:t>
            </m:r>
          </m:sub>
        </m:sSub>
        <m:r>
          <m:rPr>
            <m:sty m:val="p"/>
          </m:rPr>
          <w:rPr>
            <w:rFonts w:ascii="Cambria Math" w:hAnsi="Cambria Math"/>
          </w:rPr>
          <m:t>=</m:t>
        </m:r>
        <m:rad>
          <m:radPr>
            <m:degHide m:val="1"/>
            <m:ctrlPr>
              <w:rPr>
                <w:rFonts w:ascii="Cambria Math" w:hAnsi="Cambria Math"/>
              </w:rPr>
            </m:ctrlPr>
          </m:radPr>
          <m:deg/>
          <m:e>
            <m:sSup>
              <m:sSupPr>
                <m:ctrlPr>
                  <w:rPr>
                    <w:rFonts w:ascii="Cambria Math" w:hAnsi="Cambria Math"/>
                  </w:rPr>
                </m:ctrlPr>
              </m:sSupPr>
              <m:e>
                <m:d>
                  <m:dPr>
                    <m:ctrlPr>
                      <w:rPr>
                        <w:rFonts w:ascii="Cambria Math" w:hAnsi="Cambria Math"/>
                      </w:rPr>
                    </m:ctrlPr>
                  </m:dPr>
                  <m:e>
                    <m:f>
                      <m:fPr>
                        <m:ctrlPr>
                          <w:rPr>
                            <w:rFonts w:ascii="Cambria Math" w:hAnsi="Cambria Math"/>
                          </w:rPr>
                        </m:ctrlPr>
                      </m:fPr>
                      <m:num>
                        <m:r>
                          <m:rPr>
                            <m:sty m:val="p"/>
                          </m:rPr>
                          <w:rPr>
                            <w:rFonts w:ascii="Cambria Math" w:hAnsi="Cambria Math"/>
                          </w:rPr>
                          <m:t>2</m:t>
                        </m:r>
                        <m:r>
                          <w:rPr>
                            <w:rFonts w:ascii="Cambria Math" w:hAnsi="Cambria Math"/>
                          </w:rPr>
                          <m:t>πn</m:t>
                        </m:r>
                      </m:num>
                      <m:den>
                        <m:r>
                          <w:rPr>
                            <w:rFonts w:ascii="Cambria Math" w:hAnsi="Cambria Math"/>
                          </w:rPr>
                          <m:t>λ</m:t>
                        </m:r>
                      </m:den>
                    </m:f>
                  </m:e>
                </m:d>
              </m:e>
              <m:sup>
                <m:r>
                  <m:rPr>
                    <m:sty m:val="p"/>
                  </m:rPr>
                  <w:rPr>
                    <w:rFonts w:ascii="Cambria Math" w:hAnsi="Cambria Math"/>
                  </w:rPr>
                  <m:t>2</m:t>
                </m:r>
              </m:sup>
            </m:sSup>
            <m:r>
              <m:rPr>
                <m:sty m:val="p"/>
              </m:rPr>
              <w:rPr>
                <w:rFonts w:ascii="Cambria Math" w:hAnsi="Cambria Math"/>
              </w:rPr>
              <m:t>-∣</m:t>
            </m:r>
            <m:sSub>
              <m:sSubPr>
                <m:ctrlPr>
                  <w:rPr>
                    <w:rFonts w:ascii="Cambria Math" w:hAnsi="Cambria Math"/>
                  </w:rPr>
                </m:ctrlPr>
              </m:sSubPr>
              <m:e>
                <m:r>
                  <m:rPr>
                    <m:sty m:val="b"/>
                  </m:rPr>
                  <w:rPr>
                    <w:rFonts w:ascii="Cambria Math" w:hAnsi="Cambria Math"/>
                  </w:rPr>
                  <m:t>k</m:t>
                </m:r>
              </m:e>
              <m:sub>
                <m:r>
                  <m:rPr>
                    <m:sty m:val="p"/>
                  </m:rPr>
                  <w:rPr>
                    <w:rFonts w:ascii="Cambria Math" w:hAnsi="Cambria Math"/>
                  </w:rPr>
                  <m:t>∥</m:t>
                </m:r>
              </m:sub>
            </m:sSub>
            <m:sSup>
              <m:sSupPr>
                <m:ctrlPr>
                  <w:rPr>
                    <w:rFonts w:ascii="Cambria Math" w:hAnsi="Cambria Math"/>
                  </w:rPr>
                </m:ctrlPr>
              </m:sSupPr>
              <m:e>
                <m:r>
                  <m:rPr>
                    <m:sty m:val="p"/>
                  </m:rPr>
                  <w:rPr>
                    <w:rFonts w:ascii="Cambria Math" w:hAnsi="Cambria Math"/>
                  </w:rPr>
                  <m:t>∣</m:t>
                </m:r>
              </m:e>
              <m:sup>
                <m:r>
                  <m:rPr>
                    <m:sty m:val="p"/>
                  </m:rPr>
                  <w:rPr>
                    <w:rFonts w:ascii="Cambria Math" w:hAnsi="Cambria Math"/>
                  </w:rPr>
                  <m:t>2</m:t>
                </m:r>
              </m:sup>
            </m:sSup>
          </m:e>
        </m:rad>
        <m:r>
          <m:rPr>
            <m:sty m:val="p"/>
          </m:rPr>
          <w:rPr>
            <w:rFonts w:ascii="Cambria Math" w:hAnsi="Cambria Math"/>
          </w:rPr>
          <m:t xml:space="preserve">  =</m:t>
        </m:r>
        <m:f>
          <m:fPr>
            <m:ctrlPr>
              <w:rPr>
                <w:rFonts w:ascii="Cambria Math" w:hAnsi="Cambria Math"/>
              </w:rPr>
            </m:ctrlPr>
          </m:fPr>
          <m:num>
            <m:r>
              <m:rPr>
                <m:sty m:val="p"/>
              </m:rPr>
              <w:rPr>
                <w:rFonts w:ascii="Cambria Math" w:hAnsi="Cambria Math"/>
              </w:rPr>
              <m:t>2</m:t>
            </m:r>
            <m:r>
              <w:rPr>
                <w:rFonts w:ascii="Cambria Math" w:hAnsi="Cambria Math"/>
              </w:rPr>
              <m:t>πn</m:t>
            </m:r>
          </m:num>
          <m:den>
            <m:r>
              <w:rPr>
                <w:rFonts w:ascii="Cambria Math" w:hAnsi="Cambria Math"/>
              </w:rPr>
              <m:t>λ</m:t>
            </m:r>
          </m:den>
        </m:f>
        <m:func>
          <m:funcPr>
            <m:ctrlPr>
              <w:rPr>
                <w:rFonts w:ascii="Cambria Math" w:hAnsi="Cambria Math"/>
              </w:rPr>
            </m:ctrlPr>
          </m:funcPr>
          <m:fName>
            <m:r>
              <m:rPr>
                <m:sty m:val="p"/>
              </m:rPr>
              <w:rPr>
                <w:rFonts w:ascii="Cambria Math" w:hAnsi="Cambria Math"/>
              </w:rPr>
              <m:t>cos</m:t>
            </m:r>
          </m:fName>
          <m:e>
            <m:r>
              <w:rPr>
                <w:rFonts w:ascii="Cambria Math" w:hAnsi="Cambria Math"/>
              </w:rPr>
              <m:t>θ</m:t>
            </m:r>
          </m:e>
        </m:func>
      </m:oMath>
      <w:r>
        <w:rPr>
          <w:rFonts w:asciiTheme="minorEastAsia" w:eastAsiaTheme="minorEastAsia" w:hAnsiTheme="minorEastAsia"/>
        </w:rPr>
        <w:tab/>
      </w:r>
      <w:r w:rsidRPr="0064662E">
        <w:t>(S9)</w:t>
      </w:r>
    </w:p>
    <w:p w14:paraId="221BDC76" w14:textId="7440E7E6" w:rsidR="00D277B4" w:rsidRPr="00C75420" w:rsidRDefault="00D277B4" w:rsidP="002F23A6">
      <w:pPr>
        <w:spacing w:after="249"/>
        <w:ind w:firstLine="480"/>
      </w:pPr>
      <w:r w:rsidRPr="00C75420">
        <w:t xml:space="preserve"> These equations (</w:t>
      </w:r>
      <w:r w:rsidR="00AD7D6B" w:rsidRPr="00C75420">
        <w:t>S</w:t>
      </w:r>
      <w:r w:rsidRPr="00C75420">
        <w:t>3–</w:t>
      </w:r>
      <w:r w:rsidR="00AD7D6B" w:rsidRPr="00C75420">
        <w:t>S</w:t>
      </w:r>
      <w:r w:rsidRPr="00C75420">
        <w:t xml:space="preserve">8) form the basis for the theoretical </w:t>
      </w:r>
      <w:proofErr w:type="spellStart"/>
      <w:r w:rsidRPr="00C75420">
        <w:t>isofrequency</w:t>
      </w:r>
      <w:proofErr w:type="spellEnd"/>
      <w:r w:rsidRPr="00C75420">
        <w:t xml:space="preserve"> contours presented in Fig. 4 of the main text. They confirm that for a given lattice constant </w:t>
      </w:r>
      <m:oMath>
        <m:r>
          <w:rPr>
            <w:rFonts w:ascii="Cambria Math" w:hAnsi="Cambria Math"/>
          </w:rPr>
          <m:t>P</m:t>
        </m:r>
      </m:oMath>
      <w:r w:rsidRPr="00C75420">
        <w:t> and diffraction order </w:t>
      </w:r>
      <m:oMath>
        <m:d>
          <m:dPr>
            <m:sepChr m:val=","/>
            <m:ctrlPr>
              <w:rPr>
                <w:rFonts w:ascii="Cambria Math" w:hAnsi="Cambria Math"/>
              </w:rPr>
            </m:ctrlPr>
          </m:dPr>
          <m:e>
            <m:r>
              <w:rPr>
                <w:rFonts w:ascii="Cambria Math" w:hAnsi="Cambria Math"/>
              </w:rPr>
              <m:t>m</m:t>
            </m:r>
          </m:e>
          <m:e>
            <m:r>
              <w:rPr>
                <w:rFonts w:ascii="Cambria Math" w:hAnsi="Cambria Math"/>
              </w:rPr>
              <m:t>n</m:t>
            </m:r>
          </m:e>
        </m:d>
      </m:oMath>
      <w:r w:rsidRPr="00C75420">
        <w:t>, there is a deterministic relationship between the resonant wavelength </w:t>
      </w:r>
      <m:oMath>
        <m:r>
          <w:rPr>
            <w:rFonts w:ascii="Cambria Math" w:hAnsi="Cambria Math"/>
          </w:rPr>
          <m:t>λ</m:t>
        </m:r>
      </m:oMath>
      <w:r w:rsidRPr="00C75420">
        <w:t>, the emission angle </w:t>
      </w:r>
      <m:oMath>
        <m:r>
          <w:rPr>
            <w:rFonts w:ascii="Cambria Math" w:hAnsi="Cambria Math"/>
          </w:rPr>
          <m:t>θ</m:t>
        </m:r>
      </m:oMath>
      <w:r w:rsidRPr="00C75420">
        <w:t>, and the azimuth </w:t>
      </w:r>
      <m:oMath>
        <m:r>
          <w:rPr>
            <w:rFonts w:ascii="Cambria Math" w:eastAsiaTheme="minorEastAsia" w:hAnsi="Cambria Math" w:hint="eastAsia"/>
          </w:rPr>
          <m:t>φ</m:t>
        </m:r>
      </m:oMath>
      <w:r w:rsidRPr="00C75420">
        <w:t>.</w:t>
      </w:r>
    </w:p>
    <w:p w14:paraId="784760B6" w14:textId="340B934A" w:rsidR="005C6645" w:rsidRDefault="00D277B4" w:rsidP="002F23A6">
      <w:pPr>
        <w:spacing w:after="249"/>
        <w:ind w:firstLine="480"/>
      </w:pPr>
      <w:r>
        <w:br w:type="page"/>
      </w:r>
    </w:p>
    <w:p w14:paraId="1BF83391" w14:textId="51E25A68" w:rsidR="00D277B4" w:rsidRDefault="00FB7E72" w:rsidP="00FB7E72">
      <w:pPr>
        <w:pStyle w:val="aff"/>
      </w:pPr>
      <w:r>
        <w:rPr>
          <w:rFonts w:eastAsia="宋体"/>
        </w:rPr>
        <w:lastRenderedPageBreak/>
        <w:drawing>
          <wp:inline distT="0" distB="0" distL="0" distR="0" wp14:anchorId="73B3333A" wp14:editId="3CC1240B">
            <wp:extent cx="4489512" cy="1404000"/>
            <wp:effectExtent l="0" t="0" r="0" b="0"/>
            <wp:docPr id="35" name="图片 35" descr="图片包含 箭头&#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图片包含 箭头&#10;&#10;AI 生成的内容可能不正确。"/>
                    <pic:cNvPicPr>
                      <a:picLocks noChangeAspect="1" noChangeArrowheads="1"/>
                    </pic:cNvPicPr>
                  </pic:nvPicPr>
                  <pic:blipFill rotWithShape="1">
                    <a:blip r:embed="rId21">
                      <a:extLst>
                        <a:ext uri="{28A0092B-C50C-407E-A947-70E740481C1C}">
                          <a14:useLocalDpi xmlns:a14="http://schemas.microsoft.com/office/drawing/2010/main" val="0"/>
                        </a:ext>
                      </a:extLst>
                    </a:blip>
                    <a:srcRect r="8497"/>
                    <a:stretch/>
                  </pic:blipFill>
                  <pic:spPr bwMode="auto">
                    <a:xfrm>
                      <a:off x="0" y="0"/>
                      <a:ext cx="4489512" cy="1404000"/>
                    </a:xfrm>
                    <a:prstGeom prst="rect">
                      <a:avLst/>
                    </a:prstGeom>
                    <a:noFill/>
                    <a:ln>
                      <a:noFill/>
                    </a:ln>
                    <a:extLst>
                      <a:ext uri="{53640926-AAD7-44D8-BBD7-CCE9431645EC}">
                        <a14:shadowObscured xmlns:a14="http://schemas.microsoft.com/office/drawing/2010/main"/>
                      </a:ext>
                    </a:extLst>
                  </pic:spPr>
                </pic:pic>
              </a:graphicData>
            </a:graphic>
          </wp:inline>
        </w:drawing>
      </w:r>
    </w:p>
    <w:p w14:paraId="5F353E86" w14:textId="1FC1A8C1" w:rsidR="001363D2" w:rsidRDefault="00FB7E72" w:rsidP="00D277B4">
      <w:pPr>
        <w:pStyle w:val="ab"/>
        <w:spacing w:after="468"/>
        <w:rPr>
          <w:rFonts w:eastAsiaTheme="minorEastAsia"/>
        </w:rPr>
      </w:pPr>
      <w:r w:rsidRPr="00DE724D">
        <w:rPr>
          <w:rFonts w:cs="Times New Roman"/>
          <w:b/>
          <w:bCs/>
        </w:rPr>
        <w:t xml:space="preserve">Supplementary Figure </w:t>
      </w:r>
      <w:r w:rsidRPr="00DE724D">
        <w:rPr>
          <w:rFonts w:eastAsiaTheme="minorEastAsia" w:cs="Times New Roman"/>
          <w:b/>
          <w:bCs/>
        </w:rPr>
        <w:t>1</w:t>
      </w:r>
      <w:r>
        <w:rPr>
          <w:rFonts w:eastAsiaTheme="minorEastAsia" w:cs="Times New Roman"/>
          <w:b/>
          <w:bCs/>
        </w:rPr>
        <w:t>2</w:t>
      </w:r>
      <w:r w:rsidRPr="00DE724D">
        <w:rPr>
          <w:rFonts w:cs="Times New Roman"/>
          <w:b/>
          <w:bCs/>
        </w:rPr>
        <w:t xml:space="preserve"> </w:t>
      </w:r>
      <w:r w:rsidRPr="00DE724D">
        <w:rPr>
          <w:rFonts w:eastAsiaTheme="minorEastAsia" w:cs="Times New Roman"/>
          <w:b/>
          <w:bCs/>
        </w:rPr>
        <w:t>|</w:t>
      </w:r>
      <w:r w:rsidRPr="00DE724D">
        <w:rPr>
          <w:rFonts w:cs="Times New Roman"/>
          <w:b/>
          <w:bCs/>
        </w:rPr>
        <w:t xml:space="preserve"> </w:t>
      </w:r>
      <w:r w:rsidRPr="00DE724D">
        <w:rPr>
          <w:rFonts w:eastAsia="宋体" w:cs="Times New Roman"/>
          <w:b/>
          <w:bCs/>
        </w:rPr>
        <w:t>Principle of reciprocity in plasmonic lattices. </w:t>
      </w:r>
      <w:proofErr w:type="gramStart"/>
      <w:r w:rsidRPr="001D51F1">
        <w:rPr>
          <w:rFonts w:eastAsia="宋体"/>
          <w:b/>
          <w:bCs/>
        </w:rPr>
        <w:t>a,</w:t>
      </w:r>
      <w:proofErr w:type="gramEnd"/>
      <w:r w:rsidRPr="001D51F1">
        <w:rPr>
          <w:rFonts w:eastAsia="宋体"/>
          <w:b/>
          <w:bCs/>
        </w:rPr>
        <w:t xml:space="preserve"> </w:t>
      </w:r>
      <w:r w:rsidRPr="001D51F1">
        <w:rPr>
          <w:rFonts w:eastAsia="宋体"/>
        </w:rPr>
        <w:t xml:space="preserve">Schematic of the </w:t>
      </w:r>
      <w:r w:rsidR="006C7D99">
        <w:rPr>
          <w:rFonts w:eastAsia="宋体"/>
        </w:rPr>
        <w:t>“</w:t>
      </w:r>
      <w:r w:rsidRPr="001D51F1">
        <w:rPr>
          <w:rFonts w:eastAsia="宋体"/>
        </w:rPr>
        <w:t>receiving mode</w:t>
      </w:r>
      <w:r w:rsidR="006C7D99">
        <w:rPr>
          <w:rFonts w:eastAsia="宋体"/>
        </w:rPr>
        <w:t>”</w:t>
      </w:r>
      <w:r w:rsidRPr="001D51F1">
        <w:rPr>
          <w:rFonts w:eastAsia="宋体"/>
        </w:rPr>
        <w:t>: An incident plane wave couples to the lattice resonance, creating a dip in reflectance. </w:t>
      </w:r>
      <w:r w:rsidRPr="001D51F1">
        <w:rPr>
          <w:rFonts w:eastAsia="宋体"/>
          <w:b/>
          <w:bCs/>
        </w:rPr>
        <w:t xml:space="preserve">b, </w:t>
      </w:r>
      <w:r w:rsidRPr="001D51F1">
        <w:rPr>
          <w:rFonts w:eastAsia="宋体"/>
        </w:rPr>
        <w:t xml:space="preserve">Schematic of the </w:t>
      </w:r>
      <w:r w:rsidR="006C7D99">
        <w:rPr>
          <w:rFonts w:eastAsia="宋体"/>
        </w:rPr>
        <w:t>“</w:t>
      </w:r>
      <w:r w:rsidRPr="001D51F1">
        <w:rPr>
          <w:rFonts w:eastAsia="宋体"/>
        </w:rPr>
        <w:t>transmitting mode</w:t>
      </w:r>
      <w:r w:rsidR="006C7D99">
        <w:rPr>
          <w:rFonts w:eastAsia="宋体"/>
        </w:rPr>
        <w:t>”</w:t>
      </w:r>
      <w:r w:rsidRPr="001D51F1">
        <w:rPr>
          <w:rFonts w:eastAsia="宋体"/>
        </w:rPr>
        <w:t>: An internal dipole source couples to the lattice mode, which then radiates into the far field with the same directionality as the receiving mode.</w:t>
      </w:r>
    </w:p>
    <w:p w14:paraId="486E544A" w14:textId="0C3DBF35" w:rsidR="00D277B4" w:rsidRDefault="00D277B4" w:rsidP="001D51F1">
      <w:pPr>
        <w:pStyle w:val="ab"/>
        <w:spacing w:after="468"/>
        <w:rPr>
          <w:rFonts w:eastAsiaTheme="minorEastAsia"/>
        </w:rPr>
      </w:pPr>
      <w:r w:rsidRPr="001D51F1">
        <w:rPr>
          <w:rFonts w:eastAsiaTheme="minorEastAsia"/>
        </w:rPr>
        <w:br w:type="page"/>
      </w:r>
    </w:p>
    <w:p w14:paraId="275242A7" w14:textId="7986154E" w:rsidR="00E90AB3" w:rsidRPr="00DE724D" w:rsidRDefault="00D277B4" w:rsidP="00D277B4">
      <w:pPr>
        <w:pStyle w:val="2"/>
        <w:spacing w:after="249"/>
        <w:ind w:firstLineChars="0" w:firstLine="0"/>
        <w:rPr>
          <w:rFonts w:ascii="Times New Roman" w:hAnsi="Times New Roman" w:cs="Times New Roman"/>
          <w:sz w:val="24"/>
          <w:szCs w:val="24"/>
        </w:rPr>
      </w:pPr>
      <w:bookmarkStart w:id="12" w:name="_Toc218536499"/>
      <w:r w:rsidRPr="00DE724D">
        <w:rPr>
          <w:rFonts w:ascii="Times New Roman" w:hAnsi="Times New Roman" w:cs="Times New Roman"/>
          <w:sz w:val="24"/>
          <w:szCs w:val="24"/>
        </w:rPr>
        <w:lastRenderedPageBreak/>
        <w:t xml:space="preserve">Supplementary Note </w:t>
      </w:r>
      <w:r w:rsidR="00646B29">
        <w:rPr>
          <w:rFonts w:ascii="Times New Roman" w:hAnsi="Times New Roman" w:cs="Times New Roman"/>
          <w:sz w:val="24"/>
          <w:szCs w:val="24"/>
        </w:rPr>
        <w:t>6</w:t>
      </w:r>
      <w:r w:rsidRPr="00DE724D">
        <w:rPr>
          <w:rFonts w:ascii="Times New Roman" w:hAnsi="Times New Roman" w:cs="Times New Roman"/>
          <w:sz w:val="24"/>
          <w:szCs w:val="24"/>
        </w:rPr>
        <w:t xml:space="preserve">: </w:t>
      </w:r>
      <w:r w:rsidR="00E33A25">
        <w:rPr>
          <w:rFonts w:ascii="Times New Roman" w:hAnsi="Times New Roman" w:cs="Times New Roman" w:hint="eastAsia"/>
          <w:sz w:val="24"/>
          <w:szCs w:val="24"/>
        </w:rPr>
        <w:t>B</w:t>
      </w:r>
      <w:r w:rsidRPr="00DE724D">
        <w:rPr>
          <w:rFonts w:ascii="Times New Roman" w:hAnsi="Times New Roman" w:cs="Times New Roman"/>
          <w:sz w:val="24"/>
          <w:szCs w:val="24"/>
        </w:rPr>
        <w:t>and structure of the Bloch SPP modes</w:t>
      </w:r>
      <w:bookmarkEnd w:id="12"/>
    </w:p>
    <w:p w14:paraId="1A52F848" w14:textId="7EEA7D37" w:rsidR="00D277B4" w:rsidRDefault="00D277B4" w:rsidP="005C6645">
      <w:pPr>
        <w:spacing w:after="249"/>
        <w:ind w:firstLine="480"/>
        <w:rPr>
          <w:rFonts w:eastAsiaTheme="minorEastAsia"/>
        </w:rPr>
      </w:pPr>
      <w:r w:rsidRPr="00C75420">
        <w:t>To reconstruct the photonic band structure of the experimental system (triangular silver lattice, period </w:t>
      </w:r>
      <m:oMath>
        <m:r>
          <w:rPr>
            <w:rFonts w:ascii="Cambria Math" w:hAnsi="Cambria Math"/>
          </w:rPr>
          <m:t>P≈415</m:t>
        </m:r>
      </m:oMath>
      <w:r w:rsidRPr="00C75420">
        <w:t> nm), we utilized the angle-resolved spectroscopy module described in Supplementary Note 2 (see Supplementary Fig. 7b). By scanning the detection angle across the full hemispherical space, we measured the reflectance </w:t>
      </w:r>
      <m:oMath>
        <m:r>
          <w:rPr>
            <w:rFonts w:ascii="Cambria Math" w:hAnsi="Cambria Math"/>
          </w:rPr>
          <m:t>R(λ,θ,ϕ)</m:t>
        </m:r>
      </m:oMath>
      <w:r w:rsidRPr="00C75420">
        <w:t xml:space="preserve">. Using the geometric relations derived in Supplementary Note </w:t>
      </w:r>
      <w:r w:rsidR="00A32013" w:rsidRPr="00C75420">
        <w:t>5</w:t>
      </w:r>
      <w:r w:rsidRPr="00C75420">
        <w:t xml:space="preserve"> (Eq. </w:t>
      </w:r>
      <w:r w:rsidR="00A32013" w:rsidRPr="00C75420">
        <w:t>S</w:t>
      </w:r>
      <w:r w:rsidRPr="00C75420">
        <w:t>7</w:t>
      </w:r>
      <w:r w:rsidR="00A32013" w:rsidRPr="00C75420">
        <w:t>-S9</w:t>
      </w:r>
      <w:r w:rsidRPr="00C75420">
        <w:t>), these real-space reflectance maps were transformed into momentum space (</w:t>
      </w:r>
      <m:oMath>
        <m:r>
          <w:rPr>
            <w:rFonts w:ascii="Cambria Math" w:hAnsi="Cambria Math"/>
          </w:rPr>
          <m:t>k</m:t>
        </m:r>
      </m:oMath>
      <w:r w:rsidRPr="00C75420">
        <w:t>-space). Supplementary Fig. 1</w:t>
      </w:r>
      <w:r w:rsidR="00A32013" w:rsidRPr="00C75420">
        <w:t>3</w:t>
      </w:r>
      <w:r w:rsidRPr="00C75420">
        <w:t xml:space="preserve">b displays the resulting dispersion diagram, </w:t>
      </w:r>
      <w:r w:rsidRPr="00D277B4">
        <w:t>plotting photon energy </w:t>
      </w:r>
      <m:oMath>
        <m:r>
          <w:rPr>
            <w:rFonts w:ascii="Cambria Math" w:hAnsi="Cambria Math"/>
          </w:rPr>
          <m:t>E</m:t>
        </m:r>
      </m:oMath>
      <w:r w:rsidRPr="00D277B4">
        <w:t> versus the in-plane wavevector </w:t>
      </w:r>
      <m:oMath>
        <m:sSub>
          <m:sSubPr>
            <m:ctrlPr>
              <w:rPr>
                <w:rFonts w:ascii="Cambria Math" w:hAnsi="Cambria Math"/>
              </w:rPr>
            </m:ctrlPr>
          </m:sSubPr>
          <m:e>
            <m:r>
              <m:rPr>
                <m:sty m:val="b"/>
              </m:rPr>
              <w:rPr>
                <w:rFonts w:ascii="Cambria Math" w:hAnsi="Cambria Math"/>
              </w:rPr>
              <m:t>k</m:t>
            </m:r>
          </m:e>
          <m:sub>
            <m:r>
              <w:rPr>
                <w:rFonts w:ascii="Cambria Math" w:hAnsi="Cambria Math"/>
              </w:rPr>
              <m:t>∥</m:t>
            </m:r>
          </m:sub>
        </m:sSub>
      </m:oMath>
      <w:r w:rsidRPr="00D277B4">
        <w:t> along the high-symmetry path of the first irreducible Brillouin zone (</w:t>
      </w:r>
      <m:oMath>
        <m:r>
          <m:rPr>
            <m:sty m:val="p"/>
          </m:rPr>
          <w:rPr>
            <w:rFonts w:ascii="Cambria Math" w:hAnsi="Cambria Math"/>
          </w:rPr>
          <m:t>Γ</m:t>
        </m:r>
        <m:r>
          <w:rPr>
            <w:rFonts w:ascii="Cambria Math" w:hAnsi="Cambria Math"/>
          </w:rPr>
          <m:t>→M→K→</m:t>
        </m:r>
        <m:r>
          <m:rPr>
            <m:sty m:val="p"/>
          </m:rPr>
          <w:rPr>
            <w:rFonts w:ascii="Cambria Math" w:hAnsi="Cambria Math"/>
          </w:rPr>
          <m:t>Γ</m:t>
        </m:r>
      </m:oMath>
      <w:r w:rsidRPr="00D277B4">
        <w:t>).</w:t>
      </w:r>
    </w:p>
    <w:p w14:paraId="3EF15680" w14:textId="0D38FB32" w:rsidR="001D51F1" w:rsidRDefault="001D51F1" w:rsidP="005C6645">
      <w:pPr>
        <w:spacing w:after="249"/>
        <w:ind w:firstLine="480"/>
        <w:rPr>
          <w:rFonts w:eastAsiaTheme="minorEastAsia"/>
        </w:rPr>
      </w:pPr>
      <w:r w:rsidRPr="001D51F1">
        <w:rPr>
          <w:rFonts w:eastAsiaTheme="minorEastAsia"/>
        </w:rPr>
        <w:t xml:space="preserve">The theoretical dispersion curves (overlaid as black dotted lines </w:t>
      </w:r>
      <w:r w:rsidRPr="00C75420">
        <w:rPr>
          <w:rFonts w:eastAsiaTheme="minorEastAsia"/>
        </w:rPr>
        <w:t>in Supplementary Fig. 1</w:t>
      </w:r>
      <w:r w:rsidR="00A32013" w:rsidRPr="00C75420">
        <w:rPr>
          <w:rFonts w:eastAsiaTheme="minorEastAsia"/>
        </w:rPr>
        <w:t>3</w:t>
      </w:r>
      <w:r w:rsidRPr="00C75420">
        <w:rPr>
          <w:rFonts w:eastAsiaTheme="minorEastAsia"/>
        </w:rPr>
        <w:t xml:space="preserve">b were calculated using the empty-lattice approximation and the momentum matching framework established in Supplementary Note </w:t>
      </w:r>
      <w:r w:rsidR="00A32013" w:rsidRPr="00C75420">
        <w:rPr>
          <w:rFonts w:eastAsiaTheme="minorEastAsia"/>
        </w:rPr>
        <w:t>5</w:t>
      </w:r>
      <w:r w:rsidRPr="00C75420">
        <w:rPr>
          <w:rFonts w:eastAsiaTheme="minorEastAsia"/>
        </w:rPr>
        <w:t>.</w:t>
      </w:r>
      <w:r w:rsidRPr="001D51F1">
        <w:rPr>
          <w:rFonts w:eastAsiaTheme="minorEastAsia"/>
        </w:rPr>
        <w:t xml:space="preserve"> For the dielectric function of silver, </w:t>
      </w:r>
      <m:oMath>
        <m:r>
          <w:rPr>
            <w:rFonts w:ascii="Cambria Math" w:eastAsiaTheme="minorEastAsia" w:hAnsi="Cambria Math"/>
          </w:rPr>
          <m:t>ε(ω)</m:t>
        </m:r>
      </m:oMath>
      <w:r w:rsidRPr="001D51F1">
        <w:rPr>
          <w:rFonts w:eastAsiaTheme="minorEastAsia"/>
        </w:rPr>
        <w:t>, we employed the Drude-Lorentz model</w:t>
      </w:r>
      <w:r w:rsidR="00DE196D">
        <w:rPr>
          <w:rFonts w:eastAsiaTheme="minorEastAsia"/>
        </w:rPr>
        <w:fldChar w:fldCharType="begin"/>
      </w:r>
      <w:r w:rsidR="005B7F98">
        <w:rPr>
          <w:rFonts w:eastAsiaTheme="minorEastAsia"/>
        </w:rPr>
        <w:instrText xml:space="preserve"> ADDIN ZOTERO_ITEM CSL_CITATION {"citationID":"SRgWqpFM","properties":{"formattedCitation":"\\super 4\\nosupersub{}","plainCitation":"4","noteIndex":0},"citationItems":[{"id":3983,"uris":["http://zotero.org/users/13959459/items/Q48P3TZI"],"itemData":{"id":3983,"type":"article-journal","container-title":"Applied Optics","DOI":"10.1364/AO.37.005271","ISSN":"0003-6935, 1539-4522","issue":"22","journalAbbreviation":"Appl. Opt.","language":"en","license":"https://doi.org/10.1364/OA_License_v1#VOR","note":"TLDR: The reflectance and the phase change on reflection from semiconductor-metal interfaces (including the case of metallic multilayers) can be accurately described by use of the proposed models for the optical functions of metallic films and the matrix method for multilayer calculations.","page":"5271","source":"DOI.org (Crossref)","title":"Optical properties of metallic films for vertical-cavity optoelectronic devices","volume":"37","author":[{"family":"Rakić","given":"Aleksandar D."},{"family":"Djurišić","given":"Aleksandra B."},{"family":"Elazar","given":"Jovan M."},{"family":"Majewski","given":"Marian L."}],"issued":{"date-parts":[["1998",8,1]]}}}],"schema":"https://github.com/citation-style-language/schema/raw/master/csl-citation.json"} </w:instrText>
      </w:r>
      <w:r w:rsidR="00DE196D">
        <w:rPr>
          <w:rFonts w:eastAsiaTheme="minorEastAsia"/>
        </w:rPr>
        <w:fldChar w:fldCharType="separate"/>
      </w:r>
      <w:r w:rsidR="00D84474" w:rsidRPr="00D84474">
        <w:rPr>
          <w:rFonts w:cs="Times New Roman"/>
          <w:kern w:val="0"/>
          <w:szCs w:val="24"/>
          <w:vertAlign w:val="superscript"/>
        </w:rPr>
        <w:t>4</w:t>
      </w:r>
      <w:r w:rsidR="00DE196D">
        <w:rPr>
          <w:rFonts w:eastAsiaTheme="minorEastAsia"/>
        </w:rPr>
        <w:fldChar w:fldCharType="end"/>
      </w:r>
      <w:r w:rsidRPr="001D51F1">
        <w:rPr>
          <w:rFonts w:eastAsiaTheme="minorEastAsia"/>
        </w:rPr>
        <w:t>:</w:t>
      </w:r>
    </w:p>
    <w:p w14:paraId="3D9EFBE2" w14:textId="6CE1191F" w:rsidR="007955AB" w:rsidRPr="00B13B79" w:rsidRDefault="00DE724D" w:rsidP="00DE724D">
      <w:pPr>
        <w:pStyle w:val="af3"/>
        <w:spacing w:after="249"/>
        <w:ind w:firstLineChars="83" w:firstLine="199"/>
      </w:pPr>
      <w:r>
        <w:rPr>
          <w:rFonts w:eastAsiaTheme="minorEastAsia"/>
          <w:iCs/>
        </w:rPr>
        <w:tab/>
      </w:r>
      <w:bookmarkStart w:id="13" w:name="_Hlk218764167"/>
      <m:oMath>
        <m:r>
          <w:rPr>
            <w:rFonts w:ascii="Cambria Math" w:hAnsi="Cambria Math"/>
            <w:szCs w:val="24"/>
          </w:rPr>
          <m:t>ε</m:t>
        </m:r>
        <m:d>
          <m:dPr>
            <m:ctrlPr>
              <w:rPr>
                <w:rFonts w:ascii="Cambria Math" w:hAnsi="Cambria Math"/>
                <w:szCs w:val="24"/>
              </w:rPr>
            </m:ctrlPr>
          </m:dPr>
          <m:e>
            <m:r>
              <w:rPr>
                <w:rFonts w:ascii="Cambria Math" w:hAnsi="Cambria Math"/>
                <w:szCs w:val="24"/>
              </w:rPr>
              <m:t>ω</m:t>
            </m:r>
          </m:e>
        </m:d>
        <m:r>
          <m:rPr>
            <m:sty m:val="p"/>
          </m:rPr>
          <w:rPr>
            <w:rFonts w:ascii="Cambria Math" w:hAnsi="Cambria Math" w:hint="eastAsia"/>
            <w:szCs w:val="24"/>
          </w:rPr>
          <m:t>=</m:t>
        </m:r>
        <m:sSub>
          <m:sSubPr>
            <m:ctrlPr>
              <w:rPr>
                <w:rFonts w:ascii="Cambria Math" w:eastAsiaTheme="minorEastAsia" w:hAnsi="Cambria Math"/>
                <w:szCs w:val="24"/>
              </w:rPr>
            </m:ctrlPr>
          </m:sSubPr>
          <m:e>
            <m:r>
              <w:rPr>
                <w:rFonts w:ascii="Cambria Math" w:hAnsi="Cambria Math"/>
                <w:szCs w:val="24"/>
              </w:rPr>
              <m:t>ε</m:t>
            </m:r>
          </m:e>
          <m:sub>
            <m:r>
              <m:rPr>
                <m:sty m:val="p"/>
              </m:rPr>
              <w:rPr>
                <w:rFonts w:ascii="Cambria Math" w:hAnsi="Cambria Math"/>
                <w:szCs w:val="24"/>
              </w:rPr>
              <m:t>∞</m:t>
            </m:r>
          </m:sub>
        </m:sSub>
        <m:r>
          <m:rPr>
            <m:sty m:val="p"/>
          </m:rPr>
          <w:rPr>
            <w:rFonts w:ascii="Cambria Math" w:eastAsia="微软雅黑" w:hAnsi="Cambria Math" w:cs="微软雅黑" w:hint="eastAsia"/>
            <w:szCs w:val="24"/>
          </w:rPr>
          <m:t>-</m:t>
        </m:r>
        <m:f>
          <m:fPr>
            <m:ctrlPr>
              <w:rPr>
                <w:rFonts w:ascii="Cambria Math" w:eastAsiaTheme="minorEastAsia" w:hAnsi="Cambria Math"/>
                <w:szCs w:val="24"/>
              </w:rPr>
            </m:ctrlPr>
          </m:fPr>
          <m:num>
            <m:sSubSup>
              <m:sSubSupPr>
                <m:ctrlPr>
                  <w:rPr>
                    <w:rFonts w:ascii="Cambria Math" w:eastAsiaTheme="minorEastAsia" w:hAnsi="Cambria Math"/>
                    <w:szCs w:val="24"/>
                  </w:rPr>
                </m:ctrlPr>
              </m:sSubSupPr>
              <m:e>
                <m:r>
                  <m:rPr>
                    <m:sty m:val="p"/>
                  </m:rPr>
                  <w:rPr>
                    <w:rFonts w:ascii="Cambria Math" w:hAnsi="Cambria Math"/>
                    <w:szCs w:val="24"/>
                  </w:rPr>
                  <m:t>Ω</m:t>
                </m:r>
              </m:e>
              <m:sub>
                <m:r>
                  <w:rPr>
                    <w:rFonts w:ascii="Cambria Math" w:hAnsi="Cambria Math" w:hint="eastAsia"/>
                    <w:szCs w:val="24"/>
                  </w:rPr>
                  <m:t>p</m:t>
                </m:r>
              </m:sub>
              <m:sup>
                <m:r>
                  <m:rPr>
                    <m:sty m:val="p"/>
                  </m:rPr>
                  <w:rPr>
                    <w:rFonts w:ascii="Cambria Math" w:hAnsi="Cambria Math"/>
                    <w:szCs w:val="24"/>
                  </w:rPr>
                  <m:t>2</m:t>
                </m:r>
              </m:sup>
            </m:sSubSup>
          </m:num>
          <m:den>
            <m:sSup>
              <m:sSupPr>
                <m:ctrlPr>
                  <w:rPr>
                    <w:rFonts w:ascii="Cambria Math" w:eastAsiaTheme="minorEastAsia" w:hAnsi="Cambria Math"/>
                    <w:szCs w:val="24"/>
                  </w:rPr>
                </m:ctrlPr>
              </m:sSupPr>
              <m:e>
                <m:r>
                  <w:rPr>
                    <w:rFonts w:ascii="Cambria Math" w:hAnsi="Cambria Math"/>
                    <w:szCs w:val="24"/>
                  </w:rPr>
                  <m:t>ω</m:t>
                </m:r>
              </m:e>
              <m:sup>
                <m:r>
                  <m:rPr>
                    <m:sty m:val="p"/>
                  </m:rPr>
                  <w:rPr>
                    <w:rFonts w:ascii="Cambria Math" w:hAnsi="Cambria Math"/>
                    <w:szCs w:val="24"/>
                  </w:rPr>
                  <m:t>2</m:t>
                </m:r>
              </m:sup>
            </m:sSup>
            <m:r>
              <m:rPr>
                <m:sty m:val="p"/>
              </m:rPr>
              <w:rPr>
                <w:rFonts w:ascii="Cambria Math" w:hAnsi="Cambria Math"/>
                <w:szCs w:val="24"/>
              </w:rPr>
              <m:t>+</m:t>
            </m:r>
            <m:r>
              <w:rPr>
                <w:rFonts w:ascii="Cambria Math" w:hAnsi="Cambria Math"/>
                <w:szCs w:val="24"/>
              </w:rPr>
              <m:t>i</m:t>
            </m:r>
            <m:sSub>
              <m:sSubPr>
                <m:ctrlPr>
                  <w:rPr>
                    <w:rFonts w:ascii="Cambria Math" w:hAnsi="Cambria Math"/>
                    <w:i/>
                    <w:iCs/>
                    <w:szCs w:val="24"/>
                  </w:rPr>
                </m:ctrlPr>
              </m:sSubPr>
              <m:e>
                <m:r>
                  <m:rPr>
                    <m:sty m:val="p"/>
                  </m:rPr>
                  <w:rPr>
                    <w:rFonts w:ascii="Cambria Math" w:hAnsi="Cambria Math"/>
                    <w:szCs w:val="24"/>
                  </w:rPr>
                  <m:t>Γ</m:t>
                </m:r>
              </m:e>
              <m:sub>
                <m:r>
                  <w:rPr>
                    <w:rFonts w:ascii="Cambria Math" w:hAnsi="Cambria Math"/>
                    <w:szCs w:val="24"/>
                  </w:rPr>
                  <m:t>0</m:t>
                </m:r>
              </m:sub>
            </m:sSub>
            <m:r>
              <w:rPr>
                <w:rFonts w:ascii="Cambria Math" w:hAnsi="Cambria Math"/>
                <w:szCs w:val="24"/>
              </w:rPr>
              <m:t>ω</m:t>
            </m:r>
          </m:den>
        </m:f>
        <m:r>
          <w:rPr>
            <w:rFonts w:ascii="Cambria Math" w:eastAsiaTheme="minorEastAsia" w:hAnsi="Cambria Math"/>
            <w:szCs w:val="24"/>
          </w:rPr>
          <m:t>+</m:t>
        </m:r>
        <m:nary>
          <m:naryPr>
            <m:chr m:val="∑"/>
            <m:limLoc m:val="undOvr"/>
            <m:ctrlPr>
              <w:rPr>
                <w:rFonts w:ascii="Cambria Math" w:eastAsiaTheme="minorEastAsia" w:hAnsi="Cambria Math"/>
                <w:i/>
                <w:szCs w:val="24"/>
              </w:rPr>
            </m:ctrlPr>
          </m:naryPr>
          <m:sub>
            <m:r>
              <w:rPr>
                <w:rFonts w:ascii="Cambria Math" w:eastAsiaTheme="minorEastAsia" w:hAnsi="Cambria Math"/>
                <w:szCs w:val="24"/>
              </w:rPr>
              <m:t>j=1</m:t>
            </m:r>
          </m:sub>
          <m:sup>
            <m:r>
              <w:rPr>
                <w:rFonts w:ascii="Cambria Math" w:eastAsiaTheme="minorEastAsia" w:hAnsi="Cambria Math"/>
                <w:szCs w:val="24"/>
              </w:rPr>
              <m:t>k</m:t>
            </m:r>
          </m:sup>
          <m:e>
            <m:f>
              <m:fPr>
                <m:ctrlPr>
                  <w:rPr>
                    <w:rFonts w:ascii="Cambria Math" w:eastAsiaTheme="minorEastAsia" w:hAnsi="Cambria Math"/>
                    <w:szCs w:val="24"/>
                  </w:rPr>
                </m:ctrlPr>
              </m:fPr>
              <m:num>
                <m:sSubSup>
                  <m:sSubSupPr>
                    <m:ctrlPr>
                      <w:rPr>
                        <w:rFonts w:ascii="Cambria Math" w:eastAsiaTheme="minorEastAsia" w:hAnsi="Cambria Math"/>
                        <w:szCs w:val="24"/>
                      </w:rPr>
                    </m:ctrlPr>
                  </m:sSubSupPr>
                  <m:e>
                    <m:sSub>
                      <m:sSubPr>
                        <m:ctrlPr>
                          <w:rPr>
                            <w:rFonts w:ascii="Cambria Math" w:hAnsi="Cambria Math"/>
                            <w:iCs/>
                            <w:szCs w:val="24"/>
                          </w:rPr>
                        </m:ctrlPr>
                      </m:sSubPr>
                      <m:e>
                        <m:r>
                          <w:rPr>
                            <w:rFonts w:ascii="Cambria Math" w:hAnsi="Cambria Math"/>
                            <w:szCs w:val="24"/>
                          </w:rPr>
                          <m:t>f</m:t>
                        </m:r>
                      </m:e>
                      <m:sub>
                        <m:r>
                          <w:rPr>
                            <w:rFonts w:ascii="Cambria Math" w:hAnsi="Cambria Math"/>
                            <w:szCs w:val="24"/>
                          </w:rPr>
                          <m:t>j</m:t>
                        </m:r>
                      </m:sub>
                    </m:sSub>
                    <m:r>
                      <m:rPr>
                        <m:sty m:val="p"/>
                      </m:rPr>
                      <w:rPr>
                        <w:rFonts w:ascii="Cambria Math" w:hAnsi="Cambria Math"/>
                        <w:szCs w:val="24"/>
                      </w:rPr>
                      <m:t>ω</m:t>
                    </m:r>
                  </m:e>
                  <m:sub>
                    <m:r>
                      <w:rPr>
                        <w:rFonts w:ascii="Cambria Math" w:hAnsi="Cambria Math" w:hint="eastAsia"/>
                        <w:szCs w:val="24"/>
                      </w:rPr>
                      <m:t>p</m:t>
                    </m:r>
                  </m:sub>
                  <m:sup>
                    <m:r>
                      <m:rPr>
                        <m:sty m:val="p"/>
                      </m:rPr>
                      <w:rPr>
                        <w:rFonts w:ascii="Cambria Math" w:hAnsi="Cambria Math"/>
                        <w:szCs w:val="24"/>
                      </w:rPr>
                      <m:t>2</m:t>
                    </m:r>
                  </m:sup>
                </m:sSubSup>
              </m:num>
              <m:den>
                <m:sSup>
                  <m:sSupPr>
                    <m:ctrlPr>
                      <w:rPr>
                        <w:rFonts w:ascii="Cambria Math" w:eastAsiaTheme="minorEastAsia" w:hAnsi="Cambria Math"/>
                        <w:szCs w:val="24"/>
                      </w:rPr>
                    </m:ctrlPr>
                  </m:sSupPr>
                  <m:e>
                    <m:r>
                      <w:rPr>
                        <w:rFonts w:ascii="Cambria Math" w:hAnsi="Cambria Math"/>
                        <w:szCs w:val="24"/>
                      </w:rPr>
                      <m:t>(</m:t>
                    </m:r>
                    <m:sSubSup>
                      <m:sSubSupPr>
                        <m:ctrlPr>
                          <w:rPr>
                            <w:rFonts w:ascii="Cambria Math" w:eastAsiaTheme="minorEastAsia" w:hAnsi="Cambria Math"/>
                            <w:szCs w:val="24"/>
                          </w:rPr>
                        </m:ctrlPr>
                      </m:sSubSupPr>
                      <m:e>
                        <m:r>
                          <m:rPr>
                            <m:sty m:val="p"/>
                          </m:rPr>
                          <w:rPr>
                            <w:rFonts w:ascii="Cambria Math" w:hAnsi="Cambria Math"/>
                            <w:szCs w:val="24"/>
                          </w:rPr>
                          <m:t>ω</m:t>
                        </m:r>
                      </m:e>
                      <m:sub>
                        <m:r>
                          <w:rPr>
                            <w:rFonts w:ascii="Cambria Math" w:hAnsi="Cambria Math"/>
                            <w:szCs w:val="24"/>
                          </w:rPr>
                          <m:t>j</m:t>
                        </m:r>
                      </m:sub>
                      <m:sup>
                        <m:r>
                          <m:rPr>
                            <m:sty m:val="p"/>
                          </m:rPr>
                          <w:rPr>
                            <w:rFonts w:ascii="Cambria Math" w:hAnsi="Cambria Math"/>
                            <w:szCs w:val="24"/>
                          </w:rPr>
                          <m:t>2</m:t>
                        </m:r>
                      </m:sup>
                    </m:sSubSup>
                    <m:r>
                      <w:rPr>
                        <w:rFonts w:ascii="Cambria Math" w:hAnsi="Cambria Math"/>
                        <w:szCs w:val="24"/>
                      </w:rPr>
                      <m:t>-ω</m:t>
                    </m:r>
                  </m:e>
                  <m:sup>
                    <m:r>
                      <m:rPr>
                        <m:sty m:val="p"/>
                      </m:rPr>
                      <w:rPr>
                        <w:rFonts w:ascii="Cambria Math" w:hAnsi="Cambria Math"/>
                        <w:szCs w:val="24"/>
                      </w:rPr>
                      <m:t>2</m:t>
                    </m:r>
                  </m:sup>
                </m:sSup>
                <m:r>
                  <m:rPr>
                    <m:sty m:val="p"/>
                  </m:rPr>
                  <w:rPr>
                    <w:rFonts w:ascii="Cambria Math" w:hAnsi="Cambria Math"/>
                    <w:szCs w:val="24"/>
                  </w:rPr>
                  <m:t>)-</m:t>
                </m:r>
                <m:r>
                  <w:rPr>
                    <w:rFonts w:ascii="Cambria Math" w:hAnsi="Cambria Math"/>
                    <w:szCs w:val="24"/>
                  </w:rPr>
                  <m:t>i</m:t>
                </m:r>
                <m:sSub>
                  <m:sSubPr>
                    <m:ctrlPr>
                      <w:rPr>
                        <w:rFonts w:ascii="Cambria Math" w:hAnsi="Cambria Math"/>
                        <w:i/>
                        <w:iCs/>
                        <w:szCs w:val="24"/>
                      </w:rPr>
                    </m:ctrlPr>
                  </m:sSubPr>
                  <m:e>
                    <m:r>
                      <m:rPr>
                        <m:sty m:val="p"/>
                      </m:rPr>
                      <w:rPr>
                        <w:rFonts w:ascii="Cambria Math" w:hAnsi="Cambria Math"/>
                        <w:szCs w:val="24"/>
                      </w:rPr>
                      <m:t>ωΓ</m:t>
                    </m:r>
                  </m:e>
                  <m:sub>
                    <m:r>
                      <w:rPr>
                        <w:rFonts w:ascii="Cambria Math" w:hAnsi="Cambria Math"/>
                        <w:szCs w:val="24"/>
                      </w:rPr>
                      <m:t>j</m:t>
                    </m:r>
                  </m:sub>
                </m:sSub>
              </m:den>
            </m:f>
          </m:e>
        </m:nary>
        <m:r>
          <w:rPr>
            <w:rFonts w:ascii="Cambria Math" w:eastAsiaTheme="minorEastAsia" w:hAnsi="Cambria Math"/>
            <w:szCs w:val="24"/>
          </w:rPr>
          <m:t xml:space="preserve"> </m:t>
        </m:r>
      </m:oMath>
      <w:r>
        <w:rPr>
          <w:rFonts w:eastAsiaTheme="minorEastAsia"/>
          <w:szCs w:val="24"/>
        </w:rPr>
        <w:tab/>
      </w:r>
      <w:r w:rsidRPr="0064662E">
        <w:t>(S</w:t>
      </w:r>
      <w:r>
        <w:t>10</w:t>
      </w:r>
      <w:r w:rsidRPr="0064662E">
        <w:t>)</w:t>
      </w:r>
      <w:bookmarkEnd w:id="13"/>
    </w:p>
    <w:p w14:paraId="3A8EA9FD" w14:textId="6579C32C" w:rsidR="00E6315D" w:rsidRDefault="001D51F1" w:rsidP="005C6645">
      <w:pPr>
        <w:spacing w:after="249"/>
        <w:ind w:firstLine="480"/>
      </w:pPr>
      <w:r w:rsidRPr="001D51F1">
        <w:t>The parameters for the Drude term (plasma frequency </w:t>
      </w:r>
      <m:oMath>
        <m:sSub>
          <m:sSubPr>
            <m:ctrlPr>
              <w:rPr>
                <w:rFonts w:ascii="Cambria Math" w:hAnsi="Cambria Math"/>
              </w:rPr>
            </m:ctrlPr>
          </m:sSubPr>
          <m:e>
            <m:r>
              <m:rPr>
                <m:sty m:val="p"/>
              </m:rPr>
              <w:rPr>
                <w:rFonts w:ascii="Cambria Math" w:hAnsi="Cambria Math"/>
              </w:rPr>
              <m:t>Ω</m:t>
            </m:r>
          </m:e>
          <m:sub>
            <m:r>
              <w:rPr>
                <w:rFonts w:ascii="Cambria Math" w:hAnsi="Cambria Math"/>
              </w:rPr>
              <m:t>p</m:t>
            </m:r>
          </m:sub>
        </m:sSub>
      </m:oMath>
      <w:r w:rsidRPr="001D51F1">
        <w:t>, damping </w:t>
      </w:r>
      <m:oMath>
        <m:sSub>
          <m:sSubPr>
            <m:ctrlPr>
              <w:rPr>
                <w:rFonts w:ascii="Cambria Math" w:hAnsi="Cambria Math"/>
              </w:rPr>
            </m:ctrlPr>
          </m:sSubPr>
          <m:e>
            <m:r>
              <m:rPr>
                <m:sty m:val="p"/>
              </m:rPr>
              <w:rPr>
                <w:rFonts w:ascii="Cambria Math" w:hAnsi="Cambria Math"/>
              </w:rPr>
              <m:t>Γ</m:t>
            </m:r>
          </m:e>
          <m:sub>
            <m:r>
              <w:rPr>
                <w:rFonts w:ascii="Cambria Math" w:hAnsi="Cambria Math"/>
              </w:rPr>
              <m:t>0</m:t>
            </m:r>
          </m:sub>
        </m:sSub>
      </m:oMath>
      <w:r w:rsidRPr="001D51F1">
        <w:t xml:space="preserve">) and the </w:t>
      </w:r>
      <w:r w:rsidRPr="00BE68DA">
        <w:t>Lorentz oscillators (strength </w:t>
      </w:r>
      <m:oMath>
        <m:sSub>
          <m:sSubPr>
            <m:ctrlPr>
              <w:rPr>
                <w:rFonts w:ascii="Cambria Math" w:hAnsi="Cambria Math"/>
              </w:rPr>
            </m:ctrlPr>
          </m:sSubPr>
          <m:e>
            <m:r>
              <w:rPr>
                <w:rFonts w:ascii="Cambria Math" w:hAnsi="Cambria Math"/>
              </w:rPr>
              <m:t>f</m:t>
            </m:r>
          </m:e>
          <m:sub>
            <m:r>
              <w:rPr>
                <w:rFonts w:ascii="Cambria Math" w:hAnsi="Cambria Math"/>
              </w:rPr>
              <m:t>j</m:t>
            </m:r>
          </m:sub>
        </m:sSub>
      </m:oMath>
      <w:r w:rsidRPr="00BE68DA">
        <w:t>, resonance </w:t>
      </w:r>
      <m:oMath>
        <m:sSub>
          <m:sSubPr>
            <m:ctrlPr>
              <w:rPr>
                <w:rFonts w:ascii="Cambria Math" w:hAnsi="Cambria Math"/>
              </w:rPr>
            </m:ctrlPr>
          </m:sSubPr>
          <m:e>
            <m:r>
              <w:rPr>
                <w:rFonts w:ascii="Cambria Math" w:hAnsi="Cambria Math"/>
              </w:rPr>
              <m:t>ω</m:t>
            </m:r>
          </m:e>
          <m:sub>
            <m:r>
              <w:rPr>
                <w:rFonts w:ascii="Cambria Math" w:hAnsi="Cambria Math"/>
              </w:rPr>
              <m:t>j</m:t>
            </m:r>
          </m:sub>
        </m:sSub>
      </m:oMath>
      <w:r w:rsidRPr="00BE68DA">
        <w:t>, damping </w:t>
      </w:r>
      <m:oMath>
        <m:sSub>
          <m:sSubPr>
            <m:ctrlPr>
              <w:rPr>
                <w:rFonts w:ascii="Cambria Math" w:hAnsi="Cambria Math"/>
              </w:rPr>
            </m:ctrlPr>
          </m:sSubPr>
          <m:e>
            <m:r>
              <m:rPr>
                <m:sty m:val="p"/>
              </m:rPr>
              <w:rPr>
                <w:rFonts w:ascii="Cambria Math" w:hAnsi="Cambria Math"/>
              </w:rPr>
              <m:t>Γ</m:t>
            </m:r>
          </m:e>
          <m:sub>
            <m:r>
              <w:rPr>
                <w:rFonts w:ascii="Cambria Math" w:hAnsi="Cambria Math"/>
              </w:rPr>
              <m:t>j</m:t>
            </m:r>
          </m:sub>
        </m:sSub>
      </m:oMath>
      <w:r w:rsidRPr="00BE68DA">
        <w:t>) were taken from Rakić </w:t>
      </w:r>
      <w:r w:rsidRPr="00BE68DA">
        <w:rPr>
          <w:i/>
          <w:iCs/>
        </w:rPr>
        <w:t>et al.</w:t>
      </w:r>
      <w:r w:rsidRPr="00BE68DA">
        <w:t> [</w:t>
      </w:r>
      <w:r w:rsidRPr="00BE68DA">
        <w:rPr>
          <w:rFonts w:eastAsiaTheme="minorEastAsia" w:hint="eastAsia"/>
        </w:rPr>
        <w:t xml:space="preserve">Ref: </w:t>
      </w:r>
      <w:r w:rsidRPr="00BE68DA">
        <w:t>Rakic</w:t>
      </w:r>
      <w:r w:rsidRPr="00BE68DA">
        <w:rPr>
          <w:rFonts w:eastAsiaTheme="minorEastAsia" w:hint="eastAsia"/>
        </w:rPr>
        <w:t xml:space="preserve"> </w:t>
      </w:r>
      <w:r w:rsidRPr="00BE68DA">
        <w:t>1998, Appl. Opt. 37, 5271]</w:t>
      </w:r>
      <w:r w:rsidR="00BE68DA" w:rsidRPr="00BE68DA">
        <w:rPr>
          <w:rFonts w:eastAsiaTheme="minorEastAsia"/>
        </w:rPr>
        <w:t xml:space="preserve"> </w:t>
      </w:r>
      <w:r w:rsidR="00BE68DA">
        <w:rPr>
          <w:rFonts w:eastAsiaTheme="minorEastAsia"/>
        </w:rPr>
        <w:fldChar w:fldCharType="begin"/>
      </w:r>
      <w:r w:rsidR="00BE68DA">
        <w:rPr>
          <w:rFonts w:eastAsiaTheme="minorEastAsia"/>
        </w:rPr>
        <w:instrText xml:space="preserve"> ADDIN ZOTERO_ITEM CSL_CITATION {"citationID":"SRgWqpFM","properties":{"formattedCitation":"\\super 4\\nosupersub{}","plainCitation":"4","noteIndex":0},"citationItems":[{"id":3983,"uris":["http://zotero.org/users/13959459/items/Q48P3TZI"],"itemData":{"id":3983,"type":"article-journal","container-title":"Applied Optics","DOI":"10.1364/AO.37.005271","ISSN":"0003-6935, 1539-4522","issue":"22","journalAbbreviation":"Appl. Opt.","language":"en","license":"https://doi.org/10.1364/OA_License_v1#VOR","note":"TLDR: The reflectance and the phase change on reflection from semiconductor-metal interfaces (including the case of metallic multilayers) can be accurately described by use of the proposed models for the optical functions of metallic films and the matrix method for multilayer calculations.","page":"5271","source":"DOI.org (Crossref)","title":"Optical properties of metallic films for vertical-cavity optoelectronic devices","volume":"37","author":[{"family":"Rakić","given":"Aleksandar D."},{"family":"Djurišić","given":"Aleksandra B."},{"family":"Elazar","given":"Jovan M."},{"family":"Majewski","given":"Marian L."}],"issued":{"date-parts":[["1998",8,1]]}}}],"schema":"https://github.com/citation-style-language/schema/raw/master/csl-citation.json"} </w:instrText>
      </w:r>
      <w:r w:rsidR="00BE68DA">
        <w:rPr>
          <w:rFonts w:eastAsiaTheme="minorEastAsia"/>
        </w:rPr>
        <w:fldChar w:fldCharType="separate"/>
      </w:r>
      <w:r w:rsidR="00BE68DA" w:rsidRPr="00D84474">
        <w:rPr>
          <w:rFonts w:cs="Times New Roman"/>
          <w:kern w:val="0"/>
          <w:szCs w:val="24"/>
          <w:vertAlign w:val="superscript"/>
        </w:rPr>
        <w:t>4</w:t>
      </w:r>
      <w:r w:rsidR="00BE68DA">
        <w:rPr>
          <w:rFonts w:eastAsiaTheme="minorEastAsia"/>
        </w:rPr>
        <w:fldChar w:fldCharType="end"/>
      </w:r>
      <w:r w:rsidRPr="00BE68DA">
        <w:t>.</w:t>
      </w:r>
      <w:r w:rsidRPr="001D51F1">
        <w:t xml:space="preserve"> The refractive index of the dielectric environment was set to match the effective index of the gain-coated interface.</w:t>
      </w:r>
    </w:p>
    <w:p w14:paraId="24B3DA79" w14:textId="77777777" w:rsidR="001D51F1" w:rsidRDefault="001D51F1" w:rsidP="005C6645">
      <w:pPr>
        <w:spacing w:after="249"/>
        <w:ind w:firstLine="480"/>
        <w:rPr>
          <w:rFonts w:eastAsiaTheme="minorEastAsia"/>
        </w:rPr>
      </w:pPr>
      <w:r w:rsidRPr="001D51F1">
        <w:t>The agreement between experiment and theory is excellent, particularly in the lower energy bands. In the high-frequency region, the experimental signal-to-noise ratio is limited by the lower spectral irradiance of the halogen light source. However, in the crucial spectral window relevant to the gain medium (570–650 nm, indicated by the yellow shading), the dispersion features are resolved with high clarity.</w:t>
      </w:r>
    </w:p>
    <w:p w14:paraId="49059443" w14:textId="279CE335" w:rsidR="001D51F1" w:rsidRDefault="001D51F1" w:rsidP="005C6645">
      <w:pPr>
        <w:spacing w:after="249"/>
        <w:ind w:firstLine="480"/>
        <w:rPr>
          <w:rFonts w:eastAsiaTheme="minorEastAsia"/>
        </w:rPr>
      </w:pPr>
      <w:r w:rsidRPr="001D51F1">
        <w:rPr>
          <w:rFonts w:eastAsiaTheme="minorEastAsia"/>
        </w:rPr>
        <w:t>Throughout the measured Brillouin zone, the experimental spectra reveal a single, well-defined resonance branch without parasitic splitting or</w:t>
      </w:r>
      <w:r>
        <w:rPr>
          <w:rFonts w:eastAsiaTheme="minorEastAsia" w:hint="eastAsia"/>
        </w:rPr>
        <w:t xml:space="preserve"> </w:t>
      </w:r>
      <w:r w:rsidRPr="001D51F1">
        <w:rPr>
          <w:rFonts w:eastAsiaTheme="minorEastAsia"/>
        </w:rPr>
        <w:t>scatter-induced background. This confirms the high spatial uniformity of the fabricated lattice.</w:t>
      </w:r>
      <w:r>
        <w:rPr>
          <w:rFonts w:eastAsiaTheme="minorEastAsia" w:hint="eastAsia"/>
        </w:rPr>
        <w:t xml:space="preserve"> </w:t>
      </w:r>
      <w:r w:rsidRPr="001D51F1">
        <w:rPr>
          <w:rFonts w:eastAsiaTheme="minorEastAsia"/>
        </w:rPr>
        <w:t>Along the </w:t>
      </w:r>
      <m:oMath>
        <m:r>
          <w:rPr>
            <w:rFonts w:ascii="Cambria Math" w:eastAsiaTheme="minorEastAsia" w:hAnsi="Cambria Math"/>
          </w:rPr>
          <m:t>M→K</m:t>
        </m:r>
      </m:oMath>
      <w:r w:rsidRPr="001D51F1">
        <w:rPr>
          <w:rFonts w:eastAsiaTheme="minorEastAsia"/>
        </w:rPr>
        <w:t> path, the experiment clearly reproduces the theoretical band evolution, including the mode merging and splitting characteristic of the hexagonal symmetry.</w:t>
      </w:r>
    </w:p>
    <w:p w14:paraId="5E913839" w14:textId="7ACA3C28" w:rsidR="00D277B4" w:rsidRPr="001D51F1" w:rsidRDefault="001D51F1" w:rsidP="005C6645">
      <w:pPr>
        <w:spacing w:after="249"/>
        <w:ind w:firstLine="480"/>
        <w:rPr>
          <w:rFonts w:eastAsiaTheme="minorEastAsia"/>
        </w:rPr>
      </w:pPr>
      <w:r w:rsidRPr="001D51F1">
        <w:rPr>
          <w:rFonts w:eastAsiaTheme="minorEastAsia"/>
        </w:rPr>
        <w:t>Notably, along the </w:t>
      </w:r>
      <m:oMath>
        <m:r>
          <m:rPr>
            <m:sty m:val="p"/>
          </m:rPr>
          <w:rPr>
            <w:rFonts w:ascii="Cambria Math" w:eastAsiaTheme="minorEastAsia" w:hAnsi="Cambria Math"/>
          </w:rPr>
          <m:t>Γ</m:t>
        </m:r>
        <m:r>
          <w:rPr>
            <w:rFonts w:ascii="Cambria Math" w:eastAsiaTheme="minorEastAsia" w:hAnsi="Cambria Math"/>
          </w:rPr>
          <m:t>→M</m:t>
        </m:r>
      </m:oMath>
      <w:r w:rsidRPr="001D51F1">
        <w:rPr>
          <w:rFonts w:eastAsiaTheme="minorEastAsia"/>
        </w:rPr>
        <w:t> direction (correspond</w:t>
      </w:r>
      <w:r w:rsidRPr="00C75420">
        <w:rPr>
          <w:rFonts w:eastAsiaTheme="minorEastAsia"/>
        </w:rPr>
        <w:t>ing to Fig. 1f in the m</w:t>
      </w:r>
      <w:r w:rsidRPr="001D51F1">
        <w:rPr>
          <w:rFonts w:eastAsiaTheme="minorEastAsia"/>
        </w:rPr>
        <w:t xml:space="preserve">ain text), a single sharp resonant mode intersects the gain bandwidth. Crucially, our design does </w:t>
      </w:r>
      <w:r w:rsidRPr="001D51F1">
        <w:rPr>
          <w:rFonts w:eastAsiaTheme="minorEastAsia"/>
        </w:rPr>
        <w:lastRenderedPageBreak/>
        <w:t>not rely on aligning the gain peak with high-symmetry points (critical points like </w:t>
      </w:r>
      <m:oMath>
        <m:r>
          <m:rPr>
            <m:sty m:val="p"/>
          </m:rPr>
          <w:rPr>
            <w:rFonts w:ascii="Cambria Math" w:eastAsiaTheme="minorEastAsia" w:hAnsi="Cambria Math"/>
          </w:rPr>
          <m:t>Γ</m:t>
        </m:r>
      </m:oMath>
      <w:r w:rsidRPr="001D51F1">
        <w:rPr>
          <w:rFonts w:eastAsiaTheme="minorEastAsia"/>
        </w:rPr>
        <w:t>, </w:t>
      </w:r>
      <m:oMath>
        <m:r>
          <w:rPr>
            <w:rFonts w:ascii="Cambria Math" w:eastAsiaTheme="minorEastAsia" w:hAnsi="Cambria Math"/>
          </w:rPr>
          <m:t>M</m:t>
        </m:r>
      </m:oMath>
      <w:r w:rsidRPr="001D51F1">
        <w:rPr>
          <w:rFonts w:eastAsiaTheme="minorEastAsia"/>
        </w:rPr>
        <w:t>, or </w:t>
      </w:r>
      <m:oMath>
        <m:r>
          <w:rPr>
            <w:rFonts w:ascii="Cambria Math" w:eastAsiaTheme="minorEastAsia" w:hAnsi="Cambria Math"/>
          </w:rPr>
          <m:t>K</m:t>
        </m:r>
      </m:oMath>
      <w:r w:rsidRPr="001D51F1">
        <w:rPr>
          <w:rFonts w:eastAsiaTheme="minorEastAsia"/>
        </w:rPr>
        <w:t>) where the group velocity is zero. For instance, the </w:t>
      </w:r>
      <m:oMath>
        <m:r>
          <w:rPr>
            <w:rFonts w:ascii="Cambria Math" w:eastAsiaTheme="minorEastAsia" w:hAnsi="Cambria Math"/>
          </w:rPr>
          <m:t>K</m:t>
        </m:r>
      </m:oMath>
      <w:r w:rsidRPr="001D51F1">
        <w:rPr>
          <w:rFonts w:eastAsiaTheme="minorEastAsia"/>
        </w:rPr>
        <w:t>-point resonance (</w:t>
      </w:r>
      <m:oMath>
        <m:r>
          <w:rPr>
            <w:rFonts w:ascii="Cambria Math" w:eastAsiaTheme="minorEastAsia" w:hAnsi="Cambria Math"/>
          </w:rPr>
          <m:t>∼</m:t>
        </m:r>
      </m:oMath>
      <w:r w:rsidRPr="001D51F1">
        <w:rPr>
          <w:rFonts w:eastAsiaTheme="minorEastAsia"/>
        </w:rPr>
        <w:t>665 nm) lies slightly outside the primary QD emission range (</w:t>
      </w:r>
      <m:oMath>
        <m:r>
          <w:rPr>
            <w:rFonts w:ascii="Cambria Math" w:eastAsiaTheme="minorEastAsia" w:hAnsi="Cambria Math"/>
          </w:rPr>
          <m:t>∼</m:t>
        </m:r>
      </m:oMath>
      <w:r w:rsidRPr="001D51F1">
        <w:rPr>
          <w:rFonts w:eastAsiaTheme="minorEastAsia"/>
        </w:rPr>
        <w:t xml:space="preserve">650 nm cutoff). The successful lasing observed in this work demonstrates that Bloch SPP feedback is efficient enough to sustain oscillation along the dispersive slopes of the band structure, not just at band-edge singularities. This flexibility significantly relaxes fabrication tolerances and offers a new paradigm for designing tunable </w:t>
      </w:r>
      <w:proofErr w:type="spellStart"/>
      <w:r w:rsidRPr="001D51F1">
        <w:rPr>
          <w:rFonts w:eastAsiaTheme="minorEastAsia"/>
        </w:rPr>
        <w:t>nanolasers</w:t>
      </w:r>
      <w:proofErr w:type="spellEnd"/>
      <w:r w:rsidRPr="001D51F1">
        <w:rPr>
          <w:rFonts w:eastAsiaTheme="minorEastAsia"/>
        </w:rPr>
        <w:t>.</w:t>
      </w:r>
      <w:r w:rsidR="00D277B4">
        <w:br w:type="page"/>
      </w:r>
    </w:p>
    <w:p w14:paraId="06A828B4" w14:textId="5CF5E4E6" w:rsidR="00A524AF" w:rsidRDefault="00FB7E72" w:rsidP="00FB7E72">
      <w:pPr>
        <w:pStyle w:val="aff"/>
        <w:rPr>
          <w:rFonts w:eastAsiaTheme="minorEastAsia"/>
        </w:rPr>
      </w:pPr>
      <w:r>
        <w:lastRenderedPageBreak/>
        <w:drawing>
          <wp:inline distT="0" distB="0" distL="0" distR="0" wp14:anchorId="678B646A" wp14:editId="6998252D">
            <wp:extent cx="4944713" cy="1800000"/>
            <wp:effectExtent l="0" t="0" r="0" b="0"/>
            <wp:docPr id="95" name="图片 95"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图表&#10;&#10;AI 生成的内容可能不正确。"/>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44713" cy="1800000"/>
                    </a:xfrm>
                    <a:prstGeom prst="rect">
                      <a:avLst/>
                    </a:prstGeom>
                    <a:noFill/>
                  </pic:spPr>
                </pic:pic>
              </a:graphicData>
            </a:graphic>
          </wp:inline>
        </w:drawing>
      </w:r>
    </w:p>
    <w:p w14:paraId="3229155C" w14:textId="605B21CC" w:rsidR="00FB7E72" w:rsidRDefault="00FB7E72" w:rsidP="001D51F1">
      <w:pPr>
        <w:pStyle w:val="ab"/>
        <w:spacing w:after="468"/>
        <w:rPr>
          <w:rFonts w:eastAsiaTheme="minorEastAsia"/>
        </w:rPr>
      </w:pPr>
      <w:r w:rsidRPr="00DE724D">
        <w:rPr>
          <w:b/>
          <w:bCs/>
        </w:rPr>
        <w:t xml:space="preserve">Supplementary Figure </w:t>
      </w:r>
      <w:r w:rsidRPr="00DE724D">
        <w:rPr>
          <w:rFonts w:eastAsiaTheme="minorEastAsia"/>
          <w:b/>
          <w:bCs/>
        </w:rPr>
        <w:t>1</w:t>
      </w:r>
      <w:r>
        <w:rPr>
          <w:rFonts w:eastAsiaTheme="minorEastAsia"/>
          <w:b/>
          <w:bCs/>
        </w:rPr>
        <w:t>3</w:t>
      </w:r>
      <w:r w:rsidRPr="00DE724D">
        <w:rPr>
          <w:b/>
          <w:bCs/>
        </w:rPr>
        <w:t xml:space="preserve"> </w:t>
      </w:r>
      <w:r w:rsidRPr="00DE724D">
        <w:rPr>
          <w:rFonts w:eastAsiaTheme="minorEastAsia"/>
          <w:b/>
          <w:bCs/>
        </w:rPr>
        <w:t>|</w:t>
      </w:r>
      <w:r w:rsidRPr="00DE724D">
        <w:rPr>
          <w:b/>
          <w:bCs/>
        </w:rPr>
        <w:t xml:space="preserve"> </w:t>
      </w:r>
      <w:r>
        <w:rPr>
          <w:rFonts w:eastAsia="宋体" w:hint="eastAsia"/>
          <w:b/>
          <w:bCs/>
        </w:rPr>
        <w:t>Photonic</w:t>
      </w:r>
      <w:r w:rsidRPr="00AD5703">
        <w:rPr>
          <w:rFonts w:eastAsia="宋体"/>
          <w:b/>
          <w:bCs/>
        </w:rPr>
        <w:t xml:space="preserve"> band</w:t>
      </w:r>
      <w:r>
        <w:rPr>
          <w:rFonts w:eastAsia="宋体" w:hint="eastAsia"/>
          <w:b/>
          <w:bCs/>
        </w:rPr>
        <w:t xml:space="preserve"> structure</w:t>
      </w:r>
      <w:r w:rsidRPr="00AD5703">
        <w:rPr>
          <w:rFonts w:eastAsia="宋体"/>
          <w:b/>
          <w:bCs/>
        </w:rPr>
        <w:t xml:space="preserve"> of triangular lattice. </w:t>
      </w:r>
      <w:r w:rsidRPr="001D51F1">
        <w:rPr>
          <w:rFonts w:eastAsia="宋体" w:hint="eastAsia"/>
          <w:b/>
          <w:bCs/>
        </w:rPr>
        <w:t xml:space="preserve">a, </w:t>
      </w:r>
      <w:r w:rsidRPr="001D51F1">
        <w:rPr>
          <w:rFonts w:eastAsia="宋体"/>
        </w:rPr>
        <w:t>Photonic band structure analysis. a, Schematic of the first Brillouin zone for a hexagonal lattice, defining the high-symmetry points </w:t>
      </w:r>
      <m:oMath>
        <m:r>
          <m:rPr>
            <m:sty m:val="p"/>
          </m:rPr>
          <w:rPr>
            <w:rFonts w:ascii="Cambria Math" w:eastAsia="宋体" w:hAnsi="Cambria Math"/>
          </w:rPr>
          <m:t>Γ</m:t>
        </m:r>
      </m:oMath>
      <w:r w:rsidRPr="001D51F1">
        <w:rPr>
          <w:rFonts w:eastAsia="宋体"/>
        </w:rPr>
        <w:t>, </w:t>
      </w:r>
      <m:oMath>
        <m:r>
          <w:rPr>
            <w:rFonts w:ascii="Cambria Math" w:eastAsia="宋体" w:hAnsi="Cambria Math"/>
          </w:rPr>
          <m:t>M</m:t>
        </m:r>
      </m:oMath>
      <w:r w:rsidRPr="001D51F1">
        <w:rPr>
          <w:rFonts w:eastAsia="宋体"/>
        </w:rPr>
        <w:t>, and </w:t>
      </w:r>
      <m:oMath>
        <m:r>
          <w:rPr>
            <w:rFonts w:ascii="Cambria Math" w:eastAsia="宋体" w:hAnsi="Cambria Math"/>
          </w:rPr>
          <m:t>K</m:t>
        </m:r>
      </m:oMath>
      <w:r w:rsidRPr="001D51F1">
        <w:rPr>
          <w:rFonts w:eastAsia="宋体"/>
        </w:rPr>
        <w:t>. </w:t>
      </w:r>
      <w:r w:rsidRPr="001D51F1">
        <w:rPr>
          <w:rFonts w:eastAsia="宋体"/>
          <w:b/>
          <w:bCs/>
        </w:rPr>
        <w:t>b,</w:t>
      </w:r>
      <w:r w:rsidRPr="001D51F1">
        <w:rPr>
          <w:rFonts w:eastAsia="宋体"/>
        </w:rPr>
        <w:t xml:space="preserve"> Projected energy-momentum dispersion diagram along the path </w:t>
      </w:r>
      <m:oMath>
        <m:r>
          <m:rPr>
            <m:sty m:val="p"/>
          </m:rPr>
          <w:rPr>
            <w:rFonts w:ascii="Cambria Math" w:eastAsia="宋体" w:hAnsi="Cambria Math"/>
          </w:rPr>
          <m:t>Γ</m:t>
        </m:r>
        <m:r>
          <w:rPr>
            <w:rFonts w:ascii="Cambria Math" w:eastAsia="宋体" w:hAnsi="Cambria Math"/>
          </w:rPr>
          <m:t>→M→K→</m:t>
        </m:r>
        <m:r>
          <m:rPr>
            <m:sty m:val="p"/>
          </m:rPr>
          <w:rPr>
            <w:rFonts w:ascii="Cambria Math" w:eastAsia="宋体" w:hAnsi="Cambria Math"/>
          </w:rPr>
          <m:t>Γ</m:t>
        </m:r>
      </m:oMath>
      <w:r w:rsidRPr="001D51F1">
        <w:rPr>
          <w:rFonts w:eastAsia="宋体"/>
        </w:rPr>
        <w:t>. The color map represents the experimental angle-resolved reflectance (darker blue indicates the resonance dip), while the overlaid black dotted lines represent the theoretical Bloch SPP dispersion calculated using the Drude-Lorentz model</w:t>
      </w:r>
      <w:r>
        <w:rPr>
          <w:rFonts w:eastAsia="宋体"/>
        </w:rPr>
        <w:fldChar w:fldCharType="begin"/>
      </w:r>
      <w:r>
        <w:rPr>
          <w:rFonts w:eastAsia="宋体"/>
        </w:rPr>
        <w:instrText xml:space="preserve"> ADDIN ZOTERO_ITEM CSL_CITATION {"citationID":"lUn0AXq3","properties":{"formattedCitation":"\\super 4\\nosupersub{}","plainCitation":"4","noteIndex":0},"citationItems":[{"id":3983,"uris":["http://zotero.org/users/13959459/items/Q48P3TZI"],"itemData":{"id":3983,"type":"article-journal","container-title":"Applied Optics","DOI":"10.1364/AO.37.005271","ISSN":"0003-6935, 1539-4522","issue":"22","journalAbbreviation":"Appl. Opt.","language":"en","license":"https://doi.org/10.1364/OA_License_v1#VOR","note":"TLDR: The reflectance and the phase change on reflection from semiconductor-metal interfaces (including the case of metallic multilayers) can be accurately described by use of the proposed models for the optical functions of metallic films and the matrix method for multilayer calculations.","page":"5271","source":"DOI.org (Crossref)","title":"Optical properties of metallic films for vertical-cavity optoelectronic devices","volume":"37","author":[{"family":"Rakić","given":"Aleksandar D."},{"family":"Djurišić","given":"Aleksandra B."},{"family":"Elazar","given":"Jovan M."},{"family":"Majewski","given":"Marian L."}],"issued":{"date-parts":[["1998",8,1]]}}}],"schema":"https://github.com/citation-style-language/schema/raw/master/csl-citation.json"} </w:instrText>
      </w:r>
      <w:r>
        <w:rPr>
          <w:rFonts w:eastAsia="宋体"/>
        </w:rPr>
        <w:fldChar w:fldCharType="separate"/>
      </w:r>
      <w:r w:rsidRPr="00D84474">
        <w:rPr>
          <w:rFonts w:cs="Times New Roman"/>
          <w:kern w:val="0"/>
          <w:szCs w:val="24"/>
          <w:vertAlign w:val="superscript"/>
        </w:rPr>
        <w:t>4</w:t>
      </w:r>
      <w:r>
        <w:rPr>
          <w:rFonts w:eastAsia="宋体"/>
        </w:rPr>
        <w:fldChar w:fldCharType="end"/>
      </w:r>
      <w:r w:rsidRPr="001D51F1">
        <w:rPr>
          <w:rFonts w:eastAsia="宋体"/>
        </w:rPr>
        <w:t>. The yellow shaded region indicates the spectral bandwidth of the quantum dot gain medium. The excellent agreement confirms that the optical response is governed by the predicted lattice modes.</w:t>
      </w:r>
    </w:p>
    <w:p w14:paraId="2188B628" w14:textId="6B0EAEF3" w:rsidR="00615033" w:rsidRPr="001D51F1" w:rsidRDefault="00D277B4" w:rsidP="001D51F1">
      <w:pPr>
        <w:widowControl/>
        <w:spacing w:afterLines="0" w:after="0" w:line="240" w:lineRule="auto"/>
        <w:ind w:firstLineChars="0" w:firstLine="0"/>
        <w:rPr>
          <w:rFonts w:eastAsiaTheme="minorEastAsia"/>
        </w:rPr>
      </w:pPr>
      <w:r>
        <w:br w:type="page"/>
      </w:r>
    </w:p>
    <w:p w14:paraId="784CB05D" w14:textId="3629B2F5" w:rsidR="00975D3A" w:rsidRPr="00DE724D" w:rsidRDefault="001D51F1" w:rsidP="00A524AF">
      <w:pPr>
        <w:pStyle w:val="2"/>
        <w:spacing w:after="249"/>
        <w:ind w:firstLineChars="0" w:firstLine="0"/>
        <w:rPr>
          <w:rFonts w:ascii="Times New Roman" w:hAnsi="Times New Roman" w:cs="Times New Roman"/>
          <w:sz w:val="24"/>
          <w:szCs w:val="24"/>
        </w:rPr>
      </w:pPr>
      <w:bookmarkStart w:id="14" w:name="_Hlk218533307"/>
      <w:bookmarkStart w:id="15" w:name="_Toc218536500"/>
      <w:r w:rsidRPr="00DE724D">
        <w:rPr>
          <w:rFonts w:ascii="Times New Roman" w:hAnsi="Times New Roman" w:cs="Times New Roman"/>
          <w:sz w:val="24"/>
          <w:szCs w:val="24"/>
        </w:rPr>
        <w:lastRenderedPageBreak/>
        <w:t xml:space="preserve">Supplementary Note </w:t>
      </w:r>
      <w:r w:rsidR="00646B29">
        <w:rPr>
          <w:rFonts w:ascii="Times New Roman" w:hAnsi="Times New Roman" w:cs="Times New Roman"/>
          <w:sz w:val="24"/>
          <w:szCs w:val="24"/>
        </w:rPr>
        <w:t>7</w:t>
      </w:r>
      <w:bookmarkEnd w:id="14"/>
      <w:r w:rsidRPr="00DE724D">
        <w:rPr>
          <w:rFonts w:ascii="Times New Roman" w:hAnsi="Times New Roman" w:cs="Times New Roman"/>
          <w:sz w:val="24"/>
          <w:szCs w:val="24"/>
        </w:rPr>
        <w:t>: Dispersion characteristics of the lasing emission</w:t>
      </w:r>
      <w:bookmarkEnd w:id="15"/>
    </w:p>
    <w:p w14:paraId="2E569237" w14:textId="4C36EB97" w:rsidR="001D51F1" w:rsidRPr="00C75420" w:rsidRDefault="001D51F1" w:rsidP="005C6645">
      <w:pPr>
        <w:spacing w:after="249"/>
        <w:ind w:firstLine="480"/>
        <w:rPr>
          <w:rFonts w:eastAsiaTheme="minorEastAsia"/>
        </w:rPr>
      </w:pPr>
      <w:r w:rsidRPr="00C75420">
        <w:t xml:space="preserve">The theoretical analysis in Supplementary Note </w:t>
      </w:r>
      <w:r w:rsidR="00A32013" w:rsidRPr="00C75420">
        <w:t>5</w:t>
      </w:r>
      <w:r w:rsidRPr="00C75420">
        <w:t xml:space="preserve"> establishes the conditions for resonant coupling: when a plane wave is incident on the lattice at a specific angle and polarization, it can couple efficiently to a Bloch SPP mode, resulting in a sharp dip in reflectance. This describes the </w:t>
      </w:r>
      <w:r w:rsidR="006C7D99">
        <w:t>“</w:t>
      </w:r>
      <w:r w:rsidRPr="00C75420">
        <w:t>receiving mode</w:t>
      </w:r>
      <w:r w:rsidR="006C7D99">
        <w:t>”</w:t>
      </w:r>
      <w:r w:rsidRPr="00C75420">
        <w:t xml:space="preserve"> of the lattice (schematic in Supplementary Fig. 1</w:t>
      </w:r>
      <w:r w:rsidR="00A32013" w:rsidRPr="00C75420">
        <w:t>2</w:t>
      </w:r>
      <w:r w:rsidRPr="00C75420">
        <w:t>a). By the principle of optical reciprocity, if the lattice is integrated with an active medium (QDs), the system acts as a source</w:t>
      </w:r>
      <w:r w:rsidR="00DE196D">
        <w:fldChar w:fldCharType="begin"/>
      </w:r>
      <w:r w:rsidR="005B7F98">
        <w:instrText xml:space="preserve"> ADDIN ZOTERO_ITEM CSL_CITATION {"citationID":"DSKQbWtd","properties":{"formattedCitation":"\\super 5\\nosupersub{}","plainCitation":"5","noteIndex":0},"citationItems":[{"id":4006,"uris":["http://zotero.org/users/13959459/items/ZYCHZCFD"],"itemData":{"id":4006,"type":"article-journal","abstract":"Controlling Light Propagation\n            \n              Surface plasmons are light-induced collective electronic excitations in a metal that offer the possibility of manufacturing optoelectronic devices at nanometer scale. Before such shrinking can be achieved, the propagation direction and lifetime of the plasmonic excitations have to be controlled (see the Perspective by\n              \n                Miroshnichenko and Kivshar\n              \n              ).\n              \n                Rodríguez-Fortuño\n                et al.\n              \n              (p.\n              328\n              ) show how this is done using polarized light. Alternatively, using an array of metallic nanoantennae (in this case, slits) patterned into a thin gold film,\n              \n                Lin\n                et al.\n              \n              (p.\n              331\n              ) present a further improvement on current plasmonic coupling schemes that has the potential to encode information contained in both the intensity and polarization of light.\n            \n          , \n            \n              Near-field interference can be used to control the directional propagation of electromagnetic excitations.\n              \n                [Also see Perspective by\n                Miroshnichenko and Kivshar\n                ]\n              \n            \n          , \n            Wave interference is a fundamental manifestation of the superposition principle with numerous applications. Although in conventional optics, interference occurs between waves undergoing different phase advances during propagation, we show that the vectorial structure of the near field of an emitter is essential for controlling its radiation as it interferes with itself on interaction with a mediating object. We demonstrate that the near-field interference of a circularly polarized dipole results in the unidirectional excitation of guided electromagnetic modes in the near field, with no preferred far-field radiation direction. By mimicking the dipole with a single illuminated slit in a gold film, we measured unidirectional surface-plasmon excitation in a spatially symmetric structure. The surface wave direction is switchable with the polarization.","container-title":"Science","DOI":"10.1126/science.1233739","ISSN":"0036-8075, 1095-9203","issue":"6130","journalAbbreviation":"Science","language":"en","note":"TLDR: It is demonstrated that the near-field interference of a circularly polarized dipole results in the unidirectional excitation of guided electromagnetic modes in the near field, with no preferred far-field radiation direction.","page":"328-330","source":"DOI.org (Crossref)","title":"Near-Field Interference for the Unidirectional Excitation of Electromagnetic Guided Modes","volume":"340","author":[{"family":"Rodríguez-Fortuño","given":"Francisco J."},{"family":"Marino","given":"Giuseppe"},{"family":"Ginzburg","given":"Pavel"},{"family":"O’Connor","given":"Daniel"},{"family":"Martínez","given":"Alejandro"},{"family":"Wurtz","given":"Gregory A."},{"family":"Zayats","given":"Anatoly V."}],"issued":{"date-parts":[["2013",4,19]]}}}],"schema":"https://github.com/citation-style-language/schema/raw/master/csl-citation.json"} </w:instrText>
      </w:r>
      <w:r w:rsidR="00DE196D">
        <w:fldChar w:fldCharType="separate"/>
      </w:r>
      <w:r w:rsidR="00D84474" w:rsidRPr="00D84474">
        <w:rPr>
          <w:rFonts w:cs="Times New Roman"/>
          <w:kern w:val="0"/>
          <w:szCs w:val="24"/>
          <w:vertAlign w:val="superscript"/>
        </w:rPr>
        <w:t>5</w:t>
      </w:r>
      <w:r w:rsidR="00DE196D">
        <w:fldChar w:fldCharType="end"/>
      </w:r>
      <w:r w:rsidRPr="00C75420">
        <w:t xml:space="preserve">. The isotropic spontaneous emission from the QDs couples into the lattice modes, receives feedback, and is then out-coupled into free space via first-order Bragg diffraction. This out-coupled radiation is not isotropic but follows the exact same angular and polarization constraints as the receiving mode, constituting the </w:t>
      </w:r>
      <w:r w:rsidR="006C7D99">
        <w:t>“</w:t>
      </w:r>
      <w:r w:rsidRPr="00C75420">
        <w:t>transmitting mode</w:t>
      </w:r>
      <w:r w:rsidR="006C7D99">
        <w:t>”</w:t>
      </w:r>
      <w:r w:rsidRPr="00C75420">
        <w:t xml:space="preserve"> (Supplementary Fig. 1</w:t>
      </w:r>
      <w:r w:rsidR="00A32013" w:rsidRPr="00C75420">
        <w:t>2</w:t>
      </w:r>
      <w:r w:rsidRPr="00C75420">
        <w:t>b).</w:t>
      </w:r>
    </w:p>
    <w:p w14:paraId="24ABC067" w14:textId="13B6D4FC" w:rsidR="001D51F1" w:rsidRPr="00C75420" w:rsidRDefault="001D51F1" w:rsidP="005C6645">
      <w:pPr>
        <w:spacing w:after="249"/>
        <w:ind w:firstLine="480"/>
        <w:rPr>
          <w:rFonts w:eastAsiaTheme="minorEastAsia"/>
        </w:rPr>
      </w:pPr>
      <w:r w:rsidRPr="00C75420">
        <w:rPr>
          <w:rFonts w:eastAsiaTheme="minorEastAsia"/>
        </w:rPr>
        <w:t xml:space="preserve">To visualize the spatial distribution of this emission, we solved the momentum matching equations (Eq. </w:t>
      </w:r>
      <w:r w:rsidR="008E321C" w:rsidRPr="00C75420">
        <w:rPr>
          <w:rFonts w:eastAsiaTheme="minorEastAsia"/>
        </w:rPr>
        <w:t>S</w:t>
      </w:r>
      <w:r w:rsidRPr="00C75420">
        <w:rPr>
          <w:rFonts w:eastAsiaTheme="minorEastAsia"/>
        </w:rPr>
        <w:t xml:space="preserve">7 in Supplementary Note </w:t>
      </w:r>
      <w:r w:rsidR="008E321C" w:rsidRPr="00C75420">
        <w:rPr>
          <w:rFonts w:eastAsiaTheme="minorEastAsia"/>
        </w:rPr>
        <w:t>5</w:t>
      </w:r>
      <w:r w:rsidRPr="00C75420">
        <w:rPr>
          <w:rFonts w:eastAsiaTheme="minorEastAsia"/>
        </w:rPr>
        <w:t>) for the entire gain bandwidth. For a fixed wavelength </w:t>
      </w:r>
      <m:oMath>
        <m:r>
          <w:rPr>
            <w:rFonts w:ascii="Cambria Math" w:eastAsiaTheme="minorEastAsia" w:hAnsi="Cambria Math"/>
          </w:rPr>
          <m:t>λ</m:t>
        </m:r>
      </m:oMath>
      <w:r w:rsidRPr="00C75420">
        <w:rPr>
          <w:rFonts w:eastAsiaTheme="minorEastAsia"/>
        </w:rPr>
        <w:t>, the allowed solutions lie on the intersection of the light cone (a sphere of radius </w:t>
      </w:r>
      <m:oMath>
        <m:r>
          <m:rPr>
            <m:sty m:val="p"/>
          </m:rPr>
          <w:rPr>
            <w:rFonts w:ascii="Cambria Math" w:eastAsiaTheme="minorEastAsia" w:hAnsi="Cambria Math"/>
          </w:rPr>
          <m:t>∣k∣</m:t>
        </m:r>
        <m:r>
          <w:rPr>
            <w:rFonts w:ascii="Cambria Math" w:eastAsiaTheme="minorEastAsia" w:hAnsi="Cambria Math"/>
          </w:rPr>
          <m:t>=2πn</m:t>
        </m:r>
        <m:r>
          <m:rPr>
            <m:sty m:val="p"/>
          </m:rPr>
          <w:rPr>
            <w:rFonts w:ascii="Cambria Math" w:eastAsiaTheme="minorEastAsia" w:hAnsi="Cambria Math"/>
          </w:rPr>
          <m:t>/</m:t>
        </m:r>
        <m:r>
          <w:rPr>
            <w:rFonts w:ascii="Cambria Math" w:eastAsiaTheme="minorEastAsia" w:hAnsi="Cambria Math"/>
          </w:rPr>
          <m:t>λ</m:t>
        </m:r>
      </m:oMath>
      <w:r w:rsidRPr="00C75420">
        <w:rPr>
          <w:rFonts w:eastAsiaTheme="minorEastAsia"/>
        </w:rPr>
        <w:t>) and the reciprocal lattice planes.</w:t>
      </w:r>
      <w:r w:rsidRPr="00C75420">
        <w:rPr>
          <w:rFonts w:ascii="DM Sans" w:hAnsi="DM Sans"/>
          <w:shd w:val="clear" w:color="auto" w:fill="FFFFFF"/>
        </w:rPr>
        <w:t xml:space="preserve"> </w:t>
      </w:r>
      <w:r w:rsidRPr="00C75420">
        <w:rPr>
          <w:rFonts w:eastAsiaTheme="minorEastAsia"/>
        </w:rPr>
        <w:t xml:space="preserve">The resulting </w:t>
      </w:r>
      <w:proofErr w:type="spellStart"/>
      <w:r w:rsidRPr="00C75420">
        <w:rPr>
          <w:rFonts w:eastAsiaTheme="minorEastAsia"/>
        </w:rPr>
        <w:t>isofrequency</w:t>
      </w:r>
      <w:proofErr w:type="spellEnd"/>
      <w:r w:rsidRPr="00C75420">
        <w:rPr>
          <w:rFonts w:eastAsiaTheme="minorEastAsia"/>
        </w:rPr>
        <w:t xml:space="preserve"> contours exhibit the characteristic six-fold symmetry of the triangular lattice (Supplementary Fig. 1</w:t>
      </w:r>
      <w:r w:rsidR="008E321C" w:rsidRPr="00C75420">
        <w:rPr>
          <w:rFonts w:eastAsiaTheme="minorEastAsia"/>
        </w:rPr>
        <w:t>4</w:t>
      </w:r>
      <w:r w:rsidRPr="00C75420">
        <w:rPr>
          <w:rFonts w:eastAsiaTheme="minorEastAsia"/>
        </w:rPr>
        <w:t>a).</w:t>
      </w:r>
      <w:r w:rsidRPr="00C75420">
        <w:rPr>
          <w:rFonts w:eastAsiaTheme="minorEastAsia" w:hint="eastAsia"/>
        </w:rPr>
        <w:t xml:space="preserve"> </w:t>
      </w:r>
      <w:r w:rsidRPr="00C75420">
        <w:rPr>
          <w:rFonts w:eastAsiaTheme="minorEastAsia"/>
        </w:rPr>
        <w:t>As the wavevector component </w:t>
      </w:r>
      <m:oMath>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z</m:t>
            </m:r>
          </m:sub>
        </m:sSub>
      </m:oMath>
      <w:r w:rsidRPr="00C75420">
        <w:rPr>
          <w:rFonts w:eastAsiaTheme="minorEastAsia"/>
        </w:rPr>
        <w:t> decreases (moving from the </w:t>
      </w:r>
      <m:oMath>
        <m:r>
          <m:rPr>
            <m:sty m:val="p"/>
          </m:rPr>
          <w:rPr>
            <w:rFonts w:ascii="Cambria Math" w:eastAsiaTheme="minorEastAsia" w:hAnsi="Cambria Math"/>
          </w:rPr>
          <m:t>Γ</m:t>
        </m:r>
      </m:oMath>
      <w:r w:rsidRPr="00C75420">
        <w:rPr>
          <w:rFonts w:eastAsiaTheme="minorEastAsia"/>
        </w:rPr>
        <w:t>-point center towards the Brillouin zone edges), the distribution of solutions changes. Near the </w:t>
      </w:r>
      <m:oMath>
        <m:r>
          <w:rPr>
            <w:rFonts w:ascii="Cambria Math" w:eastAsiaTheme="minorEastAsia" w:hAnsi="Cambria Math"/>
          </w:rPr>
          <m:t>K</m:t>
        </m:r>
      </m:oMath>
      <w:r w:rsidRPr="00C75420">
        <w:rPr>
          <w:rFonts w:eastAsiaTheme="minorEastAsia"/>
        </w:rPr>
        <w:t>-points (vertices of the hexagon), multiple diffraction orders intersect. This leads to a high density of states where modes of different indices and wavelengths overlap significantly in momentum space (Supplementary Fig. 1</w:t>
      </w:r>
      <w:r w:rsidR="008E321C" w:rsidRPr="00C75420">
        <w:rPr>
          <w:rFonts w:eastAsiaTheme="minorEastAsia"/>
        </w:rPr>
        <w:t>4</w:t>
      </w:r>
      <w:r w:rsidRPr="00C75420">
        <w:rPr>
          <w:rFonts w:eastAsiaTheme="minorEastAsia"/>
        </w:rPr>
        <w:t>b, </w:t>
      </w:r>
      <m:oMath>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x</m:t>
            </m:r>
          </m:sub>
        </m:sSub>
      </m:oMath>
      <w:r w:rsidRPr="00C75420">
        <w:rPr>
          <w:rFonts w:eastAsiaTheme="minorEastAsia"/>
        </w:rPr>
        <w:t>-</w:t>
      </w:r>
      <m:oMath>
        <m:sSub>
          <m:sSubPr>
            <m:ctrlPr>
              <w:rPr>
                <w:rFonts w:ascii="Cambria Math" w:eastAsiaTheme="minorEastAsia" w:hAnsi="Cambria Math"/>
              </w:rPr>
            </m:ctrlPr>
          </m:sSubPr>
          <m:e>
            <m:r>
              <w:rPr>
                <w:rFonts w:ascii="Cambria Math" w:eastAsiaTheme="minorEastAsia" w:hAnsi="Cambria Math"/>
              </w:rPr>
              <m:t>k</m:t>
            </m:r>
          </m:e>
          <m:sub>
            <m:r>
              <w:rPr>
                <w:rFonts w:ascii="Cambria Math" w:eastAsiaTheme="minorEastAsia" w:hAnsi="Cambria Math"/>
              </w:rPr>
              <m:t>y</m:t>
            </m:r>
          </m:sub>
        </m:sSub>
      </m:oMath>
      <w:r w:rsidRPr="00C75420">
        <w:rPr>
          <w:rFonts w:eastAsiaTheme="minorEastAsia"/>
        </w:rPr>
        <w:t> projection).</w:t>
      </w:r>
    </w:p>
    <w:p w14:paraId="5168F99B" w14:textId="39F0C363" w:rsidR="001D51F1" w:rsidRDefault="001D51F1" w:rsidP="005C6645">
      <w:pPr>
        <w:spacing w:after="249"/>
        <w:ind w:firstLine="480"/>
        <w:rPr>
          <w:rFonts w:eastAsiaTheme="minorEastAsia"/>
        </w:rPr>
      </w:pPr>
      <w:r w:rsidRPr="001D51F1">
        <w:rPr>
          <w:rFonts w:eastAsiaTheme="minorEastAsia"/>
        </w:rPr>
        <w:t>While the momentum-space representation separates modes by wavevector, in real-space experiments (far-field projection), these modes overlap on the detector plane. The projection of these solutions reveals two distinct regimes:</w:t>
      </w:r>
      <w:r>
        <w:rPr>
          <w:rFonts w:eastAsiaTheme="minorEastAsia" w:hint="eastAsia"/>
        </w:rPr>
        <w:t xml:space="preserve"> </w:t>
      </w:r>
      <w:r w:rsidRPr="001D51F1">
        <w:rPr>
          <w:rFonts w:eastAsiaTheme="minorEastAsia"/>
        </w:rPr>
        <w:t>Along the </w:t>
      </w:r>
      <m:oMath>
        <m:r>
          <m:rPr>
            <m:sty m:val="p"/>
          </m:rPr>
          <w:rPr>
            <w:rFonts w:ascii="Cambria Math" w:eastAsiaTheme="minorEastAsia" w:hAnsi="Cambria Math"/>
          </w:rPr>
          <m:t>Γ</m:t>
        </m:r>
        <m:r>
          <w:rPr>
            <w:rFonts w:ascii="Cambria Math" w:eastAsiaTheme="minorEastAsia" w:hAnsi="Cambria Math"/>
          </w:rPr>
          <m:t>→K</m:t>
        </m:r>
      </m:oMath>
      <w:r w:rsidRPr="001D51F1">
        <w:rPr>
          <w:rFonts w:eastAsiaTheme="minorEastAsia"/>
        </w:rPr>
        <w:t> direction, the dispersion bands cross and degenerate. While this provides a high density of states, it leads to spectral crowding where multiple wavelengths can be emitted at the same angle, or conversely, a single wavelength can be emitted into multiple degenerate angles. This mode mixing complicates the isolation of a clean, single-mode lasing signal.</w:t>
      </w:r>
      <w:r>
        <w:rPr>
          <w:rFonts w:eastAsiaTheme="minorEastAsia" w:hint="eastAsia"/>
        </w:rPr>
        <w:t xml:space="preserve"> While for the edge-center a</w:t>
      </w:r>
      <w:r w:rsidRPr="001D51F1">
        <w:rPr>
          <w:rFonts w:eastAsiaTheme="minorEastAsia"/>
        </w:rPr>
        <w:t>long the </w:t>
      </w:r>
      <m:oMath>
        <m:r>
          <m:rPr>
            <m:sty m:val="p"/>
          </m:rPr>
          <w:rPr>
            <w:rFonts w:ascii="Cambria Math" w:eastAsiaTheme="minorEastAsia" w:hAnsi="Cambria Math"/>
          </w:rPr>
          <m:t>Γ</m:t>
        </m:r>
        <m:r>
          <w:rPr>
            <w:rFonts w:ascii="Cambria Math" w:eastAsiaTheme="minorEastAsia" w:hAnsi="Cambria Math"/>
          </w:rPr>
          <m:t>→M</m:t>
        </m:r>
      </m:oMath>
      <w:r w:rsidRPr="001D51F1">
        <w:rPr>
          <w:rFonts w:eastAsiaTheme="minorEastAsia"/>
        </w:rPr>
        <w:t xml:space="preserve"> direction </w:t>
      </w:r>
      <w:r w:rsidRPr="00C75420">
        <w:rPr>
          <w:rFonts w:eastAsiaTheme="minorEastAsia"/>
        </w:rPr>
        <w:t>(Supplementary Fig. 1</w:t>
      </w:r>
      <w:r w:rsidR="008E321C" w:rsidRPr="00C75420">
        <w:rPr>
          <w:rFonts w:eastAsiaTheme="minorEastAsia"/>
        </w:rPr>
        <w:t>4</w:t>
      </w:r>
      <w:r w:rsidRPr="00C75420">
        <w:rPr>
          <w:rFonts w:eastAsiaTheme="minorEastAsia"/>
        </w:rPr>
        <w:t>c,</w:t>
      </w:r>
      <w:r w:rsidR="00CD5DF4" w:rsidRPr="00C75420">
        <w:rPr>
          <w:rFonts w:eastAsiaTheme="minorEastAsia"/>
        </w:rPr>
        <w:t xml:space="preserve"> </w:t>
      </w:r>
      <w:r w:rsidRPr="00C75420">
        <w:rPr>
          <w:rFonts w:eastAsiaTheme="minorEastAsia"/>
        </w:rPr>
        <w:t>d), the</w:t>
      </w:r>
      <w:r w:rsidRPr="001D51F1">
        <w:rPr>
          <w:rFonts w:eastAsiaTheme="minorEastAsia"/>
        </w:rPr>
        <w:t xml:space="preserve"> dispersion branches are widely separated and non-degenerate. In this direction, there is a strict one-to-one mapping between the emission polar angle </w:t>
      </w:r>
      <m:oMath>
        <m:r>
          <w:rPr>
            <w:rFonts w:ascii="Cambria Math" w:eastAsiaTheme="minorEastAsia" w:hAnsi="Cambria Math"/>
          </w:rPr>
          <m:t>θ</m:t>
        </m:r>
      </m:oMath>
      <w:r w:rsidRPr="001D51F1">
        <w:rPr>
          <w:rFonts w:eastAsiaTheme="minorEastAsia"/>
        </w:rPr>
        <w:t> and the resonant wavelength </w:t>
      </w:r>
      <m:oMath>
        <m:r>
          <w:rPr>
            <w:rFonts w:ascii="Cambria Math" w:eastAsiaTheme="minorEastAsia" w:hAnsi="Cambria Math"/>
          </w:rPr>
          <m:t>λ</m:t>
        </m:r>
      </m:oMath>
      <w:r w:rsidRPr="001D51F1">
        <w:rPr>
          <w:rFonts w:eastAsiaTheme="minorEastAsia"/>
        </w:rPr>
        <w:t>. Specifically, for a fixed azimuthal orientation (</w:t>
      </w:r>
      <m:oMath>
        <m:r>
          <w:rPr>
            <w:rFonts w:ascii="Cambria Math" w:eastAsiaTheme="minorEastAsia" w:hAnsi="Cambria Math"/>
          </w:rPr>
          <m:t>ϕ=</m:t>
        </m:r>
        <m:sSup>
          <m:sSupPr>
            <m:ctrlPr>
              <w:rPr>
                <w:rFonts w:ascii="Cambria Math" w:eastAsiaTheme="minorEastAsia" w:hAnsi="Cambria Math"/>
              </w:rPr>
            </m:ctrlPr>
          </m:sSupPr>
          <m:e>
            <m:r>
              <w:rPr>
                <w:rFonts w:ascii="Cambria Math" w:eastAsiaTheme="minorEastAsia" w:hAnsi="Cambria Math"/>
              </w:rPr>
              <m:t>0</m:t>
            </m:r>
          </m:e>
          <m:sup>
            <m:r>
              <w:rPr>
                <w:rFonts w:ascii="Cambria Math" w:eastAsiaTheme="minorEastAsia" w:hAnsi="Cambria Math"/>
              </w:rPr>
              <m:t>∘</m:t>
            </m:r>
          </m:sup>
        </m:sSup>
      </m:oMath>
      <w:r w:rsidRPr="001D51F1">
        <w:rPr>
          <w:rFonts w:eastAsiaTheme="minorEastAsia"/>
        </w:rPr>
        <w:t> or equivalent), </w:t>
      </w:r>
      <m:oMath>
        <m:func>
          <m:funcPr>
            <m:ctrlPr>
              <w:rPr>
                <w:rFonts w:ascii="Cambria Math" w:eastAsiaTheme="minorEastAsia" w:hAnsi="Cambria Math"/>
              </w:rPr>
            </m:ctrlPr>
          </m:funcPr>
          <m:fName>
            <m:r>
              <m:rPr>
                <m:sty m:val="p"/>
              </m:rPr>
              <w:rPr>
                <w:rFonts w:ascii="Cambria Math" w:eastAsiaTheme="minorEastAsia" w:hAnsi="Cambria Math"/>
              </w:rPr>
              <m:t>sin</m:t>
            </m:r>
          </m:fName>
          <m:e>
            <m:r>
              <w:rPr>
                <w:rFonts w:ascii="Cambria Math" w:eastAsiaTheme="minorEastAsia" w:hAnsi="Cambria Math"/>
              </w:rPr>
              <m:t>θ</m:t>
            </m:r>
          </m:e>
        </m:func>
      </m:oMath>
      <w:r w:rsidRPr="001D51F1">
        <w:rPr>
          <w:rFonts w:eastAsiaTheme="minorEastAsia"/>
        </w:rPr>
        <w:t> scales linearly with </w:t>
      </w:r>
      <m:oMath>
        <m:r>
          <w:rPr>
            <w:rFonts w:ascii="Cambria Math" w:eastAsiaTheme="minorEastAsia" w:hAnsi="Cambria Math"/>
          </w:rPr>
          <m:t>λ</m:t>
        </m:r>
      </m:oMath>
      <w:r w:rsidRPr="001D51F1">
        <w:rPr>
          <w:rFonts w:eastAsiaTheme="minorEastAsia"/>
        </w:rPr>
        <w:t xml:space="preserve"> over small angular </w:t>
      </w:r>
      <w:r w:rsidRPr="001D51F1">
        <w:rPr>
          <w:rFonts w:eastAsiaTheme="minorEastAsia"/>
        </w:rPr>
        <w:lastRenderedPageBreak/>
        <w:t>ranges.</w:t>
      </w:r>
    </w:p>
    <w:p w14:paraId="777DF26D" w14:textId="1C7D3890" w:rsidR="001D51F1" w:rsidRPr="001D51F1" w:rsidRDefault="001D51F1" w:rsidP="005C6645">
      <w:pPr>
        <w:spacing w:after="249"/>
        <w:ind w:firstLine="480"/>
        <w:rPr>
          <w:rFonts w:eastAsiaTheme="minorEastAsia"/>
        </w:rPr>
      </w:pPr>
      <w:r w:rsidRPr="001D51F1">
        <w:rPr>
          <w:rFonts w:eastAsiaTheme="minorEastAsia"/>
        </w:rPr>
        <w:t>This analysis underpins our experimental design. By aligning our detection optics along the </w:t>
      </w:r>
      <m:oMath>
        <m:r>
          <m:rPr>
            <m:sty m:val="p"/>
          </m:rPr>
          <w:rPr>
            <w:rFonts w:ascii="Cambria Math" w:eastAsiaTheme="minorEastAsia" w:hAnsi="Cambria Math"/>
          </w:rPr>
          <m:t>Γ</m:t>
        </m:r>
        <m:r>
          <w:rPr>
            <w:rFonts w:ascii="Cambria Math" w:eastAsiaTheme="minorEastAsia" w:hAnsi="Cambria Math"/>
          </w:rPr>
          <m:t>→M</m:t>
        </m:r>
      </m:oMath>
      <w:r w:rsidRPr="001D51F1">
        <w:rPr>
          <w:rFonts w:eastAsiaTheme="minorEastAsia"/>
        </w:rPr>
        <w:t> direction, we exploit this linear dispersion to achieve the continuous, mode-hop-free tunability demonstrated in</w:t>
      </w:r>
      <w:r w:rsidRPr="00C75420">
        <w:rPr>
          <w:rFonts w:eastAsiaTheme="minorEastAsia"/>
        </w:rPr>
        <w:t> </w:t>
      </w:r>
      <w:r w:rsidRPr="00882693">
        <w:rPr>
          <w:rFonts w:eastAsiaTheme="minorEastAsia"/>
        </w:rPr>
        <w:t xml:space="preserve">Fig. </w:t>
      </w:r>
      <w:r w:rsidR="008E321C" w:rsidRPr="00882693">
        <w:rPr>
          <w:rFonts w:eastAsiaTheme="minorEastAsia"/>
        </w:rPr>
        <w:t>5</w:t>
      </w:r>
      <w:r w:rsidRPr="00882693">
        <w:rPr>
          <w:rFonts w:eastAsiaTheme="minorEastAsia"/>
        </w:rPr>
        <w:t>d of</w:t>
      </w:r>
      <w:r w:rsidRPr="001D51F1">
        <w:rPr>
          <w:rFonts w:eastAsiaTheme="minorEastAsia"/>
        </w:rPr>
        <w:t xml:space="preserve"> the main text. This avoids the spectral cross-talk inherent to the </w:t>
      </w:r>
      <m:oMath>
        <m:r>
          <w:rPr>
            <w:rFonts w:ascii="Cambria Math" w:eastAsiaTheme="minorEastAsia" w:hAnsi="Cambria Math"/>
          </w:rPr>
          <m:t>K</m:t>
        </m:r>
      </m:oMath>
      <w:r w:rsidRPr="001D51F1">
        <w:rPr>
          <w:rFonts w:eastAsiaTheme="minorEastAsia"/>
        </w:rPr>
        <w:t>-point degeneracies and ensures a clean, single-wavelength output for every selected angle.</w:t>
      </w:r>
    </w:p>
    <w:p w14:paraId="5A4D7511" w14:textId="337301C6" w:rsidR="00583844" w:rsidRPr="001D51F1" w:rsidRDefault="00583844" w:rsidP="00583844">
      <w:pPr>
        <w:spacing w:after="249"/>
        <w:ind w:firstLine="480"/>
        <w:rPr>
          <w:rFonts w:asciiTheme="minorEastAsia" w:hAnsiTheme="minorEastAsia"/>
        </w:rPr>
      </w:pPr>
    </w:p>
    <w:p w14:paraId="3CA0F2A7" w14:textId="736F40CB" w:rsidR="00F12C97" w:rsidRPr="00583844" w:rsidRDefault="00F12C97" w:rsidP="00034BEE">
      <w:pPr>
        <w:spacing w:after="249"/>
        <w:ind w:firstLine="402"/>
        <w:rPr>
          <w:rFonts w:cs="Times New Roman"/>
          <w:b/>
          <w:bCs/>
          <w:sz w:val="20"/>
          <w:szCs w:val="20"/>
        </w:rPr>
      </w:pPr>
    </w:p>
    <w:tbl>
      <w:tblPr>
        <w:tblStyle w:val="a3"/>
        <w:tblpPr w:leftFromText="180" w:rightFromText="180" w:vertAnchor="text" w:horzAnchor="margin" w:tblpXSpec="center" w:tblpY="-30"/>
        <w:tblW w:w="0" w:type="auto"/>
        <w:jc w:val="center"/>
        <w:tblBorders>
          <w:top w:val="none" w:sz="0" w:space="0" w:color="auto"/>
          <w:left w:val="none" w:sz="0" w:space="0" w:color="auto"/>
          <w:bottom w:val="none" w:sz="0" w:space="0" w:color="auto"/>
          <w:right w:val="none" w:sz="0" w:space="0" w:color="auto"/>
          <w:insideH w:val="dashed" w:sz="4" w:space="0" w:color="auto"/>
          <w:insideV w:val="dashed" w:sz="4" w:space="0" w:color="auto"/>
        </w:tblBorders>
        <w:tblLayout w:type="fixed"/>
        <w:tblLook w:val="04A0" w:firstRow="1" w:lastRow="0" w:firstColumn="1" w:lastColumn="0" w:noHBand="0" w:noVBand="1"/>
      </w:tblPr>
      <w:tblGrid>
        <w:gridCol w:w="567"/>
        <w:gridCol w:w="3911"/>
        <w:gridCol w:w="3823"/>
      </w:tblGrid>
      <w:tr w:rsidR="00615033" w14:paraId="637000EB" w14:textId="77777777" w:rsidTr="00D61E75">
        <w:trPr>
          <w:cantSplit/>
          <w:trHeight w:val="416"/>
          <w:jc w:val="center"/>
        </w:trPr>
        <w:tc>
          <w:tcPr>
            <w:tcW w:w="567" w:type="dxa"/>
            <w:textDirection w:val="tbRlV"/>
            <w:vAlign w:val="center"/>
          </w:tcPr>
          <w:p w14:paraId="0F191DFB" w14:textId="77777777" w:rsidR="00615033" w:rsidRDefault="00615033" w:rsidP="00DE724D">
            <w:pPr>
              <w:pStyle w:val="ab"/>
            </w:pPr>
          </w:p>
        </w:tc>
        <w:tc>
          <w:tcPr>
            <w:tcW w:w="3911" w:type="dxa"/>
            <w:vAlign w:val="center"/>
          </w:tcPr>
          <w:p w14:paraId="519FCC65" w14:textId="77777777" w:rsidR="00615033" w:rsidRPr="00DD3D10" w:rsidRDefault="00615033" w:rsidP="00DE724D">
            <w:pPr>
              <w:pStyle w:val="ab"/>
              <w:jc w:val="center"/>
              <w:rPr>
                <w:rFonts w:eastAsia="Arial Unicode MS" w:cs="Times New Roman"/>
                <w:sz w:val="18"/>
                <w:szCs w:val="20"/>
              </w:rPr>
            </w:pPr>
            <w:r w:rsidRPr="00DD3D10">
              <w:rPr>
                <w:rFonts w:eastAsia="Arial Unicode MS" w:cs="Times New Roman"/>
                <w:sz w:val="18"/>
                <w:szCs w:val="20"/>
              </w:rPr>
              <w:t>3D</w:t>
            </w:r>
          </w:p>
        </w:tc>
        <w:tc>
          <w:tcPr>
            <w:tcW w:w="3823" w:type="dxa"/>
            <w:vAlign w:val="center"/>
          </w:tcPr>
          <w:p w14:paraId="7A7130F4" w14:textId="77777777" w:rsidR="00615033" w:rsidRPr="00DD3D10" w:rsidRDefault="00615033" w:rsidP="00DE724D">
            <w:pPr>
              <w:pStyle w:val="ab"/>
              <w:jc w:val="center"/>
              <w:rPr>
                <w:rFonts w:eastAsia="Arial Unicode MS" w:cs="Times New Roman"/>
                <w:sz w:val="18"/>
                <w:szCs w:val="20"/>
              </w:rPr>
            </w:pPr>
            <w:r w:rsidRPr="00DD3D10">
              <w:rPr>
                <w:rFonts w:eastAsia="Arial Unicode MS" w:cs="Times New Roman"/>
                <w:sz w:val="18"/>
                <w:szCs w:val="20"/>
              </w:rPr>
              <w:t>2D</w:t>
            </w:r>
          </w:p>
        </w:tc>
      </w:tr>
      <w:tr w:rsidR="00D61E75" w14:paraId="2CBCBE69" w14:textId="77777777" w:rsidTr="00D61E75">
        <w:trPr>
          <w:cantSplit/>
          <w:trHeight w:val="1134"/>
          <w:jc w:val="center"/>
        </w:trPr>
        <w:tc>
          <w:tcPr>
            <w:tcW w:w="567" w:type="dxa"/>
            <w:textDirection w:val="tbRlV"/>
            <w:vAlign w:val="center"/>
          </w:tcPr>
          <w:p w14:paraId="5AE01003" w14:textId="77777777" w:rsidR="00615033" w:rsidRPr="00DD3D10" w:rsidRDefault="00615033" w:rsidP="00DE724D">
            <w:pPr>
              <w:pStyle w:val="ab"/>
              <w:jc w:val="center"/>
              <w:rPr>
                <w:rFonts w:cs="Times New Roman"/>
                <w:noProof/>
                <w:sz w:val="18"/>
                <w:szCs w:val="18"/>
              </w:rPr>
            </w:pPr>
            <w:r w:rsidRPr="00DD3D10">
              <w:rPr>
                <w:rFonts w:eastAsia="Arial Unicode MS" w:cs="Times New Roman"/>
                <w:noProof/>
                <w:sz w:val="18"/>
                <w:szCs w:val="18"/>
              </w:rPr>
              <w:t>SPP mapping in k-space</w:t>
            </w:r>
          </w:p>
        </w:tc>
        <w:tc>
          <w:tcPr>
            <w:tcW w:w="3911" w:type="dxa"/>
            <w:vAlign w:val="center"/>
          </w:tcPr>
          <w:p w14:paraId="60D3185B" w14:textId="464580F7" w:rsidR="00615033" w:rsidRDefault="00000000" w:rsidP="00DE724D">
            <w:pPr>
              <w:pStyle w:val="ab"/>
              <w:jc w:val="center"/>
            </w:pPr>
            <m:oMathPara>
              <m:oMath>
                <m:sSub>
                  <m:sSubPr>
                    <m:ctrlPr>
                      <w:rPr>
                        <w:rFonts w:ascii="Cambria Math" w:hAnsi="Cambria Math" w:cs="Times New Roman"/>
                        <w:b/>
                        <w:i/>
                        <w:iCs/>
                        <w:noProof/>
                        <w:szCs w:val="21"/>
                      </w:rPr>
                    </m:ctrlPr>
                  </m:sSubPr>
                  <m:e>
                    <m:r>
                      <m:rPr>
                        <m:sty m:val="b"/>
                      </m:rPr>
                      <w:rPr>
                        <w:rFonts w:ascii="Cambria Math" w:hAnsi="Cambria Math" w:cs="Times New Roman"/>
                        <w:noProof/>
                        <w:szCs w:val="21"/>
                      </w:rPr>
                      <m:t>a</m:t>
                    </m:r>
                  </m:e>
                  <m:sub>
                    <m:r>
                      <m:rPr>
                        <m:sty m:val="p"/>
                      </m:rPr>
                      <w:rPr>
                        <w:rFonts w:ascii="Cambria Math" w:hAnsi="Cambria Math"/>
                        <w:noProof/>
                        <w:szCs w:val="21"/>
                      </w:rPr>
                      <w:drawing>
                        <wp:inline distT="0" distB="0" distL="0" distR="0" wp14:anchorId="72FBEB92" wp14:editId="4589221F">
                          <wp:extent cx="2250581" cy="2052000"/>
                          <wp:effectExtent l="0" t="0" r="0" b="571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50581" cy="2052000"/>
                                  </a:xfrm>
                                  <a:prstGeom prst="rect">
                                    <a:avLst/>
                                  </a:prstGeom>
                                  <a:noFill/>
                                  <a:ln>
                                    <a:noFill/>
                                  </a:ln>
                                </pic:spPr>
                              </pic:pic>
                            </a:graphicData>
                          </a:graphic>
                        </wp:inline>
                      </w:drawing>
                    </m:r>
                  </m:sub>
                </m:sSub>
              </m:oMath>
            </m:oMathPara>
          </w:p>
        </w:tc>
        <w:tc>
          <w:tcPr>
            <w:tcW w:w="3823" w:type="dxa"/>
            <w:vAlign w:val="center"/>
          </w:tcPr>
          <w:p w14:paraId="1D5A5006" w14:textId="69C04E7C" w:rsidR="00615033" w:rsidRDefault="00000000" w:rsidP="00DE724D">
            <w:pPr>
              <w:pStyle w:val="ab"/>
              <w:jc w:val="center"/>
            </w:pPr>
            <m:oMathPara>
              <m:oMath>
                <m:sSub>
                  <m:sSubPr>
                    <m:ctrlPr>
                      <w:rPr>
                        <w:rFonts w:ascii="Cambria Math" w:hAnsi="Cambria Math"/>
                        <w:b/>
                        <w:i/>
                        <w:iCs/>
                      </w:rPr>
                    </m:ctrlPr>
                  </m:sSubPr>
                  <m:e>
                    <m:r>
                      <m:rPr>
                        <m:sty m:val="b"/>
                      </m:rPr>
                      <w:rPr>
                        <w:rFonts w:ascii="Cambria Math" w:hAnsi="Cambria Math"/>
                      </w:rPr>
                      <m:t>b</m:t>
                    </m:r>
                  </m:e>
                  <m:sub>
                    <m:r>
                      <m:rPr>
                        <m:sty m:val="p"/>
                      </m:rPr>
                      <w:rPr>
                        <w:rFonts w:ascii="Cambria Math" w:hAnsi="Cambria Math"/>
                        <w:noProof/>
                      </w:rPr>
                      <w:drawing>
                        <wp:inline distT="0" distB="0" distL="0" distR="0" wp14:anchorId="3E2F654F" wp14:editId="3B4E6642">
                          <wp:extent cx="1998548" cy="1980000"/>
                          <wp:effectExtent l="0" t="0" r="1905" b="127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98548" cy="1980000"/>
                                  </a:xfrm>
                                  <a:prstGeom prst="rect">
                                    <a:avLst/>
                                  </a:prstGeom>
                                  <a:noFill/>
                                  <a:ln>
                                    <a:noFill/>
                                  </a:ln>
                                </pic:spPr>
                              </pic:pic>
                            </a:graphicData>
                          </a:graphic>
                        </wp:inline>
                      </w:drawing>
                    </m:r>
                  </m:sub>
                </m:sSub>
              </m:oMath>
            </m:oMathPara>
          </w:p>
        </w:tc>
      </w:tr>
      <w:tr w:rsidR="00034BEE" w14:paraId="03A67225" w14:textId="77777777" w:rsidTr="00034BEE">
        <w:trPr>
          <w:cantSplit/>
          <w:trHeight w:val="1134"/>
          <w:jc w:val="center"/>
        </w:trPr>
        <w:tc>
          <w:tcPr>
            <w:tcW w:w="567" w:type="dxa"/>
            <w:tcBorders>
              <w:bottom w:val="nil"/>
            </w:tcBorders>
            <w:textDirection w:val="tbRlV"/>
            <w:vAlign w:val="center"/>
          </w:tcPr>
          <w:p w14:paraId="5FE19FE1" w14:textId="77777777" w:rsidR="00615033" w:rsidRPr="00DD3D10" w:rsidRDefault="00615033" w:rsidP="00DE724D">
            <w:pPr>
              <w:pStyle w:val="ab"/>
              <w:jc w:val="center"/>
              <w:rPr>
                <w:rFonts w:cs="Times New Roman"/>
                <w:noProof/>
                <w:sz w:val="18"/>
                <w:szCs w:val="18"/>
              </w:rPr>
            </w:pPr>
            <w:r w:rsidRPr="00DD3D10">
              <w:rPr>
                <w:rFonts w:eastAsia="Arial Unicode MS" w:cs="Times New Roman"/>
                <w:noProof/>
                <w:sz w:val="18"/>
                <w:szCs w:val="18"/>
              </w:rPr>
              <w:t>Far-field pattern in real-space</w:t>
            </w:r>
          </w:p>
        </w:tc>
        <w:tc>
          <w:tcPr>
            <w:tcW w:w="3911" w:type="dxa"/>
            <w:tcBorders>
              <w:bottom w:val="nil"/>
            </w:tcBorders>
            <w:vAlign w:val="center"/>
          </w:tcPr>
          <w:p w14:paraId="6DBF5D7E" w14:textId="58803096" w:rsidR="00615033" w:rsidRDefault="00000000" w:rsidP="00DE724D">
            <w:pPr>
              <w:pStyle w:val="ab"/>
              <w:jc w:val="center"/>
            </w:pPr>
            <m:oMathPara>
              <m:oMath>
                <m:sSub>
                  <m:sSubPr>
                    <m:ctrlPr>
                      <w:rPr>
                        <w:rFonts w:ascii="Cambria Math" w:hAnsi="Cambria Math"/>
                        <w:b/>
                        <w:i/>
                        <w:iCs/>
                      </w:rPr>
                    </m:ctrlPr>
                  </m:sSubPr>
                  <m:e>
                    <m:r>
                      <m:rPr>
                        <m:sty m:val="b"/>
                      </m:rPr>
                      <w:rPr>
                        <w:rFonts w:ascii="Cambria Math" w:hAnsi="Cambria Math"/>
                      </w:rPr>
                      <m:t>c</m:t>
                    </m:r>
                  </m:e>
                  <m:sub>
                    <m:r>
                      <m:rPr>
                        <m:sty m:val="p"/>
                      </m:rPr>
                      <w:rPr>
                        <w:rFonts w:ascii="Cambria Math" w:hAnsi="Cambria Math"/>
                        <w:noProof/>
                      </w:rPr>
                      <w:drawing>
                        <wp:inline distT="0" distB="0" distL="0" distR="0" wp14:anchorId="3BFF50A9" wp14:editId="4CC62DA6">
                          <wp:extent cx="2072308" cy="1980000"/>
                          <wp:effectExtent l="0" t="0" r="4445" b="127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072308" cy="1980000"/>
                                  </a:xfrm>
                                  <a:prstGeom prst="rect">
                                    <a:avLst/>
                                  </a:prstGeom>
                                  <a:noFill/>
                                  <a:ln>
                                    <a:noFill/>
                                  </a:ln>
                                </pic:spPr>
                              </pic:pic>
                            </a:graphicData>
                          </a:graphic>
                        </wp:inline>
                      </w:drawing>
                    </m:r>
                  </m:sub>
                </m:sSub>
              </m:oMath>
            </m:oMathPara>
          </w:p>
        </w:tc>
        <w:tc>
          <w:tcPr>
            <w:tcW w:w="3823" w:type="dxa"/>
            <w:tcBorders>
              <w:bottom w:val="nil"/>
            </w:tcBorders>
            <w:vAlign w:val="center"/>
          </w:tcPr>
          <w:p w14:paraId="6172940C" w14:textId="268DD644" w:rsidR="00615033" w:rsidRPr="00096CA5" w:rsidRDefault="00000000" w:rsidP="00DE724D">
            <w:pPr>
              <w:pStyle w:val="ab"/>
              <w:jc w:val="center"/>
            </w:pPr>
            <m:oMathPara>
              <m:oMathParaPr>
                <m:jc m:val="left"/>
              </m:oMathParaPr>
              <m:oMath>
                <m:sSub>
                  <m:sSubPr>
                    <m:ctrlPr>
                      <w:rPr>
                        <w:rFonts w:ascii="Cambria Math" w:hAnsi="Cambria Math"/>
                        <w:b/>
                        <w:i/>
                        <w:iCs/>
                      </w:rPr>
                    </m:ctrlPr>
                  </m:sSubPr>
                  <m:e>
                    <m:eqArr>
                      <m:eqArrPr>
                        <m:ctrlPr>
                          <w:rPr>
                            <w:rFonts w:ascii="Cambria Math" w:hAnsi="Cambria Math"/>
                            <w:b/>
                            <w:i/>
                            <w:iCs/>
                          </w:rPr>
                        </m:ctrlPr>
                      </m:eqArrPr>
                      <m:e>
                        <m:r>
                          <m:rPr>
                            <m:sty m:val="b"/>
                          </m:rPr>
                          <w:rPr>
                            <w:rFonts w:ascii="Cambria Math" w:hAnsi="Cambria Math"/>
                          </w:rPr>
                          <m:t>d</m:t>
                        </m:r>
                      </m:e>
                      <m:e>
                        <m:ctrlPr>
                          <w:rPr>
                            <w:rFonts w:ascii="Cambria Math" w:eastAsia="Cambria Math" w:hAnsi="Cambria Math" w:cs="Cambria Math"/>
                            <w:b/>
                            <w:i/>
                            <w:iCs/>
                          </w:rPr>
                        </m:ctrlPr>
                      </m:e>
                      <m:e>
                        <m:ctrlPr>
                          <w:rPr>
                            <w:rFonts w:ascii="Cambria Math" w:eastAsia="Cambria Math" w:hAnsi="Cambria Math" w:cs="Cambria Math"/>
                            <w:b/>
                            <w:i/>
                            <w:iCs/>
                          </w:rPr>
                        </m:ctrlPr>
                      </m:e>
                      <m:e/>
                    </m:eqArr>
                  </m:e>
                  <m:sub>
                    <m:eqArr>
                      <m:eqArrPr>
                        <m:ctrlPr>
                          <w:rPr>
                            <w:rFonts w:ascii="Cambria Math" w:hAnsi="Cambria Math"/>
                            <w:b/>
                            <w:i/>
                            <w:iCs/>
                          </w:rPr>
                        </m:ctrlPr>
                      </m:eqArrPr>
                      <m:e>
                        <m:r>
                          <m:rPr>
                            <m:sty m:val="p"/>
                          </m:rPr>
                          <w:rPr>
                            <w:rFonts w:ascii="Cambria Math" w:hAnsi="Cambria Math"/>
                            <w:noProof/>
                          </w:rPr>
                          <w:drawing>
                            <wp:inline distT="0" distB="0" distL="0" distR="0" wp14:anchorId="70362820" wp14:editId="1F42E76B">
                              <wp:extent cx="2058730" cy="1476282"/>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63401" cy="1479631"/>
                                      </a:xfrm>
                                      <a:prstGeom prst="rect">
                                        <a:avLst/>
                                      </a:prstGeom>
                                      <a:noFill/>
                                      <a:ln>
                                        <a:noFill/>
                                      </a:ln>
                                    </pic:spPr>
                                  </pic:pic>
                                </a:graphicData>
                              </a:graphic>
                            </wp:inline>
                          </w:drawing>
                        </m:r>
                      </m:e>
                      <m:e>
                        <m:ctrlPr>
                          <w:rPr>
                            <w:rFonts w:ascii="Cambria Math" w:eastAsia="Cambria Math" w:hAnsi="Cambria Math" w:cs="Cambria Math"/>
                            <w:b/>
                            <w:i/>
                            <w:iCs/>
                          </w:rPr>
                        </m:ctrlPr>
                      </m:e>
                      <m:e>
                        <m:ctrlPr>
                          <w:rPr>
                            <w:rFonts w:ascii="Cambria Math" w:eastAsia="Cambria Math" w:hAnsi="Cambria Math" w:cs="Cambria Math"/>
                            <w:b/>
                            <w:i/>
                            <w:iCs/>
                          </w:rPr>
                        </m:ctrlPr>
                      </m:e>
                      <m:e/>
                    </m:eqArr>
                  </m:sub>
                </m:sSub>
              </m:oMath>
            </m:oMathPara>
          </w:p>
        </w:tc>
      </w:tr>
      <w:tr w:rsidR="00615033" w14:paraId="35075C17" w14:textId="77777777" w:rsidTr="00034BEE">
        <w:trPr>
          <w:cantSplit/>
          <w:trHeight w:val="299"/>
          <w:jc w:val="center"/>
        </w:trPr>
        <w:tc>
          <w:tcPr>
            <w:tcW w:w="567" w:type="dxa"/>
            <w:tcBorders>
              <w:top w:val="nil"/>
              <w:bottom w:val="nil"/>
              <w:right w:val="nil"/>
            </w:tcBorders>
            <w:textDirection w:val="tbRlV"/>
            <w:vAlign w:val="center"/>
          </w:tcPr>
          <w:p w14:paraId="2375AA7E" w14:textId="77777777" w:rsidR="00615033" w:rsidRPr="00AE683B" w:rsidRDefault="00615033" w:rsidP="00DE724D">
            <w:pPr>
              <w:pStyle w:val="ab"/>
              <w:rPr>
                <w:rFonts w:eastAsia="Arial Unicode MS" w:cs="Times New Roman"/>
                <w:noProof/>
                <w:sz w:val="20"/>
                <w:szCs w:val="20"/>
              </w:rPr>
            </w:pPr>
          </w:p>
        </w:tc>
        <w:tc>
          <w:tcPr>
            <w:tcW w:w="7734" w:type="dxa"/>
            <w:gridSpan w:val="2"/>
            <w:tcBorders>
              <w:top w:val="nil"/>
              <w:left w:val="nil"/>
              <w:bottom w:val="nil"/>
            </w:tcBorders>
            <w:vAlign w:val="center"/>
          </w:tcPr>
          <w:p w14:paraId="741A6E53" w14:textId="4B526B56" w:rsidR="00615033" w:rsidRDefault="00034BEE" w:rsidP="00B43464">
            <w:pPr>
              <w:pStyle w:val="ab"/>
              <w:jc w:val="center"/>
              <w:rPr>
                <w:noProof/>
              </w:rPr>
            </w:pPr>
            <w:r w:rsidRPr="00B0122F">
              <w:rPr>
                <w:noProof/>
              </w:rPr>
              <w:drawing>
                <wp:inline distT="0" distB="0" distL="0" distR="0" wp14:anchorId="33EC9D48" wp14:editId="175AA13C">
                  <wp:extent cx="3167930" cy="18720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27">
                            <a:extLst>
                              <a:ext uri="{28A0092B-C50C-407E-A947-70E740481C1C}">
                                <a14:useLocalDpi xmlns:a14="http://schemas.microsoft.com/office/drawing/2010/main" val="0"/>
                              </a:ext>
                            </a:extLst>
                          </a:blip>
                          <a:srcRect r="9287"/>
                          <a:stretch/>
                        </pic:blipFill>
                        <pic:spPr bwMode="auto">
                          <a:xfrm>
                            <a:off x="0" y="0"/>
                            <a:ext cx="3167930" cy="1872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34BEE" w14:paraId="590695AF" w14:textId="77777777" w:rsidTr="00034BEE">
        <w:trPr>
          <w:cantSplit/>
          <w:trHeight w:val="299"/>
          <w:jc w:val="center"/>
        </w:trPr>
        <w:tc>
          <w:tcPr>
            <w:tcW w:w="8301" w:type="dxa"/>
            <w:gridSpan w:val="3"/>
            <w:tcBorders>
              <w:top w:val="nil"/>
              <w:bottom w:val="nil"/>
            </w:tcBorders>
            <w:vAlign w:val="center"/>
          </w:tcPr>
          <w:p w14:paraId="1FDF6A88" w14:textId="53D3E723" w:rsidR="00157001" w:rsidRPr="00157001" w:rsidRDefault="00B43464" w:rsidP="00DE724D">
            <w:pPr>
              <w:pStyle w:val="ab"/>
              <w:rPr>
                <w:rFonts w:asciiTheme="minorEastAsia" w:eastAsiaTheme="minorEastAsia" w:hAnsiTheme="minorEastAsia"/>
                <w:sz w:val="18"/>
                <w:szCs w:val="18"/>
              </w:rPr>
            </w:pPr>
            <w:r w:rsidRPr="00DE724D">
              <w:rPr>
                <w:b/>
                <w:bCs/>
              </w:rPr>
              <w:t xml:space="preserve">Supplementary Figure </w:t>
            </w:r>
            <w:r w:rsidRPr="00DE724D">
              <w:rPr>
                <w:rFonts w:eastAsiaTheme="minorEastAsia"/>
                <w:b/>
                <w:bCs/>
              </w:rPr>
              <w:t>1</w:t>
            </w:r>
            <w:r w:rsidR="00C42CD7">
              <w:rPr>
                <w:rFonts w:eastAsiaTheme="minorEastAsia"/>
                <w:b/>
                <w:bCs/>
              </w:rPr>
              <w:t>4</w:t>
            </w:r>
            <w:r w:rsidRPr="00DE724D">
              <w:rPr>
                <w:b/>
                <w:bCs/>
              </w:rPr>
              <w:t xml:space="preserve"> </w:t>
            </w:r>
            <w:r w:rsidRPr="00DE724D">
              <w:rPr>
                <w:rFonts w:eastAsiaTheme="minorEastAsia"/>
                <w:b/>
                <w:bCs/>
              </w:rPr>
              <w:t>|</w:t>
            </w:r>
            <w:r w:rsidRPr="00DE724D">
              <w:rPr>
                <w:b/>
                <w:bCs/>
              </w:rPr>
              <w:t xml:space="preserve"> </w:t>
            </w:r>
            <w:r w:rsidR="001D51F1" w:rsidRPr="001D51F1">
              <w:rPr>
                <w:rFonts w:eastAsia="宋体"/>
                <w:b/>
                <w:bCs/>
              </w:rPr>
              <w:t>Theoretical emission topology.</w:t>
            </w:r>
            <w:r w:rsidR="001D51F1" w:rsidRPr="001D51F1">
              <w:rPr>
                <w:rFonts w:eastAsia="宋体"/>
              </w:rPr>
              <w:t> </w:t>
            </w:r>
            <w:r w:rsidR="001D51F1" w:rsidRPr="001D51F1">
              <w:rPr>
                <w:rFonts w:eastAsia="宋体"/>
                <w:b/>
                <w:bCs/>
              </w:rPr>
              <w:t>a,</w:t>
            </w:r>
            <w:r w:rsidR="001D51F1" w:rsidRPr="001D51F1">
              <w:rPr>
                <w:rFonts w:eastAsia="宋体"/>
              </w:rPr>
              <w:t xml:space="preserve"> Calculated </w:t>
            </w:r>
            <w:proofErr w:type="spellStart"/>
            <w:r w:rsidR="001D51F1" w:rsidRPr="001D51F1">
              <w:rPr>
                <w:rFonts w:eastAsia="宋体"/>
              </w:rPr>
              <w:t>isofrequency</w:t>
            </w:r>
            <w:proofErr w:type="spellEnd"/>
            <w:r w:rsidR="001D51F1" w:rsidRPr="001D51F1">
              <w:rPr>
                <w:rFonts w:eastAsia="宋体"/>
              </w:rPr>
              <w:t xml:space="preserve"> contours in 3D momentum space for the Bloch SPP modes within the gain bandwidth. The surfaces represent the allowed </w:t>
            </w:r>
            <m:oMath>
              <m:r>
                <m:rPr>
                  <m:sty m:val="bi"/>
                </m:rPr>
                <w:rPr>
                  <w:rFonts w:ascii="Cambria Math" w:eastAsia="宋体" w:hAnsi="Cambria Math"/>
                </w:rPr>
                <m:t>k</m:t>
              </m:r>
            </m:oMath>
            <w:r w:rsidR="001D51F1" w:rsidRPr="001D51F1">
              <w:rPr>
                <w:rFonts w:eastAsia="宋体"/>
              </w:rPr>
              <w:t>-vectors for emission. </w:t>
            </w:r>
            <w:r w:rsidR="001D51F1" w:rsidRPr="001D51F1">
              <w:rPr>
                <w:rFonts w:eastAsia="宋体"/>
                <w:b/>
                <w:bCs/>
              </w:rPr>
              <w:t>b,</w:t>
            </w:r>
            <w:r w:rsidR="001D51F1" w:rsidRPr="001D51F1">
              <w:rPr>
                <w:rFonts w:eastAsia="宋体"/>
              </w:rPr>
              <w:t xml:space="preserve"> Projection of the contours onto the 2D </w:t>
            </w:r>
            <m:oMath>
              <m:d>
                <m:dPr>
                  <m:sepChr m:val=","/>
                  <m:ctrlPr>
                    <w:rPr>
                      <w:rFonts w:ascii="Cambria Math" w:eastAsia="宋体" w:hAnsi="Cambria Math"/>
                    </w:rPr>
                  </m:ctrlPr>
                </m:dPr>
                <m:e>
                  <m:sSub>
                    <m:sSubPr>
                      <m:ctrlPr>
                        <w:rPr>
                          <w:rFonts w:ascii="Cambria Math" w:eastAsia="宋体" w:hAnsi="Cambria Math"/>
                        </w:rPr>
                      </m:ctrlPr>
                    </m:sSubPr>
                    <m:e>
                      <m:r>
                        <m:rPr>
                          <m:sty m:val="bi"/>
                        </m:rPr>
                        <w:rPr>
                          <w:rFonts w:ascii="Cambria Math" w:eastAsia="宋体" w:hAnsi="Cambria Math"/>
                        </w:rPr>
                        <m:t>k</m:t>
                      </m:r>
                    </m:e>
                    <m:sub>
                      <m:r>
                        <m:rPr>
                          <m:sty m:val="bi"/>
                        </m:rPr>
                        <w:rPr>
                          <w:rFonts w:ascii="Cambria Math" w:eastAsia="宋体" w:hAnsi="Cambria Math"/>
                        </w:rPr>
                        <m:t>x</m:t>
                      </m:r>
                    </m:sub>
                  </m:sSub>
                </m:e>
                <m:e>
                  <m:sSub>
                    <m:sSubPr>
                      <m:ctrlPr>
                        <w:rPr>
                          <w:rFonts w:ascii="Cambria Math" w:eastAsia="宋体" w:hAnsi="Cambria Math"/>
                        </w:rPr>
                      </m:ctrlPr>
                    </m:sSubPr>
                    <m:e>
                      <m:r>
                        <m:rPr>
                          <m:sty m:val="bi"/>
                        </m:rPr>
                        <w:rPr>
                          <w:rFonts w:ascii="Cambria Math" w:eastAsia="宋体" w:hAnsi="Cambria Math"/>
                        </w:rPr>
                        <m:t>k</m:t>
                      </m:r>
                    </m:e>
                    <m:sub>
                      <m:r>
                        <m:rPr>
                          <m:sty m:val="bi"/>
                        </m:rPr>
                        <w:rPr>
                          <w:rFonts w:ascii="Cambria Math" w:eastAsia="宋体" w:hAnsi="Cambria Math"/>
                        </w:rPr>
                        <m:t>y</m:t>
                      </m:r>
                    </m:sub>
                  </m:sSub>
                </m:e>
              </m:d>
            </m:oMath>
            <w:r w:rsidR="001D51F1" w:rsidRPr="001D51F1">
              <w:rPr>
                <w:rFonts w:eastAsia="宋体"/>
              </w:rPr>
              <w:t> plane. The crossing of lines near the corners of the hexagon corresponds to the </w:t>
            </w:r>
            <m:oMath>
              <m:r>
                <m:rPr>
                  <m:sty m:val="bi"/>
                </m:rPr>
                <w:rPr>
                  <w:rFonts w:ascii="Cambria Math" w:eastAsia="宋体" w:hAnsi="Cambria Math"/>
                </w:rPr>
                <m:t>K</m:t>
              </m:r>
            </m:oMath>
            <w:r w:rsidR="001D51F1" w:rsidRPr="001D51F1">
              <w:rPr>
                <w:rFonts w:eastAsia="宋体"/>
              </w:rPr>
              <w:t>-points, indicating mode degeneracy.</w:t>
            </w:r>
            <w:r w:rsidR="001D51F1" w:rsidRPr="001D51F1">
              <w:rPr>
                <w:rFonts w:eastAsia="宋体"/>
                <w:b/>
                <w:bCs/>
              </w:rPr>
              <w:t> c, d,</w:t>
            </w:r>
            <w:r w:rsidR="001D51F1" w:rsidRPr="001D51F1">
              <w:rPr>
                <w:rFonts w:eastAsia="宋体"/>
              </w:rPr>
              <w:t xml:space="preserve"> Real-space projection of the emission patterns. The dashed lines highlight the </w:t>
            </w:r>
            <m:oMath>
              <m:r>
                <m:rPr>
                  <m:sty m:val="b"/>
                </m:rPr>
                <w:rPr>
                  <w:rFonts w:ascii="Cambria Math" w:eastAsia="宋体" w:hAnsi="Cambria Math"/>
                </w:rPr>
                <m:t>Γ</m:t>
              </m:r>
              <m:r>
                <w:rPr>
                  <w:rFonts w:ascii="Cambria Math" w:eastAsia="宋体" w:hAnsi="Cambria Math"/>
                </w:rPr>
                <m:t>→</m:t>
              </m:r>
              <m:r>
                <m:rPr>
                  <m:sty m:val="bi"/>
                </m:rPr>
                <w:rPr>
                  <w:rFonts w:ascii="Cambria Math" w:eastAsia="宋体" w:hAnsi="Cambria Math"/>
                </w:rPr>
                <m:t>M</m:t>
              </m:r>
            </m:oMath>
            <w:r w:rsidR="001D51F1" w:rsidRPr="001D51F1">
              <w:rPr>
                <w:rFonts w:eastAsia="宋体"/>
              </w:rPr>
              <w:t> direction (used for experimental detection) and the </w:t>
            </w:r>
            <m:oMath>
              <m:r>
                <m:rPr>
                  <m:sty m:val="b"/>
                </m:rPr>
                <w:rPr>
                  <w:rFonts w:ascii="Cambria Math" w:eastAsia="宋体" w:hAnsi="Cambria Math"/>
                </w:rPr>
                <m:t>Γ</m:t>
              </m:r>
              <m:r>
                <w:rPr>
                  <w:rFonts w:ascii="Cambria Math" w:eastAsia="宋体" w:hAnsi="Cambria Math"/>
                </w:rPr>
                <m:t>→</m:t>
              </m:r>
              <m:r>
                <m:rPr>
                  <m:sty m:val="bi"/>
                </m:rPr>
                <w:rPr>
                  <w:rFonts w:ascii="Cambria Math" w:eastAsia="宋体" w:hAnsi="Cambria Math"/>
                </w:rPr>
                <m:t>K</m:t>
              </m:r>
            </m:oMath>
            <w:r w:rsidR="001D51F1" w:rsidRPr="00096CA5">
              <w:rPr>
                <w:rFonts w:eastAsia="宋体"/>
              </w:rPr>
              <w:t> direction. The </w:t>
            </w:r>
            <m:oMath>
              <m:r>
                <m:rPr>
                  <m:sty m:val="b"/>
                </m:rPr>
                <w:rPr>
                  <w:rFonts w:ascii="Cambria Math" w:eastAsia="宋体" w:hAnsi="Cambria Math"/>
                </w:rPr>
                <m:t>Γ</m:t>
              </m:r>
              <m:r>
                <w:rPr>
                  <w:rFonts w:ascii="Cambria Math" w:eastAsia="宋体" w:hAnsi="Cambria Math"/>
                </w:rPr>
                <m:t>→</m:t>
              </m:r>
              <m:r>
                <m:rPr>
                  <m:sty m:val="bi"/>
                </m:rPr>
                <w:rPr>
                  <w:rFonts w:ascii="Cambria Math" w:eastAsia="宋体" w:hAnsi="Cambria Math"/>
                </w:rPr>
                <m:t>M</m:t>
              </m:r>
            </m:oMath>
            <w:r w:rsidR="001D51F1" w:rsidRPr="00096CA5">
              <w:rPr>
                <w:rFonts w:eastAsia="宋体"/>
              </w:rPr>
              <w:t> path shows a clear, monotonic shift of the resonance ring with wavelength, enabling the linear angle-wavelength tuning strategy.</w:t>
            </w:r>
          </w:p>
        </w:tc>
      </w:tr>
    </w:tbl>
    <w:p w14:paraId="089366F1" w14:textId="730A7EBE" w:rsidR="00157001" w:rsidRPr="008E321C" w:rsidRDefault="00B422CF" w:rsidP="008E321C">
      <w:pPr>
        <w:spacing w:after="249"/>
        <w:ind w:firstLine="480"/>
        <w:rPr>
          <w:rFonts w:eastAsiaTheme="minorEastAsia"/>
        </w:rPr>
      </w:pPr>
      <w:r>
        <w:br w:type="page"/>
      </w:r>
    </w:p>
    <w:p w14:paraId="5B41DCB6" w14:textId="2845607D" w:rsidR="001D51F1" w:rsidRPr="00B43464" w:rsidRDefault="001D51F1" w:rsidP="001D51F1">
      <w:pPr>
        <w:pStyle w:val="2"/>
        <w:spacing w:after="249"/>
        <w:ind w:firstLineChars="0" w:firstLine="0"/>
        <w:rPr>
          <w:rFonts w:ascii="Times New Roman" w:hAnsi="Times New Roman" w:cs="Times New Roman"/>
          <w:sz w:val="24"/>
          <w:szCs w:val="24"/>
        </w:rPr>
      </w:pPr>
      <w:bookmarkStart w:id="16" w:name="_Toc218536501"/>
      <w:r w:rsidRPr="00B43464">
        <w:rPr>
          <w:rFonts w:ascii="Times New Roman" w:hAnsi="Times New Roman" w:cs="Times New Roman"/>
          <w:sz w:val="24"/>
          <w:szCs w:val="24"/>
        </w:rPr>
        <w:lastRenderedPageBreak/>
        <w:t xml:space="preserve">Supplementary Note </w:t>
      </w:r>
      <w:r w:rsidR="00646B29">
        <w:rPr>
          <w:rFonts w:ascii="Times New Roman" w:hAnsi="Times New Roman" w:cs="Times New Roman"/>
          <w:sz w:val="24"/>
          <w:szCs w:val="24"/>
        </w:rPr>
        <w:t>8</w:t>
      </w:r>
      <w:r w:rsidRPr="00B43464">
        <w:rPr>
          <w:rFonts w:ascii="Times New Roman" w:hAnsi="Times New Roman" w:cs="Times New Roman"/>
          <w:sz w:val="24"/>
          <w:szCs w:val="24"/>
        </w:rPr>
        <w:t xml:space="preserve">: </w:t>
      </w:r>
      <w:r w:rsidR="002872F3" w:rsidRPr="00B43464">
        <w:rPr>
          <w:rFonts w:ascii="Times New Roman" w:hAnsi="Times New Roman" w:cs="Times New Roman"/>
          <w:sz w:val="24"/>
          <w:szCs w:val="24"/>
        </w:rPr>
        <w:t>Far-field radiation patterns and diffraction orders</w:t>
      </w:r>
      <w:bookmarkEnd w:id="16"/>
    </w:p>
    <w:p w14:paraId="412259FF" w14:textId="5FF07D15" w:rsidR="00B422CF" w:rsidRPr="00C75420" w:rsidRDefault="002872F3" w:rsidP="00737161">
      <w:pPr>
        <w:spacing w:after="249"/>
        <w:ind w:firstLine="480"/>
        <w:rPr>
          <w:rFonts w:eastAsiaTheme="minorEastAsia"/>
        </w:rPr>
      </w:pPr>
      <w:r w:rsidRPr="002872F3">
        <w:t xml:space="preserve">The far-field emission characteristics of the </w:t>
      </w:r>
      <w:proofErr w:type="spellStart"/>
      <w:r w:rsidRPr="002872F3">
        <w:t>nanolaser</w:t>
      </w:r>
      <w:proofErr w:type="spellEnd"/>
      <w:r w:rsidRPr="002872F3">
        <w:t xml:space="preserve"> are fundamentally governed by the interplay between the lattice</w:t>
      </w:r>
      <w:r>
        <w:rPr>
          <w:rFonts w:eastAsiaTheme="minorEastAsia"/>
        </w:rPr>
        <w:t>’</w:t>
      </w:r>
      <w:r w:rsidRPr="002872F3">
        <w:t>s spatial symmetry and the conservation of photon momentum. A complete analysis of the radiation distribution in both real and momentum space provides the</w:t>
      </w:r>
      <w:r w:rsidRPr="00C75420">
        <w:t xml:space="preserve"> critical physical insight into the lasing mechanism. As established in the theoretical framework (Supplementary Note </w:t>
      </w:r>
      <w:r w:rsidR="008E321C" w:rsidRPr="00C75420">
        <w:t>5</w:t>
      </w:r>
      <w:r w:rsidRPr="00C75420">
        <w:t>), the emission direction is a function not only of wavelength </w:t>
      </w:r>
      <m:oMath>
        <m:r>
          <w:rPr>
            <w:rFonts w:ascii="Cambria Math" w:hAnsi="Cambria Math"/>
          </w:rPr>
          <m:t>λ</m:t>
        </m:r>
      </m:oMath>
      <w:r w:rsidRPr="00C75420">
        <w:t>, polar angle </w:t>
      </w:r>
      <m:oMath>
        <m:r>
          <w:rPr>
            <w:rFonts w:ascii="Cambria Math" w:hAnsi="Cambria Math"/>
          </w:rPr>
          <m:t>θ</m:t>
        </m:r>
      </m:oMath>
      <w:r w:rsidRPr="00C75420">
        <w:t>, and azimuth </w:t>
      </w:r>
      <m:oMath>
        <m:r>
          <w:rPr>
            <w:rFonts w:ascii="Cambria Math" w:hAnsi="Cambria Math"/>
          </w:rPr>
          <m:t>ϕ</m:t>
        </m:r>
      </m:oMath>
      <w:r w:rsidRPr="00C75420">
        <w:t>, but is strictly indexed by the Bragg diffraction orders </w:t>
      </w:r>
      <m:oMath>
        <m:d>
          <m:dPr>
            <m:sepChr m:val=","/>
            <m:ctrlPr>
              <w:rPr>
                <w:rFonts w:ascii="Cambria Math" w:hAnsi="Cambria Math"/>
              </w:rPr>
            </m:ctrlPr>
          </m:dPr>
          <m:e>
            <m:r>
              <w:rPr>
                <w:rFonts w:ascii="Cambria Math" w:hAnsi="Cambria Math"/>
              </w:rPr>
              <m:t>m</m:t>
            </m:r>
          </m:e>
          <m:e>
            <m:r>
              <w:rPr>
                <w:rFonts w:ascii="Cambria Math" w:hAnsi="Cambria Math"/>
              </w:rPr>
              <m:t>n</m:t>
            </m:r>
          </m:e>
        </m:d>
      </m:oMath>
      <w:r w:rsidRPr="00C75420">
        <w:t> corresponding to the reciprocal lattice vectors.</w:t>
      </w:r>
    </w:p>
    <w:p w14:paraId="71BB040F" w14:textId="2E7E220E" w:rsidR="002872F3" w:rsidRPr="00C75420" w:rsidRDefault="002872F3" w:rsidP="00737161">
      <w:pPr>
        <w:spacing w:after="249"/>
        <w:ind w:firstLine="480"/>
        <w:rPr>
          <w:rFonts w:eastAsiaTheme="minorEastAsia"/>
        </w:rPr>
      </w:pPr>
      <w:r w:rsidRPr="00C75420">
        <w:rPr>
          <w:rFonts w:eastAsiaTheme="minorEastAsia"/>
        </w:rPr>
        <w:t>To map the available radiative channels, we systematically solved the momentum matching conditions for all relevant diffraction orders. Supplementary Fig. 1</w:t>
      </w:r>
      <w:r w:rsidR="00BD0B57" w:rsidRPr="00C75420">
        <w:rPr>
          <w:rFonts w:eastAsiaTheme="minorEastAsia"/>
        </w:rPr>
        <w:t>5</w:t>
      </w:r>
      <w:r w:rsidRPr="00C75420">
        <w:rPr>
          <w:rFonts w:eastAsiaTheme="minorEastAsia"/>
        </w:rPr>
        <w:t> visualizes these solutions, identifying the specific loc</w:t>
      </w:r>
      <w:r w:rsidRPr="00C75420">
        <w:rPr>
          <w:rFonts w:eastAsiaTheme="minorEastAsia" w:hint="eastAsia"/>
        </w:rPr>
        <w:t>ations</w:t>
      </w:r>
      <w:r w:rsidRPr="00C75420">
        <w:rPr>
          <w:rFonts w:eastAsiaTheme="minorEastAsia"/>
        </w:rPr>
        <w:t xml:space="preserve"> of radiation in momentum space.</w:t>
      </w:r>
    </w:p>
    <w:p w14:paraId="663F6AC9" w14:textId="6CB0A815" w:rsidR="002872F3" w:rsidRDefault="002872F3" w:rsidP="00737161">
      <w:pPr>
        <w:spacing w:after="249"/>
        <w:ind w:firstLine="480"/>
        <w:rPr>
          <w:rFonts w:eastAsiaTheme="minorEastAsia"/>
        </w:rPr>
      </w:pPr>
      <w:r w:rsidRPr="00C75420">
        <w:rPr>
          <w:rFonts w:eastAsiaTheme="minorEastAsia"/>
        </w:rPr>
        <w:t>The calculations reveal six distinct radiation branches (color-coded in Supplementary Fig. 1</w:t>
      </w:r>
      <w:r w:rsidR="008E321C" w:rsidRPr="00C75420">
        <w:rPr>
          <w:rFonts w:eastAsiaTheme="minorEastAsia"/>
        </w:rPr>
        <w:t>5</w:t>
      </w:r>
      <w:r w:rsidRPr="00C75420">
        <w:rPr>
          <w:rFonts w:eastAsiaTheme="minorEastAsia"/>
        </w:rPr>
        <w:t>), corresponding to the six-fold rotational symmetry (</w:t>
      </w:r>
      <m:oMath>
        <m:sSub>
          <m:sSubPr>
            <m:ctrlPr>
              <w:rPr>
                <w:rFonts w:ascii="Cambria Math" w:eastAsiaTheme="minorEastAsia" w:hAnsi="Cambria Math"/>
              </w:rPr>
            </m:ctrlPr>
          </m:sSubPr>
          <m:e>
            <m:r>
              <w:rPr>
                <w:rFonts w:ascii="Cambria Math" w:eastAsiaTheme="minorEastAsia" w:hAnsi="Cambria Math"/>
              </w:rPr>
              <m:t>C</m:t>
            </m:r>
          </m:e>
          <m:sub>
            <m:r>
              <w:rPr>
                <w:rFonts w:ascii="Cambria Math" w:eastAsiaTheme="minorEastAsia" w:hAnsi="Cambria Math"/>
              </w:rPr>
              <m:t>6</m:t>
            </m:r>
          </m:sub>
        </m:sSub>
      </m:oMath>
      <w:r w:rsidRPr="00C75420">
        <w:rPr>
          <w:rFonts w:eastAsiaTheme="minorEastAsia"/>
        </w:rPr>
        <w:t>) of the reciprocal lattice. When projected onto the 2D observation plane (Supplementary Fig. 1</w:t>
      </w:r>
      <w:r w:rsidR="008E321C" w:rsidRPr="00C75420">
        <w:rPr>
          <w:rFonts w:eastAsiaTheme="minorEastAsia"/>
        </w:rPr>
        <w:t>5</w:t>
      </w:r>
      <w:r w:rsidR="00BD0B57" w:rsidRPr="00C75420">
        <w:rPr>
          <w:rFonts w:eastAsiaTheme="minorEastAsia"/>
        </w:rPr>
        <w:t xml:space="preserve"> column d</w:t>
      </w:r>
      <w:r w:rsidRPr="00C75420">
        <w:rPr>
          <w:rFonts w:eastAsiaTheme="minorEastAsia"/>
        </w:rPr>
        <w:t xml:space="preserve"> and Fig. </w:t>
      </w:r>
      <w:r w:rsidR="008E321C" w:rsidRPr="00C75420">
        <w:rPr>
          <w:rFonts w:eastAsiaTheme="minorEastAsia"/>
        </w:rPr>
        <w:t>4</w:t>
      </w:r>
      <w:r w:rsidRPr="00C75420">
        <w:rPr>
          <w:rFonts w:eastAsiaTheme="minorEastAsia"/>
        </w:rPr>
        <w:t xml:space="preserve">i of the main text), these branches form the edges of a hexagon, directly mapping the triangular lattice symmetry into the </w:t>
      </w:r>
      <w:r w:rsidRPr="002872F3">
        <w:rPr>
          <w:rFonts w:eastAsiaTheme="minorEastAsia"/>
        </w:rPr>
        <w:t>far field.</w:t>
      </w:r>
      <w:r w:rsidRPr="002872F3">
        <w:rPr>
          <w:rFonts w:ascii="DM Sans" w:hAnsi="DM Sans"/>
          <w:shd w:val="clear" w:color="auto" w:fill="FFFFFF"/>
        </w:rPr>
        <w:t xml:space="preserve"> </w:t>
      </w:r>
      <w:r w:rsidRPr="002872F3">
        <w:rPr>
          <w:rFonts w:eastAsiaTheme="minorEastAsia"/>
        </w:rPr>
        <w:t>Each branch is associated with a specific pair of integers </w:t>
      </w:r>
      <m:oMath>
        <m:d>
          <m:dPr>
            <m:sepChr m:val=","/>
            <m:ctrlPr>
              <w:rPr>
                <w:rFonts w:ascii="Cambria Math" w:eastAsiaTheme="minorEastAsia" w:hAnsi="Cambria Math"/>
              </w:rPr>
            </m:ctrlPr>
          </m:dPr>
          <m:e>
            <m:r>
              <w:rPr>
                <w:rFonts w:ascii="Cambria Math" w:eastAsiaTheme="minorEastAsia" w:hAnsi="Cambria Math"/>
              </w:rPr>
              <m:t>m</m:t>
            </m:r>
          </m:e>
          <m:e>
            <m:r>
              <w:rPr>
                <w:rFonts w:ascii="Cambria Math" w:eastAsiaTheme="minorEastAsia" w:hAnsi="Cambria Math"/>
              </w:rPr>
              <m:t>n</m:t>
            </m:r>
          </m:e>
        </m:d>
      </m:oMath>
      <w:r w:rsidRPr="002872F3">
        <w:rPr>
          <w:rFonts w:eastAsiaTheme="minorEastAsia"/>
        </w:rPr>
        <w:t> corresponding to the reciprocal lattice vector </w:t>
      </w:r>
      <m:oMath>
        <m:r>
          <m:rPr>
            <m:sty m:val="b"/>
          </m:rPr>
          <w:rPr>
            <w:rFonts w:ascii="Cambria Math" w:eastAsiaTheme="minorEastAsia" w:hAnsi="Cambria Math"/>
          </w:rPr>
          <m:t>G</m:t>
        </m:r>
        <m:r>
          <w:rPr>
            <w:rFonts w:ascii="Cambria Math" w:eastAsiaTheme="minorEastAsia" w:hAnsi="Cambria Math"/>
          </w:rPr>
          <m:t>=</m:t>
        </m:r>
        <w:bookmarkStart w:id="17" w:name="_Hlk218529476"/>
        <m:f>
          <m:fPr>
            <m:type m:val="lin"/>
            <m:ctrlPr>
              <w:rPr>
                <w:rFonts w:ascii="Cambria Math" w:eastAsiaTheme="minorEastAsia" w:hAnsi="Cambria Math"/>
                <w:i/>
              </w:rPr>
            </m:ctrlPr>
          </m:fPr>
          <m:num>
            <m:r>
              <w:rPr>
                <w:rFonts w:ascii="Cambria Math" w:eastAsiaTheme="minorEastAsia" w:hAnsi="Cambria Math"/>
              </w:rPr>
              <m:t>2π</m:t>
            </m:r>
          </m:num>
          <m:den>
            <m:r>
              <w:rPr>
                <w:rFonts w:ascii="Cambria Math" w:eastAsiaTheme="minorEastAsia" w:hAnsi="Cambria Math"/>
              </w:rPr>
              <m:t>P</m:t>
            </m:r>
          </m:den>
        </m:f>
        <m:r>
          <w:rPr>
            <w:rFonts w:ascii="Cambria Math" w:eastAsiaTheme="minorEastAsia" w:hAnsi="Cambria Math"/>
          </w:rPr>
          <m:t>∙(m</m:t>
        </m:r>
        <m:sSub>
          <m:sSubPr>
            <m:ctrlPr>
              <w:rPr>
                <w:rFonts w:ascii="Cambria Math" w:eastAsiaTheme="minorEastAsia" w:hAnsi="Cambria Math"/>
              </w:rPr>
            </m:ctrlPr>
          </m:sSubPr>
          <m:e>
            <m:r>
              <m:rPr>
                <m:sty m:val="b"/>
              </m:rPr>
              <w:rPr>
                <w:rFonts w:ascii="Cambria Math" w:eastAsiaTheme="minorEastAsia" w:hAnsi="Cambria Math"/>
              </w:rPr>
              <m:t>b</m:t>
            </m:r>
          </m:e>
          <m:sub>
            <m:r>
              <w:rPr>
                <w:rFonts w:ascii="Cambria Math" w:eastAsiaTheme="minorEastAsia" w:hAnsi="Cambria Math"/>
              </w:rPr>
              <m:t>1</m:t>
            </m:r>
          </m:sub>
        </m:sSub>
        <m:r>
          <w:rPr>
            <w:rFonts w:ascii="Cambria Math" w:eastAsiaTheme="minorEastAsia" w:hAnsi="Cambria Math"/>
          </w:rPr>
          <m:t>+n</m:t>
        </m:r>
        <m:sSub>
          <m:sSubPr>
            <m:ctrlPr>
              <w:rPr>
                <w:rFonts w:ascii="Cambria Math" w:eastAsiaTheme="minorEastAsia" w:hAnsi="Cambria Math"/>
              </w:rPr>
            </m:ctrlPr>
          </m:sSubPr>
          <m:e>
            <m:r>
              <m:rPr>
                <m:sty m:val="b"/>
              </m:rPr>
              <w:rPr>
                <w:rFonts w:ascii="Cambria Math" w:eastAsiaTheme="minorEastAsia" w:hAnsi="Cambria Math"/>
              </w:rPr>
              <m:t>b</m:t>
            </m:r>
          </m:e>
          <m:sub>
            <m:r>
              <w:rPr>
                <w:rFonts w:ascii="Cambria Math" w:eastAsiaTheme="minorEastAsia" w:hAnsi="Cambria Math"/>
              </w:rPr>
              <m:t>2</m:t>
            </m:r>
          </m:sub>
        </m:sSub>
        <m:r>
          <w:rPr>
            <w:rFonts w:ascii="Cambria Math" w:eastAsiaTheme="minorEastAsia" w:hAnsi="Cambria Math"/>
          </w:rPr>
          <m:t>)</m:t>
        </m:r>
      </m:oMath>
      <w:bookmarkEnd w:id="17"/>
      <w:r w:rsidRPr="002872F3">
        <w:rPr>
          <w:rFonts w:eastAsiaTheme="minorEastAsia"/>
        </w:rPr>
        <w:t> involved in the scattering process. This precise indexing allows for the deterministic design of emission directionality</w:t>
      </w:r>
      <w:r>
        <w:rPr>
          <w:rFonts w:eastAsiaTheme="minorEastAsia" w:hint="eastAsia"/>
        </w:rPr>
        <w:t>.</w:t>
      </w:r>
    </w:p>
    <w:p w14:paraId="7AB0CB77" w14:textId="7265779A" w:rsidR="002872F3" w:rsidRDefault="002872F3" w:rsidP="00737161">
      <w:pPr>
        <w:spacing w:after="249"/>
        <w:ind w:firstLine="480"/>
        <w:rPr>
          <w:rFonts w:eastAsiaTheme="minorEastAsia"/>
        </w:rPr>
      </w:pPr>
      <w:r>
        <w:rPr>
          <w:rFonts w:eastAsiaTheme="minorEastAsia" w:hint="eastAsia"/>
        </w:rPr>
        <w:t xml:space="preserve">We then discuss the momentum coupling mechanism. </w:t>
      </w:r>
      <w:r w:rsidRPr="002872F3">
        <w:rPr>
          <w:rFonts w:eastAsiaTheme="minorEastAsia"/>
        </w:rPr>
        <w:t>Consider the specific case where the observation is aligned along the lattice </w:t>
      </w:r>
      <m:oMath>
        <m:r>
          <w:rPr>
            <w:rFonts w:ascii="Cambria Math" w:eastAsiaTheme="minorEastAsia" w:hAnsi="Cambria Math"/>
          </w:rPr>
          <m:t>x</m:t>
        </m:r>
      </m:oMath>
      <w:r w:rsidRPr="002872F3">
        <w:rPr>
          <w:rFonts w:eastAsiaTheme="minorEastAsia"/>
        </w:rPr>
        <w:t>-axis (azimuth </w:t>
      </w:r>
      <m:oMath>
        <m:r>
          <w:rPr>
            <w:rFonts w:ascii="Cambria Math" w:eastAsiaTheme="minorEastAsia" w:hAnsi="Cambria Math"/>
          </w:rPr>
          <m:t>ϕ=</m:t>
        </m:r>
        <m:sSup>
          <m:sSupPr>
            <m:ctrlPr>
              <w:rPr>
                <w:rFonts w:ascii="Cambria Math" w:eastAsiaTheme="minorEastAsia" w:hAnsi="Cambria Math"/>
              </w:rPr>
            </m:ctrlPr>
          </m:sSupPr>
          <m:e>
            <m:r>
              <w:rPr>
                <w:rFonts w:ascii="Cambria Math" w:eastAsiaTheme="minorEastAsia" w:hAnsi="Cambria Math"/>
              </w:rPr>
              <m:t>0</m:t>
            </m:r>
          </m:e>
          <m:sup>
            <m:r>
              <w:rPr>
                <w:rFonts w:ascii="Cambria Math" w:eastAsiaTheme="minorEastAsia" w:hAnsi="Cambria Math"/>
              </w:rPr>
              <m:t>∘</m:t>
            </m:r>
          </m:sup>
        </m:sSup>
      </m:oMath>
      <w:r w:rsidRPr="002872F3">
        <w:rPr>
          <w:rFonts w:eastAsiaTheme="minorEastAsia"/>
        </w:rPr>
        <w:t>, corresponding to the </w:t>
      </w:r>
      <m:oMath>
        <m:r>
          <m:rPr>
            <m:sty m:val="p"/>
          </m:rPr>
          <w:rPr>
            <w:rFonts w:ascii="Cambria Math" w:eastAsiaTheme="minorEastAsia" w:hAnsi="Cambria Math"/>
          </w:rPr>
          <m:t>Γ</m:t>
        </m:r>
        <m:r>
          <w:rPr>
            <w:rFonts w:ascii="Cambria Math" w:eastAsiaTheme="minorEastAsia" w:hAnsi="Cambria Math"/>
          </w:rPr>
          <m:t>→M</m:t>
        </m:r>
      </m:oMath>
      <w:r w:rsidRPr="002872F3">
        <w:rPr>
          <w:rFonts w:eastAsiaTheme="minorEastAsia"/>
        </w:rPr>
        <w:t> direction).</w:t>
      </w:r>
      <w:r>
        <w:rPr>
          <w:rFonts w:eastAsiaTheme="minorEastAsia" w:hint="eastAsia"/>
        </w:rPr>
        <w:t xml:space="preserve"> F</w:t>
      </w:r>
      <w:r w:rsidRPr="002872F3">
        <w:rPr>
          <w:rFonts w:eastAsiaTheme="minorEastAsia"/>
        </w:rPr>
        <w:t>or any given in-plane wavevector </w:t>
      </w:r>
      <m:oMath>
        <m:sSub>
          <m:sSubPr>
            <m:ctrlPr>
              <w:rPr>
                <w:rFonts w:ascii="Cambria Math" w:eastAsiaTheme="minorEastAsia" w:hAnsi="Cambria Math"/>
              </w:rPr>
            </m:ctrlPr>
          </m:sSubPr>
          <m:e>
            <m:r>
              <m:rPr>
                <m:sty m:val="b"/>
              </m:rPr>
              <w:rPr>
                <w:rFonts w:ascii="Cambria Math" w:eastAsiaTheme="minorEastAsia" w:hAnsi="Cambria Math"/>
              </w:rPr>
              <m:t>k</m:t>
            </m:r>
          </m:e>
          <m:sub>
            <m:r>
              <w:rPr>
                <w:rFonts w:ascii="Cambria Math" w:eastAsiaTheme="minorEastAsia" w:hAnsi="Cambria Math"/>
              </w:rPr>
              <m:t>∥</m:t>
            </m:r>
          </m:sub>
        </m:sSub>
      </m:oMath>
      <w:r w:rsidRPr="002872F3">
        <w:rPr>
          <w:rFonts w:eastAsiaTheme="minorEastAsia"/>
        </w:rPr>
        <w:t> (determined by the emission angle </w:t>
      </w:r>
      <m:oMath>
        <m:r>
          <w:rPr>
            <w:rFonts w:ascii="Cambria Math" w:eastAsiaTheme="minorEastAsia" w:hAnsi="Cambria Math"/>
          </w:rPr>
          <m:t>θ</m:t>
        </m:r>
      </m:oMath>
      <w:r w:rsidRPr="002872F3">
        <w:rPr>
          <w:rFonts w:eastAsiaTheme="minorEastAsia"/>
        </w:rPr>
        <w:t>), the condition for first-order Bragg diffraction is satisfied by two symmetric lattice modes propagating at oblique angles to the </w:t>
      </w:r>
      <m:oMath>
        <m:r>
          <w:rPr>
            <w:rFonts w:ascii="Cambria Math" w:eastAsiaTheme="minorEastAsia" w:hAnsi="Cambria Math"/>
          </w:rPr>
          <m:t>x</m:t>
        </m:r>
      </m:oMath>
      <w:r w:rsidRPr="002872F3">
        <w:rPr>
          <w:rFonts w:eastAsiaTheme="minorEastAsia"/>
        </w:rPr>
        <w:t>-axis.</w:t>
      </w:r>
      <w:r>
        <w:rPr>
          <w:rFonts w:eastAsiaTheme="minorEastAsia" w:hint="eastAsia"/>
        </w:rPr>
        <w:t xml:space="preserve"> T</w:t>
      </w:r>
      <w:r w:rsidRPr="002872F3">
        <w:rPr>
          <w:rFonts w:eastAsiaTheme="minorEastAsia"/>
        </w:rPr>
        <w:t>he coupling mechanism is illustrated in</w:t>
      </w:r>
      <w:r w:rsidRPr="00C75420">
        <w:rPr>
          <w:rFonts w:eastAsiaTheme="minorEastAsia"/>
        </w:rPr>
        <w:t xml:space="preserve"> Fig. </w:t>
      </w:r>
      <w:r w:rsidR="008E321C" w:rsidRPr="00C75420">
        <w:rPr>
          <w:rFonts w:eastAsiaTheme="minorEastAsia"/>
        </w:rPr>
        <w:t xml:space="preserve">4g </w:t>
      </w:r>
      <w:r w:rsidRPr="00C75420">
        <w:rPr>
          <w:rFonts w:eastAsiaTheme="minorEastAsia"/>
        </w:rPr>
        <w:t>o</w:t>
      </w:r>
      <w:r w:rsidRPr="002872F3">
        <w:rPr>
          <w:rFonts w:eastAsiaTheme="minorEastAsia"/>
        </w:rPr>
        <w:t>f the main text</w:t>
      </w:r>
      <w:r w:rsidR="006C7D99">
        <w:rPr>
          <w:rFonts w:eastAsiaTheme="minorEastAsia" w:hint="eastAsia"/>
        </w:rPr>
        <w:t>.</w:t>
      </w:r>
      <w:r w:rsidRPr="002872F3">
        <w:rPr>
          <w:rFonts w:eastAsiaTheme="minorEastAsia"/>
        </w:rPr>
        <w:t xml:space="preserve"> The resonant surface plasmon wavevector (</w:t>
      </w:r>
      <m:oMath>
        <m:sSub>
          <m:sSubPr>
            <m:ctrlPr>
              <w:rPr>
                <w:rFonts w:ascii="Cambria Math" w:eastAsiaTheme="minorEastAsia" w:hAnsi="Cambria Math"/>
              </w:rPr>
            </m:ctrlPr>
          </m:sSubPr>
          <m:e>
            <m:r>
              <m:rPr>
                <m:sty m:val="p"/>
              </m:rPr>
              <w:rPr>
                <w:rFonts w:ascii="Cambria Math" w:eastAsiaTheme="minorEastAsia" w:hAnsi="Cambria Math"/>
              </w:rPr>
              <m:t>k</m:t>
            </m:r>
          </m:e>
          <m:sub>
            <m:r>
              <m:rPr>
                <m:nor/>
              </m:rPr>
              <w:rPr>
                <w:rFonts w:eastAsiaTheme="minorEastAsia"/>
              </w:rPr>
              <m:t>SPP</m:t>
            </m:r>
          </m:sub>
        </m:sSub>
      </m:oMath>
      <w:r w:rsidRPr="002872F3">
        <w:rPr>
          <w:rFonts w:eastAsiaTheme="minorEastAsia"/>
        </w:rPr>
        <w:t>, yellow arrow) is scattered by a reciprocal lattice vector (</w:t>
      </w:r>
      <m:oMath>
        <m:r>
          <m:rPr>
            <m:sty m:val="b"/>
          </m:rPr>
          <w:rPr>
            <w:rFonts w:ascii="Cambria Math" w:eastAsiaTheme="minorEastAsia" w:hAnsi="Cambria Math"/>
          </w:rPr>
          <m:t>G</m:t>
        </m:r>
      </m:oMath>
      <w:r w:rsidRPr="002872F3">
        <w:rPr>
          <w:rFonts w:eastAsiaTheme="minorEastAsia"/>
        </w:rPr>
        <w:t>, green arrow) such that the resulting wavevector matches the in-plane component of the free-space radiation (</w:t>
      </w:r>
      <m:oMath>
        <m:sSub>
          <m:sSubPr>
            <m:ctrlPr>
              <w:rPr>
                <w:rFonts w:ascii="Cambria Math" w:eastAsiaTheme="minorEastAsia" w:hAnsi="Cambria Math"/>
              </w:rPr>
            </m:ctrlPr>
          </m:sSubPr>
          <m:e>
            <m:r>
              <m:rPr>
                <m:sty m:val="b"/>
              </m:rPr>
              <w:rPr>
                <w:rFonts w:ascii="Cambria Math" w:eastAsiaTheme="minorEastAsia" w:hAnsi="Cambria Math"/>
              </w:rPr>
              <m:t>k</m:t>
            </m:r>
          </m:e>
          <m:sub>
            <m:r>
              <w:rPr>
                <w:rFonts w:ascii="Cambria Math" w:eastAsiaTheme="minorEastAsia" w:hAnsi="Cambria Math"/>
              </w:rPr>
              <m:t>∥</m:t>
            </m:r>
          </m:sub>
        </m:sSub>
      </m:oMath>
      <w:r w:rsidRPr="002872F3">
        <w:rPr>
          <w:rFonts w:eastAsiaTheme="minorEastAsia"/>
        </w:rPr>
        <w:t>, red arrow)</w:t>
      </w:r>
      <w:r>
        <w:rPr>
          <w:rFonts w:eastAsiaTheme="minorEastAsia" w:hint="eastAsia"/>
        </w:rPr>
        <w:t>. M</w:t>
      </w:r>
      <w:r w:rsidRPr="002872F3">
        <w:rPr>
          <w:rFonts w:eastAsiaTheme="minorEastAsia"/>
        </w:rPr>
        <w:t>athematically, this vector sum </w:t>
      </w:r>
      <m:oMath>
        <m:sSub>
          <m:sSubPr>
            <m:ctrlPr>
              <w:rPr>
                <w:rFonts w:ascii="Cambria Math" w:eastAsiaTheme="minorEastAsia" w:hAnsi="Cambria Math"/>
              </w:rPr>
            </m:ctrlPr>
          </m:sSubPr>
          <m:e>
            <m:r>
              <m:rPr>
                <m:sty m:val="b"/>
              </m:rPr>
              <w:rPr>
                <w:rFonts w:ascii="Cambria Math" w:eastAsiaTheme="minorEastAsia" w:hAnsi="Cambria Math"/>
              </w:rPr>
              <m:t>k</m:t>
            </m:r>
          </m:e>
          <m:sub>
            <m:r>
              <m:rPr>
                <m:nor/>
              </m:rPr>
              <w:rPr>
                <w:rFonts w:eastAsiaTheme="minorEastAsia"/>
              </w:rPr>
              <m:t>SPP</m:t>
            </m:r>
          </m:sub>
        </m:sSub>
        <m:r>
          <w:rPr>
            <w:rFonts w:ascii="Cambria Math" w:eastAsiaTheme="minorEastAsia" w:hAnsi="Cambria Math"/>
          </w:rPr>
          <m:t>=</m:t>
        </m:r>
        <m:sSub>
          <m:sSubPr>
            <m:ctrlPr>
              <w:rPr>
                <w:rFonts w:ascii="Cambria Math" w:eastAsiaTheme="minorEastAsia" w:hAnsi="Cambria Math"/>
              </w:rPr>
            </m:ctrlPr>
          </m:sSubPr>
          <m:e>
            <m:r>
              <m:rPr>
                <m:sty m:val="b"/>
              </m:rPr>
              <w:rPr>
                <w:rFonts w:ascii="Cambria Math" w:eastAsiaTheme="minorEastAsia" w:hAnsi="Cambria Math"/>
              </w:rPr>
              <m:t>k</m:t>
            </m:r>
          </m:e>
          <m:sub>
            <m:r>
              <w:rPr>
                <w:rFonts w:ascii="Cambria Math" w:eastAsiaTheme="minorEastAsia" w:hAnsi="Cambria Math"/>
              </w:rPr>
              <m:t>∥</m:t>
            </m:r>
          </m:sub>
        </m:sSub>
        <m:r>
          <w:rPr>
            <w:rFonts w:ascii="Cambria Math" w:eastAsiaTheme="minorEastAsia" w:hAnsi="Cambria Math"/>
          </w:rPr>
          <m:t>+</m:t>
        </m:r>
        <m:r>
          <m:rPr>
            <m:sty m:val="b"/>
          </m:rPr>
          <w:rPr>
            <w:rFonts w:ascii="Cambria Math" w:eastAsiaTheme="minorEastAsia" w:hAnsi="Cambria Math"/>
          </w:rPr>
          <m:t>G</m:t>
        </m:r>
      </m:oMath>
      <w:r w:rsidRPr="002872F3">
        <w:rPr>
          <w:rFonts w:eastAsiaTheme="minorEastAsia"/>
        </w:rPr>
        <w:t> closes the momentum triangle, enabling the non-radiative SPP mode to couple radiatively to the far field. This coherent scattering process forms the physical basis for the directional lasing output observed in our experiments.</w:t>
      </w:r>
    </w:p>
    <w:p w14:paraId="0A0EFED2" w14:textId="19A86DAA" w:rsidR="003C4FEB" w:rsidRPr="003C4FEB" w:rsidRDefault="003C4FEB" w:rsidP="00737161">
      <w:pPr>
        <w:spacing w:after="249"/>
        <w:ind w:firstLine="480"/>
        <w:rPr>
          <w:rFonts w:eastAsiaTheme="minorEastAsia"/>
        </w:rPr>
      </w:pPr>
      <w:r w:rsidRPr="003C4FEB">
        <w:rPr>
          <w:rFonts w:eastAsiaTheme="minorEastAsia"/>
        </w:rPr>
        <w:lastRenderedPageBreak/>
        <w:t>Crucially, along high-symmetry trajectories (such as the </w:t>
      </w:r>
      <m:oMath>
        <m:r>
          <m:rPr>
            <m:sty m:val="p"/>
          </m:rPr>
          <w:rPr>
            <w:rFonts w:ascii="Cambria Math" w:eastAsiaTheme="minorEastAsia" w:hAnsi="Cambria Math"/>
          </w:rPr>
          <m:t>Γ</m:t>
        </m:r>
        <m:r>
          <w:rPr>
            <w:rFonts w:ascii="Cambria Math" w:eastAsiaTheme="minorEastAsia" w:hAnsi="Cambria Math"/>
          </w:rPr>
          <m:t>→M</m:t>
        </m:r>
      </m:oMath>
      <w:r w:rsidRPr="003C4FEB">
        <w:rPr>
          <w:rFonts w:eastAsiaTheme="minorEastAsia"/>
        </w:rPr>
        <w:t xml:space="preserve"> direction), pairs of </w:t>
      </w:r>
      <w:proofErr w:type="gramStart"/>
      <w:r w:rsidRPr="003C4FEB">
        <w:rPr>
          <w:rFonts w:eastAsiaTheme="minorEastAsia"/>
        </w:rPr>
        <w:t>surface</w:t>
      </w:r>
      <w:proofErr w:type="gramEnd"/>
      <w:r w:rsidRPr="003C4FEB">
        <w:rPr>
          <w:rFonts w:eastAsiaTheme="minorEastAsia"/>
        </w:rPr>
        <w:t xml:space="preserve"> plasmon modes satisfy the Bragg condition simultaneously. For instance, the </w:t>
      </w:r>
      <m:oMath>
        <m:d>
          <m:dPr>
            <m:ctrlPr>
              <w:rPr>
                <w:rFonts w:ascii="Cambria Math" w:eastAsiaTheme="minorEastAsia" w:hAnsi="Cambria Math"/>
              </w:rPr>
            </m:ctrlPr>
          </m:dPr>
          <m:e>
            <m:r>
              <w:rPr>
                <w:rFonts w:ascii="Cambria Math" w:eastAsiaTheme="minorEastAsia" w:hAnsi="Cambria Math"/>
              </w:rPr>
              <m:t>-1,0</m:t>
            </m:r>
          </m:e>
        </m:d>
      </m:oMath>
      <w:r w:rsidRPr="003C4FEB">
        <w:rPr>
          <w:rFonts w:eastAsiaTheme="minorEastAsia"/>
        </w:rPr>
        <w:t> and </w:t>
      </w:r>
      <m:oMath>
        <m:d>
          <m:dPr>
            <m:ctrlPr>
              <w:rPr>
                <w:rFonts w:ascii="Cambria Math" w:eastAsiaTheme="minorEastAsia" w:hAnsi="Cambria Math"/>
              </w:rPr>
            </m:ctrlPr>
          </m:dPr>
          <m:e>
            <m:r>
              <w:rPr>
                <w:rFonts w:ascii="Cambria Math" w:eastAsiaTheme="minorEastAsia" w:hAnsi="Cambria Math"/>
              </w:rPr>
              <m:t>1,0</m:t>
            </m:r>
          </m:e>
        </m:d>
      </m:oMath>
      <w:r w:rsidRPr="003C4FEB">
        <w:rPr>
          <w:rFonts w:eastAsiaTheme="minorEastAsia"/>
        </w:rPr>
        <w:t> diffraction orders become degenerate along the </w:t>
      </w:r>
      <m:oMath>
        <m:r>
          <w:rPr>
            <w:rFonts w:ascii="Cambria Math" w:eastAsiaTheme="minorEastAsia" w:hAnsi="Cambria Math"/>
          </w:rPr>
          <m:t>M</m:t>
        </m:r>
      </m:oMath>
      <w:r w:rsidRPr="003C4FEB">
        <w:rPr>
          <w:rFonts w:eastAsiaTheme="minorEastAsia"/>
        </w:rPr>
        <w:t>-direction (see</w:t>
      </w:r>
      <w:r w:rsidRPr="00C75420">
        <w:rPr>
          <w:rFonts w:eastAsiaTheme="minorEastAsia"/>
        </w:rPr>
        <w:t> Fig. 1f in the main text). The coherent coupling of these modes leads to the formation of degenerate standing waves characterized by significantly sharpened resonance lin</w:t>
      </w:r>
      <w:r w:rsidRPr="003C4FEB">
        <w:rPr>
          <w:rFonts w:eastAsiaTheme="minorEastAsia"/>
        </w:rPr>
        <w:t>ewidths and a substantial, delocalized enhancement of the electromagnetic field across the lattice plane.</w:t>
      </w:r>
    </w:p>
    <w:p w14:paraId="7C5284B8" w14:textId="47D7EA41" w:rsidR="003C4FEB" w:rsidRPr="003C4FEB" w:rsidRDefault="003C4FEB" w:rsidP="00737161">
      <w:pPr>
        <w:spacing w:after="249"/>
        <w:ind w:firstLine="480"/>
        <w:rPr>
          <w:rFonts w:eastAsiaTheme="minorEastAsia"/>
        </w:rPr>
      </w:pPr>
      <w:r w:rsidRPr="003C4FEB">
        <w:rPr>
          <w:rFonts w:eastAsiaTheme="minorEastAsia"/>
        </w:rPr>
        <w:t>Both theoretical calculations and experimental measurements confirm that deviating the azimuthal angle </w:t>
      </w:r>
      <m:oMath>
        <m:r>
          <w:rPr>
            <w:rFonts w:ascii="Cambria Math" w:eastAsiaTheme="minorEastAsia" w:hAnsi="Cambria Math"/>
          </w:rPr>
          <m:t>φ</m:t>
        </m:r>
      </m:oMath>
      <w:r w:rsidRPr="003C4FEB">
        <w:rPr>
          <w:rFonts w:eastAsiaTheme="minorEastAsia"/>
        </w:rPr>
        <w:t> away from these high-symmetry axes lifts the degeneracy, causing the single resonance band to split into two discrete, detuned branches. This azimuthal evolution</w:t>
      </w:r>
      <w:r w:rsidR="00C75420">
        <w:rPr>
          <w:rFonts w:eastAsiaTheme="minorEastAsia" w:hint="eastAsia"/>
        </w:rPr>
        <w:t xml:space="preserve"> </w:t>
      </w:r>
      <w:r w:rsidRPr="003C4FEB">
        <w:rPr>
          <w:rFonts w:eastAsiaTheme="minorEastAsia"/>
        </w:rPr>
        <w:t>is the fundamental physical origin of the hexagonal far-field radiation pattern observed in </w:t>
      </w:r>
      <w:r w:rsidRPr="00C75420">
        <w:rPr>
          <w:rFonts w:eastAsiaTheme="minorEastAsia"/>
        </w:rPr>
        <w:t xml:space="preserve">Fig. </w:t>
      </w:r>
      <w:r w:rsidR="00BD0B57" w:rsidRPr="00C75420">
        <w:rPr>
          <w:rFonts w:eastAsiaTheme="minorEastAsia"/>
        </w:rPr>
        <w:t>4i</w:t>
      </w:r>
      <w:r w:rsidRPr="00C75420">
        <w:rPr>
          <w:rFonts w:eastAsiaTheme="minorEastAsia"/>
        </w:rPr>
        <w:t xml:space="preserve">. It </w:t>
      </w:r>
      <w:r w:rsidRPr="003C4FEB">
        <w:rPr>
          <w:rFonts w:eastAsiaTheme="minorEastAsia"/>
        </w:rPr>
        <w:t>underscores that the spatial emission characteristics are strictly dictated by the rotational symmetry of the lattice.</w:t>
      </w:r>
    </w:p>
    <w:p w14:paraId="3BB5A98A" w14:textId="3FE9616A" w:rsidR="003C4FEB" w:rsidRPr="003C4FEB" w:rsidRDefault="003C4FEB" w:rsidP="00737161">
      <w:pPr>
        <w:spacing w:after="249"/>
        <w:ind w:firstLine="480"/>
        <w:rPr>
          <w:rFonts w:eastAsiaTheme="minorEastAsia"/>
        </w:rPr>
      </w:pPr>
      <w:r w:rsidRPr="003C4FEB">
        <w:rPr>
          <w:rFonts w:eastAsiaTheme="minorEastAsia"/>
        </w:rPr>
        <w:t>Furthermore, the distribution of emission polar angles </w:t>
      </w:r>
      <m:oMath>
        <m:r>
          <w:rPr>
            <w:rFonts w:ascii="Cambria Math" w:eastAsiaTheme="minorEastAsia" w:hAnsi="Cambria Math"/>
          </w:rPr>
          <m:t>θ</m:t>
        </m:r>
      </m:oMath>
      <w:r w:rsidRPr="003C4FEB">
        <w:rPr>
          <w:rFonts w:eastAsiaTheme="minorEastAsia"/>
        </w:rPr>
        <w:t> exhibits a distinct non-uniformity. The density of radiative solutions is maximal near the </w:t>
      </w:r>
      <m:oMath>
        <m:r>
          <w:rPr>
            <w:rFonts w:ascii="Cambria Math" w:eastAsiaTheme="minorEastAsia" w:hAnsi="Cambria Math"/>
          </w:rPr>
          <m:t>M</m:t>
        </m:r>
      </m:oMath>
      <w:r w:rsidRPr="003C4FEB">
        <w:rPr>
          <w:rFonts w:eastAsiaTheme="minorEastAsia"/>
        </w:rPr>
        <w:t>-symmetry directions (which correspond to the minimum emission angle for a given spectral band) and becomes increasingly sparse as </w:t>
      </w:r>
      <m:oMath>
        <m:r>
          <w:rPr>
            <w:rFonts w:ascii="Cambria Math" w:eastAsiaTheme="minorEastAsia" w:hAnsi="Cambria Math"/>
          </w:rPr>
          <m:t>θ</m:t>
        </m:r>
      </m:oMath>
      <w:r w:rsidRPr="003C4FEB">
        <w:rPr>
          <w:rFonts w:eastAsiaTheme="minorEastAsia"/>
        </w:rPr>
        <w:t> approaches grazing emergence (</w:t>
      </w:r>
      <m:oMath>
        <m:r>
          <w:rPr>
            <w:rFonts w:ascii="Cambria Math" w:eastAsiaTheme="minorEastAsia" w:hAnsi="Cambria Math"/>
          </w:rPr>
          <m:t>∼</m:t>
        </m:r>
        <m:sSup>
          <m:sSupPr>
            <m:ctrlPr>
              <w:rPr>
                <w:rFonts w:ascii="Cambria Math" w:eastAsiaTheme="minorEastAsia" w:hAnsi="Cambria Math"/>
              </w:rPr>
            </m:ctrlPr>
          </m:sSupPr>
          <m:e>
            <m:r>
              <m:rPr>
                <m:sty m:val="p"/>
              </m:rPr>
              <w:rPr>
                <w:rFonts w:ascii="Cambria Math" w:eastAsiaTheme="minorEastAsia" w:hAnsi="Cambria Math"/>
              </w:rPr>
              <m:t>90</m:t>
            </m:r>
          </m:e>
          <m:sup>
            <m:r>
              <w:rPr>
                <w:rFonts w:ascii="Cambria Math" w:eastAsiaTheme="minorEastAsia" w:hAnsi="Cambria Math"/>
              </w:rPr>
              <m:t>∘</m:t>
            </m:r>
          </m:sup>
        </m:sSup>
      </m:oMath>
      <w:r w:rsidRPr="003C4FEB">
        <w:rPr>
          <w:rFonts w:eastAsiaTheme="minorEastAsia"/>
        </w:rPr>
        <w:t>). This trend is clearly verified in the comparison between the experimental far-field data (</w:t>
      </w:r>
      <w:r w:rsidRPr="00C75420">
        <w:rPr>
          <w:rFonts w:eastAsiaTheme="minorEastAsia"/>
        </w:rPr>
        <w:t xml:space="preserve">Fig. </w:t>
      </w:r>
      <w:r w:rsidR="00BD0B57" w:rsidRPr="00C75420">
        <w:rPr>
          <w:rFonts w:eastAsiaTheme="minorEastAsia"/>
        </w:rPr>
        <w:t>4a-e</w:t>
      </w:r>
      <w:r w:rsidRPr="00C75420">
        <w:rPr>
          <w:rFonts w:eastAsiaTheme="minorEastAsia"/>
        </w:rPr>
        <w:t>) and the theoretical simulations (Supplementary Fig. 1</w:t>
      </w:r>
      <w:r w:rsidR="00BD0B57" w:rsidRPr="00C75420">
        <w:rPr>
          <w:rFonts w:eastAsiaTheme="minorEastAsia"/>
        </w:rPr>
        <w:t>5</w:t>
      </w:r>
      <w:r w:rsidRPr="00C75420">
        <w:rPr>
          <w:rFonts w:eastAsiaTheme="minorEastAsia"/>
        </w:rPr>
        <w:t>, column c). Notably, while the emission is concentrated at lower angles, the existence of solutions ex</w:t>
      </w:r>
      <w:r w:rsidRPr="003C4FEB">
        <w:rPr>
          <w:rFonts w:eastAsiaTheme="minorEastAsia"/>
        </w:rPr>
        <w:t>tending toward large polar angles suggests that this platform retains the potential for wide-angle beam steering applications.</w:t>
      </w:r>
    </w:p>
    <w:p w14:paraId="02940C7C" w14:textId="5645F5C0" w:rsidR="00F12A75" w:rsidRPr="00F12A75" w:rsidRDefault="002872F3" w:rsidP="00F12A75">
      <w:pPr>
        <w:widowControl/>
        <w:spacing w:afterLines="0" w:after="0"/>
        <w:ind w:firstLineChars="0" w:firstLine="0"/>
        <w:rPr>
          <w:rFonts w:asciiTheme="minorEastAsia" w:eastAsiaTheme="minorEastAsia" w:hAnsiTheme="minorEastAsia"/>
        </w:rPr>
      </w:pPr>
      <w:r>
        <w:rPr>
          <w:rFonts w:asciiTheme="minorEastAsia" w:hAnsiTheme="minorEastAsia"/>
        </w:rPr>
        <w:br w:type="page"/>
      </w:r>
    </w:p>
    <w:tbl>
      <w:tblPr>
        <w:tblStyle w:val="a3"/>
        <w:tblW w:w="9072" w:type="dxa"/>
        <w:jc w:val="center"/>
        <w:tblBorders>
          <w:top w:val="none" w:sz="0" w:space="0" w:color="auto"/>
          <w:left w:val="none" w:sz="0" w:space="0" w:color="auto"/>
          <w:bottom w:val="none" w:sz="0" w:space="0" w:color="auto"/>
          <w:right w:val="none" w:sz="0" w:space="0" w:color="auto"/>
          <w:insideH w:val="dashed" w:sz="4" w:space="0" w:color="auto"/>
          <w:insideV w:val="dashed" w:sz="4" w:space="0" w:color="auto"/>
        </w:tblBorders>
        <w:tblLayout w:type="fixed"/>
        <w:tblLook w:val="04A0" w:firstRow="1" w:lastRow="0" w:firstColumn="1" w:lastColumn="0" w:noHBand="0" w:noVBand="1"/>
      </w:tblPr>
      <w:tblGrid>
        <w:gridCol w:w="533"/>
        <w:gridCol w:w="2224"/>
        <w:gridCol w:w="2205"/>
        <w:gridCol w:w="2126"/>
        <w:gridCol w:w="1984"/>
      </w:tblGrid>
      <w:tr w:rsidR="00F12A75" w14:paraId="7C2177B2" w14:textId="77777777" w:rsidTr="003928FB">
        <w:trPr>
          <w:cantSplit/>
          <w:trHeight w:val="354"/>
          <w:jc w:val="center"/>
        </w:trPr>
        <w:tc>
          <w:tcPr>
            <w:tcW w:w="533" w:type="dxa"/>
            <w:tcBorders>
              <w:top w:val="nil"/>
              <w:bottom w:val="dashed" w:sz="4" w:space="0" w:color="auto"/>
            </w:tcBorders>
            <w:vAlign w:val="center"/>
          </w:tcPr>
          <w:p w14:paraId="04AFB071" w14:textId="77777777" w:rsidR="00F12A75" w:rsidRPr="00335F2A" w:rsidRDefault="00F12A75" w:rsidP="00F12A75">
            <w:pPr>
              <w:pStyle w:val="ab"/>
              <w:rPr>
                <w:rFonts w:eastAsia="Arial Unicode MS"/>
                <w:noProof/>
                <w:sz w:val="18"/>
                <w:szCs w:val="20"/>
              </w:rPr>
            </w:pPr>
            <w:r w:rsidRPr="00335F2A">
              <w:rPr>
                <w:rFonts w:eastAsia="Arial Unicode MS" w:hint="eastAsia"/>
                <w:noProof/>
                <w:sz w:val="18"/>
                <w:szCs w:val="20"/>
              </w:rPr>
              <w:lastRenderedPageBreak/>
              <w:t>λ</w:t>
            </w:r>
          </w:p>
        </w:tc>
        <w:tc>
          <w:tcPr>
            <w:tcW w:w="2224" w:type="dxa"/>
            <w:tcBorders>
              <w:bottom w:val="dashed" w:sz="4" w:space="0" w:color="auto"/>
            </w:tcBorders>
            <w:vAlign w:val="center"/>
          </w:tcPr>
          <w:p w14:paraId="43CBB569" w14:textId="7EE5AE73" w:rsidR="00F12A75" w:rsidRPr="00335F2A" w:rsidRDefault="00F12A75" w:rsidP="00F12A75">
            <w:pPr>
              <w:pStyle w:val="ab"/>
              <w:jc w:val="center"/>
              <w:rPr>
                <w:rFonts w:eastAsia="Arial Unicode MS"/>
                <w:noProof/>
                <w:sz w:val="18"/>
                <w:szCs w:val="20"/>
              </w:rPr>
            </w:pPr>
            <w:r w:rsidRPr="00335F2A">
              <w:rPr>
                <w:rFonts w:eastAsia="Arial Unicode MS"/>
                <w:noProof/>
                <w:sz w:val="18"/>
                <w:szCs w:val="20"/>
              </w:rPr>
              <w:t>SPP mapping in</w:t>
            </w:r>
          </w:p>
          <w:p w14:paraId="631085CA" w14:textId="449C85F4" w:rsidR="00F12A75" w:rsidRPr="00335F2A" w:rsidRDefault="00F12A75" w:rsidP="00F12A75">
            <w:pPr>
              <w:pStyle w:val="ab"/>
              <w:jc w:val="center"/>
              <w:rPr>
                <w:rFonts w:eastAsia="Arial Unicode MS"/>
                <w:noProof/>
                <w:sz w:val="18"/>
                <w:szCs w:val="20"/>
              </w:rPr>
            </w:pPr>
            <w:r w:rsidRPr="00335F2A">
              <w:rPr>
                <w:rFonts w:eastAsia="Arial Unicode MS"/>
                <w:noProof/>
                <w:sz w:val="18"/>
                <w:szCs w:val="20"/>
              </w:rPr>
              <w:t>3D k-space</w:t>
            </w:r>
          </w:p>
        </w:tc>
        <w:tc>
          <w:tcPr>
            <w:tcW w:w="2205" w:type="dxa"/>
            <w:tcBorders>
              <w:bottom w:val="dashed" w:sz="4" w:space="0" w:color="auto"/>
            </w:tcBorders>
            <w:vAlign w:val="center"/>
          </w:tcPr>
          <w:p w14:paraId="5DB20E4E" w14:textId="4C627ABF" w:rsidR="00F12A75" w:rsidRPr="00335F2A" w:rsidRDefault="00F12A75" w:rsidP="00F12A75">
            <w:pPr>
              <w:pStyle w:val="ab"/>
              <w:jc w:val="center"/>
              <w:rPr>
                <w:rFonts w:eastAsia="Arial Unicode MS"/>
                <w:noProof/>
                <w:sz w:val="18"/>
                <w:szCs w:val="20"/>
              </w:rPr>
            </w:pPr>
            <w:r w:rsidRPr="00335F2A">
              <w:rPr>
                <w:rFonts w:eastAsia="Arial Unicode MS"/>
                <w:noProof/>
                <w:sz w:val="18"/>
                <w:szCs w:val="20"/>
              </w:rPr>
              <w:t>SPP mapping onto</w:t>
            </w:r>
          </w:p>
          <w:p w14:paraId="0BE983B3" w14:textId="78FB59D4" w:rsidR="00F12A75" w:rsidRPr="00335F2A" w:rsidRDefault="00F12A75" w:rsidP="00F12A75">
            <w:pPr>
              <w:pStyle w:val="ab"/>
              <w:jc w:val="center"/>
              <w:rPr>
                <w:rFonts w:eastAsia="Arial Unicode MS"/>
                <w:noProof/>
                <w:sz w:val="18"/>
                <w:szCs w:val="20"/>
              </w:rPr>
            </w:pPr>
            <w:r w:rsidRPr="00335F2A">
              <w:rPr>
                <w:rFonts w:eastAsia="Arial Unicode MS"/>
                <w:noProof/>
                <w:sz w:val="18"/>
                <w:szCs w:val="20"/>
              </w:rPr>
              <w:t>2D plane</w:t>
            </w:r>
          </w:p>
        </w:tc>
        <w:tc>
          <w:tcPr>
            <w:tcW w:w="2126" w:type="dxa"/>
            <w:tcBorders>
              <w:bottom w:val="dashed" w:sz="4" w:space="0" w:color="auto"/>
            </w:tcBorders>
            <w:vAlign w:val="center"/>
          </w:tcPr>
          <w:p w14:paraId="0E12B63B" w14:textId="790BCCB9" w:rsidR="00F12A75" w:rsidRPr="00335F2A" w:rsidRDefault="00F12A75" w:rsidP="00F12A75">
            <w:pPr>
              <w:pStyle w:val="ab"/>
              <w:jc w:val="center"/>
              <w:rPr>
                <w:rFonts w:eastAsia="Arial Unicode MS"/>
                <w:noProof/>
                <w:sz w:val="18"/>
                <w:szCs w:val="20"/>
              </w:rPr>
            </w:pPr>
            <w:r w:rsidRPr="00335F2A">
              <w:rPr>
                <w:rFonts w:eastAsia="Arial Unicode MS"/>
                <w:noProof/>
                <w:sz w:val="18"/>
                <w:szCs w:val="20"/>
              </w:rPr>
              <w:t>Far-field pattern in</w:t>
            </w:r>
          </w:p>
          <w:p w14:paraId="186E0EBF" w14:textId="12DB9C95" w:rsidR="00F12A75" w:rsidRPr="00335F2A" w:rsidRDefault="00F12A75" w:rsidP="00F12A75">
            <w:pPr>
              <w:pStyle w:val="ab"/>
              <w:jc w:val="center"/>
              <w:rPr>
                <w:rFonts w:eastAsia="Arial Unicode MS"/>
                <w:noProof/>
                <w:sz w:val="18"/>
                <w:szCs w:val="20"/>
              </w:rPr>
            </w:pPr>
            <w:r w:rsidRPr="00335F2A">
              <w:rPr>
                <w:rFonts w:eastAsia="Arial Unicode MS"/>
                <w:noProof/>
                <w:sz w:val="18"/>
                <w:szCs w:val="20"/>
              </w:rPr>
              <w:t>3D real-space</w:t>
            </w:r>
          </w:p>
        </w:tc>
        <w:tc>
          <w:tcPr>
            <w:tcW w:w="1984" w:type="dxa"/>
            <w:tcBorders>
              <w:bottom w:val="dashed" w:sz="4" w:space="0" w:color="auto"/>
            </w:tcBorders>
            <w:vAlign w:val="center"/>
          </w:tcPr>
          <w:p w14:paraId="51386903" w14:textId="37597543" w:rsidR="00F12A75" w:rsidRPr="00335F2A" w:rsidRDefault="00F12A75" w:rsidP="003928FB">
            <w:pPr>
              <w:pStyle w:val="ab"/>
              <w:jc w:val="center"/>
              <w:rPr>
                <w:rFonts w:eastAsia="Arial Unicode MS"/>
                <w:noProof/>
                <w:sz w:val="18"/>
                <w:szCs w:val="20"/>
              </w:rPr>
            </w:pPr>
            <w:r w:rsidRPr="00335F2A">
              <w:rPr>
                <w:rFonts w:eastAsia="Arial Unicode MS"/>
                <w:noProof/>
                <w:sz w:val="18"/>
                <w:szCs w:val="20"/>
              </w:rPr>
              <w:t>Far-field patternonto 2D plane</w:t>
            </w:r>
          </w:p>
        </w:tc>
      </w:tr>
      <w:tr w:rsidR="003928FB" w14:paraId="64FEE20C" w14:textId="77777777" w:rsidTr="003928FB">
        <w:trPr>
          <w:cantSplit/>
          <w:trHeight w:val="70"/>
          <w:jc w:val="center"/>
        </w:trPr>
        <w:tc>
          <w:tcPr>
            <w:tcW w:w="533" w:type="dxa"/>
            <w:tcBorders>
              <w:top w:val="dashed" w:sz="4" w:space="0" w:color="auto"/>
              <w:bottom w:val="nil"/>
            </w:tcBorders>
            <w:vAlign w:val="center"/>
          </w:tcPr>
          <w:p w14:paraId="7792E27D" w14:textId="77777777" w:rsidR="003928FB" w:rsidRPr="00335F2A" w:rsidRDefault="003928FB" w:rsidP="00F12A75">
            <w:pPr>
              <w:pStyle w:val="ab"/>
              <w:rPr>
                <w:rFonts w:eastAsia="Arial Unicode MS"/>
                <w:noProof/>
                <w:sz w:val="18"/>
                <w:szCs w:val="20"/>
              </w:rPr>
            </w:pPr>
          </w:p>
        </w:tc>
        <w:tc>
          <w:tcPr>
            <w:tcW w:w="2224" w:type="dxa"/>
            <w:tcBorders>
              <w:top w:val="dashed" w:sz="4" w:space="0" w:color="auto"/>
              <w:bottom w:val="nil"/>
            </w:tcBorders>
            <w:vAlign w:val="center"/>
          </w:tcPr>
          <w:p w14:paraId="5907D90F" w14:textId="2132E06B" w:rsidR="003928FB" w:rsidRPr="00BD2A1F" w:rsidRDefault="003928FB" w:rsidP="003928FB">
            <w:pPr>
              <w:pStyle w:val="ab"/>
              <w:jc w:val="center"/>
              <w:rPr>
                <w:rFonts w:ascii="Arial Unicode MS" w:eastAsia="Arial Unicode MS" w:hAnsi="Arial Unicode MS" w:cs="Arial Unicode MS"/>
                <w:b/>
                <w:bCs/>
                <w:noProof/>
                <w:sz w:val="15"/>
                <w:szCs w:val="15"/>
              </w:rPr>
            </w:pPr>
            <w:r w:rsidRPr="00BD2A1F">
              <w:rPr>
                <w:rFonts w:ascii="Arial Unicode MS" w:eastAsia="Arial Unicode MS" w:hAnsi="Arial Unicode MS" w:cs="Arial Unicode MS" w:hint="eastAsia"/>
                <w:b/>
                <w:bCs/>
                <w:noProof/>
                <w:sz w:val="15"/>
                <w:szCs w:val="15"/>
              </w:rPr>
              <w:t>a</w:t>
            </w:r>
          </w:p>
        </w:tc>
        <w:tc>
          <w:tcPr>
            <w:tcW w:w="2205" w:type="dxa"/>
            <w:tcBorders>
              <w:top w:val="dashed" w:sz="4" w:space="0" w:color="auto"/>
              <w:bottom w:val="nil"/>
            </w:tcBorders>
            <w:vAlign w:val="center"/>
          </w:tcPr>
          <w:p w14:paraId="1D1EF3D6" w14:textId="37D83E97" w:rsidR="003928FB" w:rsidRPr="00BD2A1F" w:rsidRDefault="003928FB" w:rsidP="003928FB">
            <w:pPr>
              <w:pStyle w:val="ab"/>
              <w:jc w:val="center"/>
              <w:rPr>
                <w:rFonts w:ascii="Arial Unicode MS" w:eastAsia="Arial Unicode MS" w:hAnsi="Arial Unicode MS" w:cs="Arial Unicode MS"/>
                <w:b/>
                <w:bCs/>
                <w:noProof/>
                <w:sz w:val="15"/>
                <w:szCs w:val="15"/>
              </w:rPr>
            </w:pPr>
            <w:r w:rsidRPr="00BD2A1F">
              <w:rPr>
                <w:rFonts w:ascii="Arial Unicode MS" w:eastAsia="Arial Unicode MS" w:hAnsi="Arial Unicode MS" w:cs="Arial Unicode MS" w:hint="eastAsia"/>
                <w:b/>
                <w:bCs/>
                <w:noProof/>
                <w:sz w:val="15"/>
                <w:szCs w:val="15"/>
              </w:rPr>
              <w:t>b</w:t>
            </w:r>
          </w:p>
        </w:tc>
        <w:tc>
          <w:tcPr>
            <w:tcW w:w="2126" w:type="dxa"/>
            <w:tcBorders>
              <w:top w:val="dashed" w:sz="4" w:space="0" w:color="auto"/>
              <w:bottom w:val="nil"/>
            </w:tcBorders>
            <w:vAlign w:val="center"/>
          </w:tcPr>
          <w:p w14:paraId="477D14FC" w14:textId="7DE5F8E6" w:rsidR="003928FB" w:rsidRPr="00BD2A1F" w:rsidRDefault="003928FB" w:rsidP="003928FB">
            <w:pPr>
              <w:pStyle w:val="ab"/>
              <w:jc w:val="center"/>
              <w:rPr>
                <w:rFonts w:ascii="Arial Unicode MS" w:eastAsia="Arial Unicode MS" w:hAnsi="Arial Unicode MS" w:cs="Arial Unicode MS"/>
                <w:b/>
                <w:bCs/>
                <w:noProof/>
                <w:sz w:val="15"/>
                <w:szCs w:val="15"/>
              </w:rPr>
            </w:pPr>
            <w:r w:rsidRPr="00BD2A1F">
              <w:rPr>
                <w:rFonts w:ascii="Arial Unicode MS" w:eastAsia="Arial Unicode MS" w:hAnsi="Arial Unicode MS" w:cs="Arial Unicode MS" w:hint="eastAsia"/>
                <w:b/>
                <w:bCs/>
                <w:noProof/>
                <w:sz w:val="15"/>
                <w:szCs w:val="15"/>
              </w:rPr>
              <w:t>c</w:t>
            </w:r>
          </w:p>
        </w:tc>
        <w:tc>
          <w:tcPr>
            <w:tcW w:w="1984" w:type="dxa"/>
            <w:tcBorders>
              <w:top w:val="dashed" w:sz="4" w:space="0" w:color="auto"/>
              <w:bottom w:val="nil"/>
            </w:tcBorders>
            <w:vAlign w:val="center"/>
          </w:tcPr>
          <w:p w14:paraId="249AE2E3" w14:textId="7A8A8BC8" w:rsidR="003928FB" w:rsidRPr="00BD2A1F" w:rsidRDefault="003928FB" w:rsidP="003928FB">
            <w:pPr>
              <w:pStyle w:val="ab"/>
              <w:jc w:val="center"/>
              <w:rPr>
                <w:rFonts w:ascii="Arial Unicode MS" w:eastAsia="Arial Unicode MS" w:hAnsi="Arial Unicode MS" w:cs="Arial Unicode MS"/>
                <w:b/>
                <w:bCs/>
                <w:noProof/>
                <w:sz w:val="15"/>
                <w:szCs w:val="15"/>
              </w:rPr>
            </w:pPr>
            <w:r w:rsidRPr="00BD2A1F">
              <w:rPr>
                <w:rFonts w:ascii="Arial Unicode MS" w:eastAsia="Arial Unicode MS" w:hAnsi="Arial Unicode MS" w:cs="Arial Unicode MS" w:hint="eastAsia"/>
                <w:b/>
                <w:bCs/>
                <w:noProof/>
                <w:sz w:val="15"/>
                <w:szCs w:val="15"/>
              </w:rPr>
              <w:t>d</w:t>
            </w:r>
          </w:p>
        </w:tc>
      </w:tr>
      <w:tr w:rsidR="00F12A75" w14:paraId="5C300B9F" w14:textId="77777777" w:rsidTr="003928FB">
        <w:trPr>
          <w:cantSplit/>
          <w:trHeight w:val="1134"/>
          <w:jc w:val="center"/>
        </w:trPr>
        <w:tc>
          <w:tcPr>
            <w:tcW w:w="533" w:type="dxa"/>
            <w:tcBorders>
              <w:top w:val="nil"/>
            </w:tcBorders>
            <w:textDirection w:val="tbRlV"/>
            <w:vAlign w:val="center"/>
          </w:tcPr>
          <w:p w14:paraId="2AF9DF2D" w14:textId="77777777" w:rsidR="00F12A75" w:rsidRPr="00335F2A" w:rsidRDefault="00F12A75" w:rsidP="00F12A75">
            <w:pPr>
              <w:pStyle w:val="ab"/>
              <w:jc w:val="center"/>
              <w:rPr>
                <w:rFonts w:eastAsia="Arial Unicode MS"/>
                <w:noProof/>
                <w:sz w:val="18"/>
                <w:szCs w:val="20"/>
              </w:rPr>
            </w:pPr>
            <w:r w:rsidRPr="00335F2A">
              <w:rPr>
                <w:rFonts w:eastAsia="Arial Unicode MS" w:hint="eastAsia"/>
                <w:noProof/>
                <w:sz w:val="18"/>
                <w:szCs w:val="20"/>
              </w:rPr>
              <w:t>5</w:t>
            </w:r>
            <w:r w:rsidRPr="00335F2A">
              <w:rPr>
                <w:rFonts w:eastAsia="Arial Unicode MS"/>
                <w:noProof/>
                <w:sz w:val="18"/>
                <w:szCs w:val="20"/>
              </w:rPr>
              <w:t xml:space="preserve">70 </w:t>
            </w:r>
            <w:r w:rsidRPr="00335F2A">
              <w:rPr>
                <w:rFonts w:eastAsia="Arial Unicode MS" w:hint="eastAsia"/>
                <w:noProof/>
                <w:sz w:val="18"/>
                <w:szCs w:val="20"/>
              </w:rPr>
              <w:t>nm</w:t>
            </w:r>
          </w:p>
        </w:tc>
        <w:tc>
          <w:tcPr>
            <w:tcW w:w="2224" w:type="dxa"/>
            <w:tcBorders>
              <w:top w:val="nil"/>
            </w:tcBorders>
            <w:vAlign w:val="center"/>
          </w:tcPr>
          <w:p w14:paraId="4EF39065" w14:textId="77777777" w:rsidR="00F12A75" w:rsidRDefault="00F12A75" w:rsidP="00F12A75">
            <w:pPr>
              <w:pStyle w:val="ab"/>
            </w:pPr>
            <w:r>
              <w:rPr>
                <w:noProof/>
              </w:rPr>
              <w:drawing>
                <wp:inline distT="0" distB="0" distL="0" distR="0" wp14:anchorId="3ED375E9" wp14:editId="2283C924">
                  <wp:extent cx="1264817" cy="115200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64817" cy="1152000"/>
                          </a:xfrm>
                          <a:prstGeom prst="rect">
                            <a:avLst/>
                          </a:prstGeom>
                          <a:noFill/>
                          <a:ln>
                            <a:noFill/>
                          </a:ln>
                        </pic:spPr>
                      </pic:pic>
                    </a:graphicData>
                  </a:graphic>
                </wp:inline>
              </w:drawing>
            </w:r>
          </w:p>
        </w:tc>
        <w:tc>
          <w:tcPr>
            <w:tcW w:w="2205" w:type="dxa"/>
            <w:tcBorders>
              <w:top w:val="nil"/>
            </w:tcBorders>
            <w:vAlign w:val="center"/>
          </w:tcPr>
          <w:p w14:paraId="70F764BB" w14:textId="77777777" w:rsidR="00F12A75" w:rsidRDefault="00F12A75" w:rsidP="00F12A75">
            <w:pPr>
              <w:pStyle w:val="ab"/>
            </w:pPr>
            <w:r>
              <w:rPr>
                <w:noProof/>
              </w:rPr>
              <w:drawing>
                <wp:inline distT="0" distB="0" distL="0" distR="0" wp14:anchorId="4D2AAC8A" wp14:editId="792A0ED5">
                  <wp:extent cx="1092713" cy="1080000"/>
                  <wp:effectExtent l="0" t="0" r="0" b="635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92713" cy="1080000"/>
                          </a:xfrm>
                          <a:prstGeom prst="rect">
                            <a:avLst/>
                          </a:prstGeom>
                          <a:noFill/>
                          <a:ln>
                            <a:noFill/>
                          </a:ln>
                        </pic:spPr>
                      </pic:pic>
                    </a:graphicData>
                  </a:graphic>
                </wp:inline>
              </w:drawing>
            </w:r>
          </w:p>
        </w:tc>
        <w:tc>
          <w:tcPr>
            <w:tcW w:w="2126" w:type="dxa"/>
            <w:tcBorders>
              <w:top w:val="nil"/>
            </w:tcBorders>
            <w:vAlign w:val="center"/>
          </w:tcPr>
          <w:p w14:paraId="5DE0454E" w14:textId="77777777" w:rsidR="00F12A75" w:rsidRDefault="00F12A75" w:rsidP="00F12A75">
            <w:pPr>
              <w:pStyle w:val="ab"/>
            </w:pPr>
            <w:r>
              <w:rPr>
                <w:noProof/>
              </w:rPr>
              <w:drawing>
                <wp:inline distT="0" distB="0" distL="0" distR="0" wp14:anchorId="5D880660" wp14:editId="46697A99">
                  <wp:extent cx="1185766" cy="1080000"/>
                  <wp:effectExtent l="0" t="0" r="0" b="635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85766" cy="1080000"/>
                          </a:xfrm>
                          <a:prstGeom prst="rect">
                            <a:avLst/>
                          </a:prstGeom>
                          <a:noFill/>
                          <a:ln>
                            <a:noFill/>
                          </a:ln>
                        </pic:spPr>
                      </pic:pic>
                    </a:graphicData>
                  </a:graphic>
                </wp:inline>
              </w:drawing>
            </w:r>
          </w:p>
        </w:tc>
        <w:tc>
          <w:tcPr>
            <w:tcW w:w="1984" w:type="dxa"/>
            <w:tcBorders>
              <w:top w:val="nil"/>
            </w:tcBorders>
            <w:vAlign w:val="center"/>
          </w:tcPr>
          <w:p w14:paraId="7FCFA669" w14:textId="77777777" w:rsidR="00F12A75" w:rsidRDefault="00F12A75" w:rsidP="00F12A75">
            <w:pPr>
              <w:pStyle w:val="ab"/>
            </w:pPr>
            <w:r>
              <w:rPr>
                <w:noProof/>
              </w:rPr>
              <w:drawing>
                <wp:inline distT="0" distB="0" distL="0" distR="0" wp14:anchorId="579124BC" wp14:editId="763B2260">
                  <wp:extent cx="1092713" cy="1080000"/>
                  <wp:effectExtent l="0" t="0" r="0" b="635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92713" cy="1080000"/>
                          </a:xfrm>
                          <a:prstGeom prst="rect">
                            <a:avLst/>
                          </a:prstGeom>
                          <a:noFill/>
                          <a:ln>
                            <a:noFill/>
                          </a:ln>
                        </pic:spPr>
                      </pic:pic>
                    </a:graphicData>
                  </a:graphic>
                </wp:inline>
              </w:drawing>
            </w:r>
          </w:p>
        </w:tc>
      </w:tr>
      <w:tr w:rsidR="00F12A75" w14:paraId="1BD08775" w14:textId="77777777" w:rsidTr="003928FB">
        <w:trPr>
          <w:cantSplit/>
          <w:trHeight w:val="1134"/>
          <w:jc w:val="center"/>
        </w:trPr>
        <w:tc>
          <w:tcPr>
            <w:tcW w:w="533" w:type="dxa"/>
            <w:textDirection w:val="tbRlV"/>
            <w:vAlign w:val="center"/>
          </w:tcPr>
          <w:p w14:paraId="3A3AA7CE" w14:textId="77777777" w:rsidR="00F12A75" w:rsidRPr="00335F2A" w:rsidRDefault="00F12A75" w:rsidP="00F12A75">
            <w:pPr>
              <w:pStyle w:val="ab"/>
              <w:jc w:val="center"/>
              <w:rPr>
                <w:sz w:val="18"/>
                <w:szCs w:val="20"/>
              </w:rPr>
            </w:pPr>
            <w:r w:rsidRPr="00335F2A">
              <w:rPr>
                <w:rFonts w:eastAsia="Arial Unicode MS"/>
                <w:noProof/>
                <w:sz w:val="18"/>
                <w:szCs w:val="20"/>
              </w:rPr>
              <w:t xml:space="preserve">590 </w:t>
            </w:r>
            <w:r w:rsidRPr="00335F2A">
              <w:rPr>
                <w:rFonts w:eastAsia="Arial Unicode MS" w:hint="eastAsia"/>
                <w:noProof/>
                <w:sz w:val="18"/>
                <w:szCs w:val="20"/>
              </w:rPr>
              <w:t>nm</w:t>
            </w:r>
          </w:p>
        </w:tc>
        <w:tc>
          <w:tcPr>
            <w:tcW w:w="2224" w:type="dxa"/>
            <w:vAlign w:val="center"/>
          </w:tcPr>
          <w:p w14:paraId="774469E4" w14:textId="77777777" w:rsidR="00F12A75" w:rsidRDefault="00F12A75" w:rsidP="00F12A75">
            <w:pPr>
              <w:pStyle w:val="ab"/>
            </w:pPr>
            <w:r>
              <w:rPr>
                <w:noProof/>
              </w:rPr>
              <w:drawing>
                <wp:inline distT="0" distB="0" distL="0" distR="0" wp14:anchorId="55A2B429" wp14:editId="004FF227">
                  <wp:extent cx="1264817" cy="115200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64817" cy="1152000"/>
                          </a:xfrm>
                          <a:prstGeom prst="rect">
                            <a:avLst/>
                          </a:prstGeom>
                          <a:noFill/>
                          <a:ln>
                            <a:noFill/>
                          </a:ln>
                        </pic:spPr>
                      </pic:pic>
                    </a:graphicData>
                  </a:graphic>
                </wp:inline>
              </w:drawing>
            </w:r>
          </w:p>
        </w:tc>
        <w:tc>
          <w:tcPr>
            <w:tcW w:w="2205" w:type="dxa"/>
            <w:vAlign w:val="center"/>
          </w:tcPr>
          <w:p w14:paraId="169F4ACA" w14:textId="77777777" w:rsidR="00F12A75" w:rsidRDefault="00F12A75" w:rsidP="00F12A75">
            <w:pPr>
              <w:pStyle w:val="ab"/>
            </w:pPr>
            <w:r>
              <w:rPr>
                <w:noProof/>
              </w:rPr>
              <w:drawing>
                <wp:inline distT="0" distB="0" distL="0" distR="0" wp14:anchorId="6B638C96" wp14:editId="651544DC">
                  <wp:extent cx="1092713" cy="1080000"/>
                  <wp:effectExtent l="0" t="0" r="0" b="635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92713" cy="1080000"/>
                          </a:xfrm>
                          <a:prstGeom prst="rect">
                            <a:avLst/>
                          </a:prstGeom>
                          <a:noFill/>
                          <a:ln>
                            <a:noFill/>
                          </a:ln>
                        </pic:spPr>
                      </pic:pic>
                    </a:graphicData>
                  </a:graphic>
                </wp:inline>
              </w:drawing>
            </w:r>
          </w:p>
        </w:tc>
        <w:tc>
          <w:tcPr>
            <w:tcW w:w="2126" w:type="dxa"/>
            <w:vAlign w:val="center"/>
          </w:tcPr>
          <w:p w14:paraId="7804DDB4" w14:textId="77777777" w:rsidR="00F12A75" w:rsidRDefault="00F12A75" w:rsidP="00F12A75">
            <w:pPr>
              <w:pStyle w:val="ab"/>
            </w:pPr>
            <w:r>
              <w:rPr>
                <w:noProof/>
              </w:rPr>
              <w:drawing>
                <wp:inline distT="0" distB="0" distL="0" distR="0" wp14:anchorId="7BFF9B30" wp14:editId="17F17687">
                  <wp:extent cx="1185766" cy="1080000"/>
                  <wp:effectExtent l="0" t="0" r="0" b="635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85766" cy="1080000"/>
                          </a:xfrm>
                          <a:prstGeom prst="rect">
                            <a:avLst/>
                          </a:prstGeom>
                          <a:noFill/>
                          <a:ln>
                            <a:noFill/>
                          </a:ln>
                        </pic:spPr>
                      </pic:pic>
                    </a:graphicData>
                  </a:graphic>
                </wp:inline>
              </w:drawing>
            </w:r>
          </w:p>
        </w:tc>
        <w:tc>
          <w:tcPr>
            <w:tcW w:w="1984" w:type="dxa"/>
            <w:vAlign w:val="center"/>
          </w:tcPr>
          <w:p w14:paraId="6DBA36AD" w14:textId="77777777" w:rsidR="00F12A75" w:rsidRDefault="00F12A75" w:rsidP="00F12A75">
            <w:pPr>
              <w:pStyle w:val="ab"/>
            </w:pPr>
            <w:r>
              <w:rPr>
                <w:noProof/>
              </w:rPr>
              <w:drawing>
                <wp:inline distT="0" distB="0" distL="0" distR="0" wp14:anchorId="255CD6B6" wp14:editId="75A5CA66">
                  <wp:extent cx="1103610" cy="1080000"/>
                  <wp:effectExtent l="0" t="0" r="1905" b="635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03610" cy="1080000"/>
                          </a:xfrm>
                          <a:prstGeom prst="rect">
                            <a:avLst/>
                          </a:prstGeom>
                          <a:noFill/>
                          <a:ln>
                            <a:noFill/>
                          </a:ln>
                        </pic:spPr>
                      </pic:pic>
                    </a:graphicData>
                  </a:graphic>
                </wp:inline>
              </w:drawing>
            </w:r>
          </w:p>
        </w:tc>
      </w:tr>
      <w:tr w:rsidR="00F12A75" w14:paraId="10B4D1E7" w14:textId="77777777" w:rsidTr="003928FB">
        <w:trPr>
          <w:cantSplit/>
          <w:trHeight w:val="1134"/>
          <w:jc w:val="center"/>
        </w:trPr>
        <w:tc>
          <w:tcPr>
            <w:tcW w:w="533" w:type="dxa"/>
            <w:textDirection w:val="tbRlV"/>
            <w:vAlign w:val="center"/>
          </w:tcPr>
          <w:p w14:paraId="29E949AE" w14:textId="77777777" w:rsidR="00F12A75" w:rsidRPr="00335F2A" w:rsidRDefault="00F12A75" w:rsidP="00F12A75">
            <w:pPr>
              <w:pStyle w:val="ab"/>
              <w:jc w:val="center"/>
              <w:rPr>
                <w:sz w:val="18"/>
                <w:szCs w:val="20"/>
              </w:rPr>
            </w:pPr>
            <w:r w:rsidRPr="00335F2A">
              <w:rPr>
                <w:rFonts w:eastAsia="Arial Unicode MS"/>
                <w:noProof/>
                <w:sz w:val="18"/>
                <w:szCs w:val="20"/>
              </w:rPr>
              <w:t xml:space="preserve">610 </w:t>
            </w:r>
            <w:r w:rsidRPr="00335F2A">
              <w:rPr>
                <w:rFonts w:eastAsia="Arial Unicode MS" w:hint="eastAsia"/>
                <w:noProof/>
                <w:sz w:val="18"/>
                <w:szCs w:val="20"/>
              </w:rPr>
              <w:t>nm</w:t>
            </w:r>
          </w:p>
        </w:tc>
        <w:tc>
          <w:tcPr>
            <w:tcW w:w="2224" w:type="dxa"/>
            <w:vAlign w:val="center"/>
          </w:tcPr>
          <w:p w14:paraId="75BC5832" w14:textId="77777777" w:rsidR="00F12A75" w:rsidRDefault="00F12A75" w:rsidP="00F12A75">
            <w:pPr>
              <w:pStyle w:val="ab"/>
            </w:pPr>
            <w:r>
              <w:rPr>
                <w:noProof/>
              </w:rPr>
              <w:drawing>
                <wp:inline distT="0" distB="0" distL="0" distR="0" wp14:anchorId="7452936D" wp14:editId="26119543">
                  <wp:extent cx="1256411" cy="1152000"/>
                  <wp:effectExtent l="0" t="0" r="1270" b="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56411" cy="1152000"/>
                          </a:xfrm>
                          <a:prstGeom prst="rect">
                            <a:avLst/>
                          </a:prstGeom>
                          <a:noFill/>
                          <a:ln>
                            <a:noFill/>
                          </a:ln>
                        </pic:spPr>
                      </pic:pic>
                    </a:graphicData>
                  </a:graphic>
                </wp:inline>
              </w:drawing>
            </w:r>
          </w:p>
        </w:tc>
        <w:tc>
          <w:tcPr>
            <w:tcW w:w="2205" w:type="dxa"/>
            <w:vAlign w:val="center"/>
          </w:tcPr>
          <w:p w14:paraId="55907B03" w14:textId="77777777" w:rsidR="00F12A75" w:rsidRDefault="00F12A75" w:rsidP="00F12A75">
            <w:pPr>
              <w:pStyle w:val="ab"/>
            </w:pPr>
            <w:r>
              <w:rPr>
                <w:noProof/>
              </w:rPr>
              <w:drawing>
                <wp:inline distT="0" distB="0" distL="0" distR="0" wp14:anchorId="47F61469" wp14:editId="4679CD2C">
                  <wp:extent cx="1092713" cy="1080000"/>
                  <wp:effectExtent l="0" t="0" r="0" b="635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92713" cy="1080000"/>
                          </a:xfrm>
                          <a:prstGeom prst="rect">
                            <a:avLst/>
                          </a:prstGeom>
                          <a:noFill/>
                          <a:ln>
                            <a:noFill/>
                          </a:ln>
                        </pic:spPr>
                      </pic:pic>
                    </a:graphicData>
                  </a:graphic>
                </wp:inline>
              </w:drawing>
            </w:r>
          </w:p>
        </w:tc>
        <w:tc>
          <w:tcPr>
            <w:tcW w:w="2126" w:type="dxa"/>
            <w:vAlign w:val="center"/>
          </w:tcPr>
          <w:p w14:paraId="22CBFDE1" w14:textId="77777777" w:rsidR="00F12A75" w:rsidRDefault="00F12A75" w:rsidP="00F12A75">
            <w:pPr>
              <w:pStyle w:val="ab"/>
            </w:pPr>
            <w:r>
              <w:rPr>
                <w:noProof/>
              </w:rPr>
              <w:drawing>
                <wp:inline distT="0" distB="0" distL="0" distR="0" wp14:anchorId="49C0E055" wp14:editId="076B046F">
                  <wp:extent cx="1185766" cy="1080000"/>
                  <wp:effectExtent l="0" t="0" r="0" b="635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85766" cy="1080000"/>
                          </a:xfrm>
                          <a:prstGeom prst="rect">
                            <a:avLst/>
                          </a:prstGeom>
                          <a:noFill/>
                          <a:ln>
                            <a:noFill/>
                          </a:ln>
                        </pic:spPr>
                      </pic:pic>
                    </a:graphicData>
                  </a:graphic>
                </wp:inline>
              </w:drawing>
            </w:r>
          </w:p>
        </w:tc>
        <w:tc>
          <w:tcPr>
            <w:tcW w:w="1984" w:type="dxa"/>
            <w:vAlign w:val="center"/>
          </w:tcPr>
          <w:p w14:paraId="06D767C6" w14:textId="77777777" w:rsidR="00F12A75" w:rsidRDefault="00F12A75" w:rsidP="00F12A75">
            <w:pPr>
              <w:pStyle w:val="ab"/>
            </w:pPr>
            <w:r>
              <w:rPr>
                <w:noProof/>
              </w:rPr>
              <w:drawing>
                <wp:inline distT="0" distB="0" distL="0" distR="0" wp14:anchorId="2F95CADA" wp14:editId="2093CD56">
                  <wp:extent cx="1092713" cy="1080000"/>
                  <wp:effectExtent l="0" t="0" r="0" b="635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92713" cy="1080000"/>
                          </a:xfrm>
                          <a:prstGeom prst="rect">
                            <a:avLst/>
                          </a:prstGeom>
                          <a:noFill/>
                          <a:ln>
                            <a:noFill/>
                          </a:ln>
                        </pic:spPr>
                      </pic:pic>
                    </a:graphicData>
                  </a:graphic>
                </wp:inline>
              </w:drawing>
            </w:r>
          </w:p>
        </w:tc>
      </w:tr>
      <w:tr w:rsidR="00F12A75" w14:paraId="4E125BD9" w14:textId="77777777" w:rsidTr="003928FB">
        <w:trPr>
          <w:cantSplit/>
          <w:trHeight w:val="1134"/>
          <w:jc w:val="center"/>
        </w:trPr>
        <w:tc>
          <w:tcPr>
            <w:tcW w:w="533" w:type="dxa"/>
            <w:textDirection w:val="tbRlV"/>
            <w:vAlign w:val="center"/>
          </w:tcPr>
          <w:p w14:paraId="03E53C86" w14:textId="77777777" w:rsidR="00F12A75" w:rsidRPr="00335F2A" w:rsidRDefault="00F12A75" w:rsidP="00F12A75">
            <w:pPr>
              <w:pStyle w:val="ab"/>
              <w:jc w:val="center"/>
              <w:rPr>
                <w:sz w:val="18"/>
                <w:szCs w:val="20"/>
              </w:rPr>
            </w:pPr>
            <w:r w:rsidRPr="00335F2A">
              <w:rPr>
                <w:rFonts w:eastAsia="Arial Unicode MS"/>
                <w:noProof/>
                <w:sz w:val="18"/>
                <w:szCs w:val="20"/>
              </w:rPr>
              <w:t xml:space="preserve">630 </w:t>
            </w:r>
            <w:r w:rsidRPr="00335F2A">
              <w:rPr>
                <w:rFonts w:eastAsia="Arial Unicode MS" w:hint="eastAsia"/>
                <w:noProof/>
                <w:sz w:val="18"/>
                <w:szCs w:val="20"/>
              </w:rPr>
              <w:t>nm</w:t>
            </w:r>
          </w:p>
        </w:tc>
        <w:tc>
          <w:tcPr>
            <w:tcW w:w="2224" w:type="dxa"/>
            <w:vAlign w:val="center"/>
          </w:tcPr>
          <w:p w14:paraId="0C4F9D9A" w14:textId="77777777" w:rsidR="00F12A75" w:rsidRDefault="00F12A75" w:rsidP="00F12A75">
            <w:pPr>
              <w:pStyle w:val="ab"/>
            </w:pPr>
            <w:r>
              <w:rPr>
                <w:noProof/>
              </w:rPr>
              <w:drawing>
                <wp:inline distT="0" distB="0" distL="0" distR="0" wp14:anchorId="6139224C" wp14:editId="5FAA7E4C">
                  <wp:extent cx="1273337" cy="1152000"/>
                  <wp:effectExtent l="0" t="0" r="3175"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73337" cy="1152000"/>
                          </a:xfrm>
                          <a:prstGeom prst="rect">
                            <a:avLst/>
                          </a:prstGeom>
                          <a:noFill/>
                          <a:ln>
                            <a:noFill/>
                          </a:ln>
                        </pic:spPr>
                      </pic:pic>
                    </a:graphicData>
                  </a:graphic>
                </wp:inline>
              </w:drawing>
            </w:r>
          </w:p>
        </w:tc>
        <w:tc>
          <w:tcPr>
            <w:tcW w:w="2205" w:type="dxa"/>
            <w:vAlign w:val="center"/>
          </w:tcPr>
          <w:p w14:paraId="655DC3E8" w14:textId="77777777" w:rsidR="00F12A75" w:rsidRDefault="00F12A75" w:rsidP="00F12A75">
            <w:pPr>
              <w:pStyle w:val="ab"/>
            </w:pPr>
            <w:r>
              <w:rPr>
                <w:noProof/>
              </w:rPr>
              <w:drawing>
                <wp:inline distT="0" distB="0" distL="0" distR="0" wp14:anchorId="72BB5139" wp14:editId="1727FC7C">
                  <wp:extent cx="1092713" cy="1080000"/>
                  <wp:effectExtent l="0" t="0" r="0" b="635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92713" cy="1080000"/>
                          </a:xfrm>
                          <a:prstGeom prst="rect">
                            <a:avLst/>
                          </a:prstGeom>
                          <a:noFill/>
                          <a:ln>
                            <a:noFill/>
                          </a:ln>
                        </pic:spPr>
                      </pic:pic>
                    </a:graphicData>
                  </a:graphic>
                </wp:inline>
              </w:drawing>
            </w:r>
          </w:p>
        </w:tc>
        <w:tc>
          <w:tcPr>
            <w:tcW w:w="2126" w:type="dxa"/>
            <w:vAlign w:val="center"/>
          </w:tcPr>
          <w:p w14:paraId="59318681" w14:textId="77777777" w:rsidR="00F12A75" w:rsidRDefault="00F12A75" w:rsidP="00F12A75">
            <w:pPr>
              <w:pStyle w:val="ab"/>
            </w:pPr>
            <w:r>
              <w:rPr>
                <w:noProof/>
              </w:rPr>
              <w:drawing>
                <wp:inline distT="0" distB="0" distL="0" distR="0" wp14:anchorId="740DCF6D" wp14:editId="50DB7325">
                  <wp:extent cx="1185766" cy="1080000"/>
                  <wp:effectExtent l="0" t="0" r="0" b="635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85766" cy="1080000"/>
                          </a:xfrm>
                          <a:prstGeom prst="rect">
                            <a:avLst/>
                          </a:prstGeom>
                          <a:noFill/>
                          <a:ln>
                            <a:noFill/>
                          </a:ln>
                        </pic:spPr>
                      </pic:pic>
                    </a:graphicData>
                  </a:graphic>
                </wp:inline>
              </w:drawing>
            </w:r>
          </w:p>
        </w:tc>
        <w:tc>
          <w:tcPr>
            <w:tcW w:w="1984" w:type="dxa"/>
            <w:vAlign w:val="center"/>
          </w:tcPr>
          <w:p w14:paraId="5C01D9EE" w14:textId="77777777" w:rsidR="00F12A75" w:rsidRDefault="00F12A75" w:rsidP="00F12A75">
            <w:pPr>
              <w:pStyle w:val="ab"/>
            </w:pPr>
            <w:r>
              <w:rPr>
                <w:noProof/>
              </w:rPr>
              <w:drawing>
                <wp:inline distT="0" distB="0" distL="0" distR="0" wp14:anchorId="0DDD37AC" wp14:editId="7AAD842B">
                  <wp:extent cx="1098027" cy="1080000"/>
                  <wp:effectExtent l="0" t="0" r="6985" b="635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98027" cy="1080000"/>
                          </a:xfrm>
                          <a:prstGeom prst="rect">
                            <a:avLst/>
                          </a:prstGeom>
                          <a:noFill/>
                          <a:ln>
                            <a:noFill/>
                          </a:ln>
                        </pic:spPr>
                      </pic:pic>
                    </a:graphicData>
                  </a:graphic>
                </wp:inline>
              </w:drawing>
            </w:r>
          </w:p>
        </w:tc>
      </w:tr>
      <w:tr w:rsidR="00F12A75" w14:paraId="2A7BA9CD" w14:textId="77777777" w:rsidTr="003928FB">
        <w:trPr>
          <w:cantSplit/>
          <w:trHeight w:val="1134"/>
          <w:jc w:val="center"/>
        </w:trPr>
        <w:tc>
          <w:tcPr>
            <w:tcW w:w="533" w:type="dxa"/>
            <w:tcBorders>
              <w:bottom w:val="nil"/>
            </w:tcBorders>
            <w:textDirection w:val="tbRlV"/>
            <w:vAlign w:val="center"/>
          </w:tcPr>
          <w:p w14:paraId="315A6C40" w14:textId="77777777" w:rsidR="00F12A75" w:rsidRPr="00335F2A" w:rsidRDefault="00F12A75" w:rsidP="00F12A75">
            <w:pPr>
              <w:pStyle w:val="ab"/>
              <w:jc w:val="center"/>
              <w:rPr>
                <w:sz w:val="18"/>
                <w:szCs w:val="20"/>
              </w:rPr>
            </w:pPr>
            <w:r w:rsidRPr="00335F2A">
              <w:rPr>
                <w:rFonts w:eastAsia="Arial Unicode MS"/>
                <w:noProof/>
                <w:sz w:val="18"/>
                <w:szCs w:val="20"/>
              </w:rPr>
              <w:t xml:space="preserve">650 </w:t>
            </w:r>
            <w:r w:rsidRPr="00335F2A">
              <w:rPr>
                <w:rFonts w:eastAsia="Arial Unicode MS" w:hint="eastAsia"/>
                <w:noProof/>
                <w:sz w:val="18"/>
                <w:szCs w:val="20"/>
              </w:rPr>
              <w:t>nm</w:t>
            </w:r>
          </w:p>
        </w:tc>
        <w:tc>
          <w:tcPr>
            <w:tcW w:w="2224" w:type="dxa"/>
            <w:tcBorders>
              <w:bottom w:val="nil"/>
            </w:tcBorders>
            <w:vAlign w:val="center"/>
          </w:tcPr>
          <w:p w14:paraId="74F7939C" w14:textId="77777777" w:rsidR="00F12A75" w:rsidRDefault="00F12A75" w:rsidP="00F12A75">
            <w:pPr>
              <w:pStyle w:val="ab"/>
            </w:pPr>
            <w:r>
              <w:rPr>
                <w:noProof/>
              </w:rPr>
              <w:drawing>
                <wp:inline distT="0" distB="0" distL="0" distR="0" wp14:anchorId="6DB458C9" wp14:editId="6E25ADD2">
                  <wp:extent cx="1273337" cy="1152000"/>
                  <wp:effectExtent l="0" t="0" r="3175"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73337" cy="1152000"/>
                          </a:xfrm>
                          <a:prstGeom prst="rect">
                            <a:avLst/>
                          </a:prstGeom>
                          <a:noFill/>
                          <a:ln>
                            <a:noFill/>
                          </a:ln>
                        </pic:spPr>
                      </pic:pic>
                    </a:graphicData>
                  </a:graphic>
                </wp:inline>
              </w:drawing>
            </w:r>
          </w:p>
        </w:tc>
        <w:tc>
          <w:tcPr>
            <w:tcW w:w="2205" w:type="dxa"/>
            <w:tcBorders>
              <w:bottom w:val="nil"/>
            </w:tcBorders>
            <w:vAlign w:val="center"/>
          </w:tcPr>
          <w:p w14:paraId="58E6C8FF" w14:textId="77777777" w:rsidR="00F12A75" w:rsidRDefault="00F12A75" w:rsidP="00F12A75">
            <w:pPr>
              <w:pStyle w:val="ab"/>
            </w:pPr>
            <w:r>
              <w:rPr>
                <w:noProof/>
              </w:rPr>
              <w:drawing>
                <wp:inline distT="0" distB="0" distL="0" distR="0" wp14:anchorId="4B392D83" wp14:editId="6B93D733">
                  <wp:extent cx="1092713" cy="1080000"/>
                  <wp:effectExtent l="0" t="0" r="0" b="635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92713" cy="1080000"/>
                          </a:xfrm>
                          <a:prstGeom prst="rect">
                            <a:avLst/>
                          </a:prstGeom>
                          <a:noFill/>
                          <a:ln>
                            <a:noFill/>
                          </a:ln>
                        </pic:spPr>
                      </pic:pic>
                    </a:graphicData>
                  </a:graphic>
                </wp:inline>
              </w:drawing>
            </w:r>
          </w:p>
        </w:tc>
        <w:tc>
          <w:tcPr>
            <w:tcW w:w="2126" w:type="dxa"/>
            <w:tcBorders>
              <w:bottom w:val="nil"/>
            </w:tcBorders>
            <w:vAlign w:val="center"/>
          </w:tcPr>
          <w:p w14:paraId="28B9CC42" w14:textId="77777777" w:rsidR="00F12A75" w:rsidRDefault="00F12A75" w:rsidP="00F12A75">
            <w:pPr>
              <w:pStyle w:val="ab"/>
            </w:pPr>
            <w:r>
              <w:rPr>
                <w:noProof/>
              </w:rPr>
              <w:drawing>
                <wp:inline distT="0" distB="0" distL="0" distR="0" wp14:anchorId="21B3ACDA" wp14:editId="04FADB46">
                  <wp:extent cx="1185766" cy="1080000"/>
                  <wp:effectExtent l="0" t="0" r="0" b="635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85766" cy="1080000"/>
                          </a:xfrm>
                          <a:prstGeom prst="rect">
                            <a:avLst/>
                          </a:prstGeom>
                          <a:noFill/>
                          <a:ln>
                            <a:noFill/>
                          </a:ln>
                        </pic:spPr>
                      </pic:pic>
                    </a:graphicData>
                  </a:graphic>
                </wp:inline>
              </w:drawing>
            </w:r>
          </w:p>
        </w:tc>
        <w:tc>
          <w:tcPr>
            <w:tcW w:w="1984" w:type="dxa"/>
            <w:tcBorders>
              <w:bottom w:val="nil"/>
            </w:tcBorders>
            <w:vAlign w:val="center"/>
          </w:tcPr>
          <w:p w14:paraId="7ADDCFD9" w14:textId="77777777" w:rsidR="00F12A75" w:rsidRDefault="00F12A75" w:rsidP="00F12A75">
            <w:pPr>
              <w:pStyle w:val="ab"/>
            </w:pPr>
            <w:r>
              <w:rPr>
                <w:noProof/>
              </w:rPr>
              <w:drawing>
                <wp:inline distT="0" distB="0" distL="0" distR="0" wp14:anchorId="26BAC920" wp14:editId="66C2890B">
                  <wp:extent cx="1103610" cy="1080000"/>
                  <wp:effectExtent l="0" t="0" r="1905" b="635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03610" cy="1080000"/>
                          </a:xfrm>
                          <a:prstGeom prst="rect">
                            <a:avLst/>
                          </a:prstGeom>
                          <a:noFill/>
                          <a:ln>
                            <a:noFill/>
                          </a:ln>
                        </pic:spPr>
                      </pic:pic>
                    </a:graphicData>
                  </a:graphic>
                </wp:inline>
              </w:drawing>
            </w:r>
          </w:p>
        </w:tc>
      </w:tr>
      <w:tr w:rsidR="00F12A75" w14:paraId="0BEDA524" w14:textId="77777777" w:rsidTr="003928FB">
        <w:trPr>
          <w:cantSplit/>
          <w:trHeight w:val="374"/>
          <w:jc w:val="center"/>
        </w:trPr>
        <w:tc>
          <w:tcPr>
            <w:tcW w:w="533" w:type="dxa"/>
            <w:tcBorders>
              <w:top w:val="nil"/>
              <w:bottom w:val="nil"/>
              <w:right w:val="nil"/>
            </w:tcBorders>
            <w:textDirection w:val="tbRlV"/>
            <w:vAlign w:val="center"/>
          </w:tcPr>
          <w:p w14:paraId="652DDB96" w14:textId="77777777" w:rsidR="00F12A75" w:rsidRPr="000008ED" w:rsidRDefault="00F12A75" w:rsidP="00F12A75">
            <w:pPr>
              <w:pStyle w:val="ab"/>
              <w:rPr>
                <w:rFonts w:eastAsia="Arial Unicode MS"/>
                <w:noProof/>
              </w:rPr>
            </w:pPr>
          </w:p>
        </w:tc>
        <w:tc>
          <w:tcPr>
            <w:tcW w:w="6555" w:type="dxa"/>
            <w:gridSpan w:val="3"/>
            <w:tcBorders>
              <w:top w:val="nil"/>
              <w:left w:val="nil"/>
              <w:bottom w:val="nil"/>
              <w:right w:val="nil"/>
            </w:tcBorders>
            <w:vAlign w:val="bottom"/>
          </w:tcPr>
          <w:p w14:paraId="2B4DF996" w14:textId="77777777" w:rsidR="00F12A75" w:rsidRDefault="00F12A75" w:rsidP="00F12A75">
            <w:pPr>
              <w:pStyle w:val="ab"/>
              <w:jc w:val="center"/>
              <w:rPr>
                <w:noProof/>
              </w:rPr>
            </w:pPr>
            <w:r w:rsidRPr="00544D7A">
              <w:rPr>
                <w:noProof/>
              </w:rPr>
              <w:drawing>
                <wp:inline distT="0" distB="0" distL="0" distR="0" wp14:anchorId="50106295" wp14:editId="1FA2C413">
                  <wp:extent cx="1914392" cy="15240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43574" cy="154723"/>
                          </a:xfrm>
                          <a:prstGeom prst="rect">
                            <a:avLst/>
                          </a:prstGeom>
                          <a:noFill/>
                          <a:ln>
                            <a:noFill/>
                          </a:ln>
                        </pic:spPr>
                      </pic:pic>
                    </a:graphicData>
                  </a:graphic>
                </wp:inline>
              </w:drawing>
            </w:r>
          </w:p>
        </w:tc>
        <w:tc>
          <w:tcPr>
            <w:tcW w:w="1984" w:type="dxa"/>
            <w:tcBorders>
              <w:top w:val="nil"/>
              <w:left w:val="nil"/>
              <w:bottom w:val="nil"/>
            </w:tcBorders>
            <w:vAlign w:val="center"/>
          </w:tcPr>
          <w:p w14:paraId="696CBF24" w14:textId="77777777" w:rsidR="00F12A75" w:rsidRDefault="00F12A75" w:rsidP="00F12A75">
            <w:pPr>
              <w:pStyle w:val="ab"/>
              <w:rPr>
                <w:noProof/>
              </w:rPr>
            </w:pPr>
          </w:p>
        </w:tc>
      </w:tr>
    </w:tbl>
    <w:p w14:paraId="55817A29" w14:textId="63DAB0B3" w:rsidR="007A47A4" w:rsidRPr="00F12A75" w:rsidRDefault="00F12A75" w:rsidP="00F12A75">
      <w:pPr>
        <w:pStyle w:val="ab"/>
        <w:rPr>
          <w:rFonts w:eastAsiaTheme="minorEastAsia"/>
        </w:rPr>
      </w:pPr>
      <w:r w:rsidRPr="00F12A75">
        <w:rPr>
          <w:b/>
          <w:bCs/>
        </w:rPr>
        <w:t>Supplementary Figure 1</w:t>
      </w:r>
      <w:r w:rsidR="00C42CD7">
        <w:rPr>
          <w:rFonts w:eastAsiaTheme="minorEastAsia"/>
          <w:b/>
          <w:bCs/>
        </w:rPr>
        <w:t>5</w:t>
      </w:r>
      <w:r w:rsidRPr="00F12A75">
        <w:rPr>
          <w:rFonts w:eastAsiaTheme="minorEastAsia"/>
          <w:b/>
          <w:bCs/>
        </w:rPr>
        <w:t xml:space="preserve"> | </w:t>
      </w:r>
      <w:r w:rsidRPr="00F12A75">
        <w:rPr>
          <w:rFonts w:eastAsia="宋体"/>
          <w:b/>
          <w:bCs/>
        </w:rPr>
        <w:t>Analysis of diffraction orders and far-field symmetry.</w:t>
      </w:r>
      <w:r w:rsidRPr="00B43464">
        <w:rPr>
          <w:rFonts w:eastAsia="宋体"/>
        </w:rPr>
        <w:t> </w:t>
      </w:r>
      <w:r w:rsidRPr="00F12A75">
        <w:rPr>
          <w:rFonts w:eastAsia="宋体"/>
          <w:b/>
          <w:bCs/>
        </w:rPr>
        <w:t>a–c</w:t>
      </w:r>
      <w:r w:rsidRPr="00B43464">
        <w:rPr>
          <w:rFonts w:eastAsia="宋体"/>
        </w:rPr>
        <w:t>, Theoretical momentum-space maps of the allowed emission modes for selected wavelengths within the gain bandwidth. The different colors correspond to the six distinct first-order Bragg diffraction channels. </w:t>
      </w:r>
      <w:r w:rsidRPr="00F12A75">
        <w:rPr>
          <w:rFonts w:eastAsia="宋体"/>
          <w:b/>
          <w:bCs/>
        </w:rPr>
        <w:t>d</w:t>
      </w:r>
      <w:r w:rsidRPr="00B43464">
        <w:rPr>
          <w:rFonts w:eastAsia="宋体"/>
        </w:rPr>
        <w:t>, Composite projection of the emission patterns onto the 2D plane (</w:t>
      </w:r>
      <m:oMath>
        <m:sSub>
          <m:sSubPr>
            <m:ctrlPr>
              <w:rPr>
                <w:rFonts w:ascii="Cambria Math" w:hAnsi="Cambria Math"/>
              </w:rPr>
            </m:ctrlPr>
          </m:sSubPr>
          <m:e>
            <m:r>
              <m:rPr>
                <m:sty m:val="bi"/>
              </m:rPr>
              <w:rPr>
                <w:rFonts w:ascii="Cambria Math" w:eastAsia="宋体" w:hAnsi="Cambria Math"/>
              </w:rPr>
              <m:t>k</m:t>
            </m:r>
          </m:e>
          <m:sub>
            <m:r>
              <m:rPr>
                <m:sty m:val="bi"/>
              </m:rPr>
              <w:rPr>
                <w:rFonts w:ascii="Cambria Math" w:eastAsia="宋体" w:hAnsi="Cambria Math"/>
              </w:rPr>
              <m:t>x</m:t>
            </m:r>
          </m:sub>
        </m:sSub>
        <m:r>
          <m:rPr>
            <m:sty m:val="p"/>
          </m:rPr>
          <w:rPr>
            <w:rFonts w:ascii="Cambria Math" w:eastAsia="宋体" w:hAnsi="Cambria Math"/>
          </w:rPr>
          <m:t>,</m:t>
        </m:r>
        <m:sSub>
          <m:sSubPr>
            <m:ctrlPr>
              <w:rPr>
                <w:rFonts w:ascii="Cambria Math" w:hAnsi="Cambria Math"/>
              </w:rPr>
            </m:ctrlPr>
          </m:sSubPr>
          <m:e>
            <m:r>
              <m:rPr>
                <m:sty m:val="bi"/>
              </m:rPr>
              <w:rPr>
                <w:rFonts w:ascii="Cambria Math" w:eastAsia="宋体" w:hAnsi="Cambria Math"/>
              </w:rPr>
              <m:t>k</m:t>
            </m:r>
          </m:e>
          <m:sub>
            <m:r>
              <m:rPr>
                <m:sty m:val="bi"/>
              </m:rPr>
              <w:rPr>
                <w:rFonts w:ascii="Cambria Math" w:eastAsia="宋体" w:hAnsi="Cambria Math"/>
              </w:rPr>
              <m:t>y</m:t>
            </m:r>
          </m:sub>
        </m:sSub>
      </m:oMath>
      <w:r w:rsidRPr="00B43464">
        <w:rPr>
          <w:rFonts w:eastAsia="宋体"/>
        </w:rPr>
        <w:t>). The hexagonal arrangement of the emission lobes reflects the intrinsic </w:t>
      </w:r>
      <m:oMath>
        <m:sSub>
          <m:sSubPr>
            <m:ctrlPr>
              <w:rPr>
                <w:rFonts w:ascii="Cambria Math" w:hAnsi="Cambria Math"/>
              </w:rPr>
            </m:ctrlPr>
          </m:sSubPr>
          <m:e>
            <m:r>
              <m:rPr>
                <m:sty m:val="bi"/>
              </m:rPr>
              <w:rPr>
                <w:rFonts w:ascii="Cambria Math" w:eastAsia="宋体" w:hAnsi="Cambria Math"/>
              </w:rPr>
              <m:t>C</m:t>
            </m:r>
          </m:e>
          <m:sub>
            <m:r>
              <m:rPr>
                <m:sty m:val="b"/>
              </m:rPr>
              <w:rPr>
                <w:rFonts w:ascii="Cambria Math" w:eastAsia="宋体" w:hAnsi="Cambria Math"/>
              </w:rPr>
              <m:t>6</m:t>
            </m:r>
          </m:sub>
        </m:sSub>
      </m:oMath>
      <w:r w:rsidRPr="00B43464">
        <w:rPr>
          <w:rFonts w:eastAsia="宋体"/>
        </w:rPr>
        <w:t> symmetry of the reciprocal lattice. The precise agreement between these calculated loci and the experimental beam patterns (see </w:t>
      </w:r>
      <w:r w:rsidRPr="00BD0B57">
        <w:rPr>
          <w:rFonts w:eastAsia="宋体"/>
          <w:b/>
          <w:bCs/>
        </w:rPr>
        <w:t xml:space="preserve">Fig. </w:t>
      </w:r>
      <w:r w:rsidR="00BD0B57" w:rsidRPr="00BD0B57">
        <w:rPr>
          <w:rFonts w:eastAsia="宋体"/>
          <w:b/>
          <w:bCs/>
        </w:rPr>
        <w:t>4</w:t>
      </w:r>
      <w:r w:rsidRPr="00BD0B57">
        <w:rPr>
          <w:rFonts w:eastAsia="宋体"/>
          <w:b/>
          <w:bCs/>
        </w:rPr>
        <w:t>i</w:t>
      </w:r>
      <w:r w:rsidRPr="00B43464">
        <w:rPr>
          <w:rFonts w:eastAsia="宋体"/>
        </w:rPr>
        <w:t> in main text) confirms that lasing is driven by specific, identifiable lattice diffraction orders.</w:t>
      </w:r>
    </w:p>
    <w:p w14:paraId="204F69A7" w14:textId="3BE91115" w:rsidR="003C4FEB" w:rsidRPr="00FE4293" w:rsidRDefault="003C4FEB" w:rsidP="00FE4293">
      <w:pPr>
        <w:pStyle w:val="2"/>
        <w:spacing w:after="249"/>
        <w:ind w:firstLineChars="0" w:firstLine="0"/>
        <w:rPr>
          <w:rFonts w:ascii="Times New Roman" w:hAnsi="Times New Roman" w:cs="Times New Roman"/>
          <w:sz w:val="24"/>
          <w:szCs w:val="24"/>
        </w:rPr>
      </w:pPr>
      <w:bookmarkStart w:id="18" w:name="_Toc218536502"/>
      <w:r w:rsidRPr="00FE4293">
        <w:rPr>
          <w:rFonts w:ascii="Times New Roman" w:hAnsi="Times New Roman" w:cs="Times New Roman"/>
          <w:sz w:val="24"/>
          <w:szCs w:val="24"/>
        </w:rPr>
        <w:lastRenderedPageBreak/>
        <w:t xml:space="preserve">Supplementary Note </w:t>
      </w:r>
      <w:r w:rsidR="00646B29" w:rsidRPr="00FE4293">
        <w:rPr>
          <w:rFonts w:ascii="Times New Roman" w:hAnsi="Times New Roman" w:cs="Times New Roman"/>
          <w:sz w:val="24"/>
          <w:szCs w:val="24"/>
        </w:rPr>
        <w:t>9</w:t>
      </w:r>
      <w:r w:rsidRPr="00FE4293">
        <w:rPr>
          <w:rFonts w:ascii="Times New Roman" w:hAnsi="Times New Roman" w:cs="Times New Roman"/>
          <w:sz w:val="24"/>
          <w:szCs w:val="24"/>
        </w:rPr>
        <w:t>: Azimuthal dependence and spatial multiplexing</w:t>
      </w:r>
      <w:bookmarkEnd w:id="18"/>
    </w:p>
    <w:p w14:paraId="095FF3DD" w14:textId="257BDD64" w:rsidR="003C4FEB" w:rsidRDefault="003C4FEB" w:rsidP="00EF3FCB">
      <w:pPr>
        <w:spacing w:after="249"/>
        <w:ind w:firstLine="480"/>
        <w:rPr>
          <w:rFonts w:eastAsiaTheme="minorEastAsia"/>
        </w:rPr>
      </w:pPr>
      <w:r w:rsidRPr="003C4FEB">
        <w:rPr>
          <w:rFonts w:eastAsiaTheme="minorEastAsia"/>
        </w:rPr>
        <w:t>The lasing wavelength of the device is determined by the specific intersection of the diffraction conditions with the gain bandwidth. As discussed in</w:t>
      </w:r>
      <w:r w:rsidRPr="00BD0B57">
        <w:rPr>
          <w:rFonts w:eastAsiaTheme="minorEastAsia"/>
          <w:b/>
          <w:bCs/>
        </w:rPr>
        <w:t xml:space="preserve"> </w:t>
      </w:r>
      <w:r w:rsidRPr="00FA41D5">
        <w:rPr>
          <w:rFonts w:eastAsiaTheme="minorEastAsia"/>
        </w:rPr>
        <w:t xml:space="preserve">Supplementary Note </w:t>
      </w:r>
      <w:r w:rsidR="002566B3" w:rsidRPr="00FA41D5">
        <w:rPr>
          <w:rFonts w:eastAsiaTheme="minorEastAsia"/>
        </w:rPr>
        <w:t>6</w:t>
      </w:r>
      <w:r w:rsidRPr="003C4FEB">
        <w:rPr>
          <w:rFonts w:eastAsiaTheme="minorEastAsia"/>
        </w:rPr>
        <w:t>, for a fixed azimuthal angle </w:t>
      </w:r>
      <m:oMath>
        <m:r>
          <w:rPr>
            <w:rFonts w:ascii="Cambria Math" w:eastAsiaTheme="minorEastAsia" w:hAnsi="Cambria Math"/>
          </w:rPr>
          <m:t>φ</m:t>
        </m:r>
      </m:oMath>
      <w:r w:rsidRPr="003C4FEB">
        <w:rPr>
          <w:rFonts w:eastAsiaTheme="minorEastAsia"/>
        </w:rPr>
        <w:t> (specifically along the </w:t>
      </w:r>
      <m:oMath>
        <m:r>
          <w:rPr>
            <w:rFonts w:ascii="Cambria Math" w:eastAsiaTheme="minorEastAsia" w:hAnsi="Cambria Math"/>
          </w:rPr>
          <m:t>M</m:t>
        </m:r>
      </m:oMath>
      <w:r w:rsidRPr="003C4FEB">
        <w:rPr>
          <w:rFonts w:eastAsiaTheme="minorEastAsia"/>
        </w:rPr>
        <w:t>-direction), the wavelength </w:t>
      </w:r>
      <m:oMath>
        <m:r>
          <w:rPr>
            <w:rFonts w:ascii="Cambria Math" w:eastAsiaTheme="minorEastAsia" w:hAnsi="Cambria Math"/>
          </w:rPr>
          <m:t>λ</m:t>
        </m:r>
      </m:oMath>
      <w:r w:rsidRPr="003C4FEB">
        <w:rPr>
          <w:rFonts w:eastAsiaTheme="minorEastAsia"/>
        </w:rPr>
        <w:t> exhibits a linear dependence on the sine of the polar angle </w:t>
      </w:r>
      <m:oMath>
        <m:r>
          <w:rPr>
            <w:rFonts w:ascii="Cambria Math" w:eastAsiaTheme="minorEastAsia" w:hAnsi="Cambria Math"/>
          </w:rPr>
          <m:t>θ</m:t>
        </m:r>
      </m:oMath>
      <w:r w:rsidRPr="003C4FEB">
        <w:rPr>
          <w:rFonts w:eastAsiaTheme="minorEastAsia"/>
        </w:rPr>
        <w:t>. This provides a straightforward mechanism for continuous tunability. Conversely, if the polar angle </w:t>
      </w:r>
      <m:oMath>
        <m:r>
          <w:rPr>
            <w:rFonts w:ascii="Cambria Math" w:eastAsiaTheme="minorEastAsia" w:hAnsi="Cambria Math"/>
          </w:rPr>
          <m:t>θ</m:t>
        </m:r>
      </m:oMath>
      <w:r w:rsidRPr="003C4FEB">
        <w:rPr>
          <w:rFonts w:eastAsiaTheme="minorEastAsia"/>
        </w:rPr>
        <w:t> is fixed, the resonant wavelength varies as a function of the azimuthal angle </w:t>
      </w:r>
      <m:oMath>
        <m:r>
          <w:rPr>
            <w:rFonts w:ascii="Cambria Math" w:eastAsiaTheme="minorEastAsia" w:hAnsi="Cambria Math"/>
          </w:rPr>
          <m:t>ϕ</m:t>
        </m:r>
      </m:oMath>
      <w:r w:rsidRPr="003C4FEB">
        <w:rPr>
          <w:rFonts w:eastAsiaTheme="minorEastAsia"/>
        </w:rPr>
        <w:t> due to the warping of the isofrequency contours. This azimuthal dependence enables spatially multiplexed lasing, where different emission wavelengths can be accessed simultaneously by collecting light from different azimuthal directions.</w:t>
      </w:r>
    </w:p>
    <w:p w14:paraId="24001E49" w14:textId="2065E742" w:rsidR="003C4FEB" w:rsidRPr="003C4FEB" w:rsidRDefault="003C4FEB" w:rsidP="003C4FEB">
      <w:pPr>
        <w:spacing w:after="249"/>
        <w:ind w:firstLine="480"/>
        <w:rPr>
          <w:rFonts w:eastAsiaTheme="minorEastAsia"/>
        </w:rPr>
      </w:pPr>
      <w:r w:rsidRPr="00FA41D5">
        <w:rPr>
          <w:rFonts w:eastAsiaTheme="minorEastAsia"/>
        </w:rPr>
        <w:t>Supplementary Fig. 1</w:t>
      </w:r>
      <w:r w:rsidR="00BD0B57" w:rsidRPr="00FA41D5">
        <w:rPr>
          <w:rFonts w:eastAsiaTheme="minorEastAsia"/>
        </w:rPr>
        <w:t>6</w:t>
      </w:r>
      <w:r w:rsidRPr="00FA41D5">
        <w:rPr>
          <w:rFonts w:eastAsiaTheme="minorEastAsia"/>
        </w:rPr>
        <w:t> illustrates the emission characteristics at a fixed polar angle of </w:t>
      </w:r>
      <m:oMath>
        <m:r>
          <w:rPr>
            <w:rFonts w:ascii="Cambria Math" w:eastAsiaTheme="minorEastAsia" w:hAnsi="Cambria Math"/>
          </w:rPr>
          <m:t>θ=</m:t>
        </m:r>
        <m:sSup>
          <m:sSupPr>
            <m:ctrlPr>
              <w:rPr>
                <w:rFonts w:ascii="Cambria Math" w:eastAsiaTheme="minorEastAsia" w:hAnsi="Cambria Math"/>
              </w:rPr>
            </m:ctrlPr>
          </m:sSupPr>
          <m:e>
            <m:r>
              <w:rPr>
                <w:rFonts w:ascii="Cambria Math" w:eastAsiaTheme="minorEastAsia" w:hAnsi="Cambria Math"/>
              </w:rPr>
              <m:t>36</m:t>
            </m:r>
          </m:e>
          <m:sup>
            <m:r>
              <w:rPr>
                <w:rFonts w:ascii="Cambria Math" w:eastAsiaTheme="minorEastAsia" w:hAnsi="Cambria Math"/>
              </w:rPr>
              <m:t>∘</m:t>
            </m:r>
          </m:sup>
        </m:sSup>
      </m:oMath>
      <w:r w:rsidRPr="00FA41D5">
        <w:rPr>
          <w:rFonts w:eastAsiaTheme="minorEastAsia"/>
        </w:rPr>
        <w:t>. The theoretical dispersion map (Supplementary Fig. 1</w:t>
      </w:r>
      <w:r w:rsidR="00BD0B57" w:rsidRPr="00FA41D5">
        <w:rPr>
          <w:rFonts w:eastAsiaTheme="minorEastAsia"/>
        </w:rPr>
        <w:t>6</w:t>
      </w:r>
      <w:r w:rsidRPr="00FA41D5">
        <w:rPr>
          <w:rFonts w:eastAsiaTheme="minorEastAsia"/>
        </w:rPr>
        <w:t>a) reve</w:t>
      </w:r>
      <w:r w:rsidRPr="003C4FEB">
        <w:rPr>
          <w:rFonts w:eastAsiaTheme="minorEastAsia"/>
        </w:rPr>
        <w:t>als a periodic recurrence of the resonance every </w:t>
      </w:r>
      <m:oMath>
        <m:sSup>
          <m:sSupPr>
            <m:ctrlPr>
              <w:rPr>
                <w:rFonts w:ascii="Cambria Math" w:eastAsiaTheme="minorEastAsia" w:hAnsi="Cambria Math"/>
              </w:rPr>
            </m:ctrlPr>
          </m:sSupPr>
          <m:e>
            <m:r>
              <w:rPr>
                <w:rFonts w:ascii="Cambria Math" w:eastAsiaTheme="minorEastAsia" w:hAnsi="Cambria Math"/>
              </w:rPr>
              <m:t>60</m:t>
            </m:r>
          </m:e>
          <m:sup>
            <m:r>
              <w:rPr>
                <w:rFonts w:ascii="Cambria Math" w:eastAsiaTheme="minorEastAsia" w:hAnsi="Cambria Math"/>
              </w:rPr>
              <m:t>∘</m:t>
            </m:r>
          </m:sup>
        </m:sSup>
      </m:oMath>
      <w:r w:rsidRPr="003C4FEB">
        <w:rPr>
          <w:rFonts w:eastAsiaTheme="minorEastAsia"/>
        </w:rPr>
        <w:t>, consistent with the six-fold rotational symmetry of the triangular lattice.</w:t>
      </w:r>
      <w:r>
        <w:rPr>
          <w:rFonts w:eastAsiaTheme="minorEastAsia" w:hint="eastAsia"/>
        </w:rPr>
        <w:t xml:space="preserve"> </w:t>
      </w:r>
      <w:r w:rsidRPr="003C4FEB">
        <w:rPr>
          <w:rFonts w:eastAsiaTheme="minorEastAsia" w:hint="eastAsia"/>
        </w:rPr>
        <w:t xml:space="preserve">For </w:t>
      </w:r>
      <w:r>
        <w:rPr>
          <w:rFonts w:eastAsiaTheme="minorEastAsia" w:hint="eastAsia"/>
        </w:rPr>
        <w:t>t</w:t>
      </w:r>
      <w:r w:rsidRPr="003C4FEB">
        <w:rPr>
          <w:rFonts w:eastAsiaTheme="minorEastAsia"/>
        </w:rPr>
        <w:t>he M-direction (</w:t>
      </w:r>
      <m:oMath>
        <m:r>
          <w:rPr>
            <w:rFonts w:ascii="Cambria Math" w:eastAsiaTheme="minorEastAsia" w:hAnsi="Cambria Math"/>
          </w:rPr>
          <m:t>φ=n×</m:t>
        </m:r>
        <m:sSup>
          <m:sSupPr>
            <m:ctrlPr>
              <w:rPr>
                <w:rFonts w:ascii="Cambria Math" w:eastAsiaTheme="minorEastAsia" w:hAnsi="Cambria Math"/>
              </w:rPr>
            </m:ctrlPr>
          </m:sSupPr>
          <m:e>
            <m:r>
              <w:rPr>
                <w:rFonts w:ascii="Cambria Math" w:eastAsiaTheme="minorEastAsia" w:hAnsi="Cambria Math"/>
              </w:rPr>
              <m:t>60</m:t>
            </m:r>
          </m:e>
          <m:sup>
            <m:r>
              <w:rPr>
                <w:rFonts w:ascii="Cambria Math" w:eastAsiaTheme="minorEastAsia" w:hAnsi="Cambria Math"/>
              </w:rPr>
              <m:t>∘</m:t>
            </m:r>
          </m:sup>
        </m:sSup>
      </m:oMath>
      <w:r w:rsidRPr="003C4FEB">
        <w:rPr>
          <w:rFonts w:eastAsiaTheme="minorEastAsia"/>
        </w:rPr>
        <w:t>), the dispersion band reaches a local extremum (turning point). Crucially, the mode here is non-degenerate and spectrally isolated, ensuring high spectral purity.</w:t>
      </w:r>
      <w:r>
        <w:rPr>
          <w:rFonts w:eastAsiaTheme="minorEastAsia" w:hint="eastAsia"/>
        </w:rPr>
        <w:t xml:space="preserve"> </w:t>
      </w:r>
      <w:r w:rsidR="00B95D48">
        <w:rPr>
          <w:rFonts w:eastAsiaTheme="minorEastAsia" w:hint="eastAsia"/>
        </w:rPr>
        <w:t>In contrast,</w:t>
      </w:r>
      <w:r>
        <w:rPr>
          <w:rFonts w:eastAsiaTheme="minorEastAsia" w:hint="eastAsia"/>
        </w:rPr>
        <w:t xml:space="preserve"> f</w:t>
      </w:r>
      <w:r w:rsidRPr="003C4FEB">
        <w:rPr>
          <w:rFonts w:eastAsiaTheme="minorEastAsia" w:hint="eastAsia"/>
        </w:rPr>
        <w:t xml:space="preserve">or </w:t>
      </w:r>
      <w:r>
        <w:rPr>
          <w:rFonts w:eastAsiaTheme="minorEastAsia" w:hint="eastAsia"/>
        </w:rPr>
        <w:t>t</w:t>
      </w:r>
      <w:r w:rsidRPr="003C4FEB">
        <w:rPr>
          <w:rFonts w:eastAsiaTheme="minorEastAsia"/>
        </w:rPr>
        <w:t>he K-direction (</w:t>
      </w:r>
      <m:oMath>
        <m:r>
          <w:rPr>
            <w:rFonts w:ascii="Cambria Math" w:eastAsiaTheme="minorEastAsia" w:hAnsi="Cambria Math"/>
          </w:rPr>
          <m:t>φ=</m:t>
        </m:r>
        <m:sSup>
          <m:sSupPr>
            <m:ctrlPr>
              <w:rPr>
                <w:rFonts w:ascii="Cambria Math" w:eastAsiaTheme="minorEastAsia" w:hAnsi="Cambria Math"/>
              </w:rPr>
            </m:ctrlPr>
          </m:sSupPr>
          <m:e>
            <m:r>
              <w:rPr>
                <w:rFonts w:ascii="Cambria Math" w:eastAsiaTheme="minorEastAsia" w:hAnsi="Cambria Math"/>
              </w:rPr>
              <m:t>30</m:t>
            </m:r>
          </m:e>
          <m:sup>
            <m:r>
              <w:rPr>
                <w:rFonts w:ascii="Cambria Math" w:eastAsiaTheme="minorEastAsia" w:hAnsi="Cambria Math"/>
              </w:rPr>
              <m:t>∘</m:t>
            </m:r>
          </m:sup>
        </m:sSup>
        <m:r>
          <w:rPr>
            <w:rFonts w:ascii="Cambria Math" w:eastAsiaTheme="minorEastAsia" w:hAnsi="Cambria Math"/>
          </w:rPr>
          <m:t>+n×</m:t>
        </m:r>
        <m:sSup>
          <m:sSupPr>
            <m:ctrlPr>
              <w:rPr>
                <w:rFonts w:ascii="Cambria Math" w:eastAsiaTheme="minorEastAsia" w:hAnsi="Cambria Math"/>
              </w:rPr>
            </m:ctrlPr>
          </m:sSupPr>
          <m:e>
            <m:r>
              <w:rPr>
                <w:rFonts w:ascii="Cambria Math" w:eastAsiaTheme="minorEastAsia" w:hAnsi="Cambria Math"/>
              </w:rPr>
              <m:t>60</m:t>
            </m:r>
          </m:e>
          <m:sup>
            <m:r>
              <w:rPr>
                <w:rFonts w:ascii="Cambria Math" w:eastAsiaTheme="minorEastAsia" w:hAnsi="Cambria Math"/>
              </w:rPr>
              <m:t>∘</m:t>
            </m:r>
          </m:sup>
        </m:sSup>
      </m:oMath>
      <w:r w:rsidRPr="003C4FEB">
        <w:rPr>
          <w:rFonts w:eastAsiaTheme="minorEastAsia"/>
        </w:rPr>
        <w:t>)</w:t>
      </w:r>
      <w:r>
        <w:rPr>
          <w:rFonts w:eastAsiaTheme="minorEastAsia" w:hint="eastAsia"/>
        </w:rPr>
        <w:t>,</w:t>
      </w:r>
      <w:r w:rsidRPr="003C4FEB">
        <w:rPr>
          <w:rFonts w:eastAsiaTheme="minorEastAsia"/>
        </w:rPr>
        <w:t xml:space="preserve"> </w:t>
      </w:r>
      <w:r w:rsidR="00B95D48">
        <w:rPr>
          <w:rFonts w:eastAsiaTheme="minorEastAsia" w:hint="eastAsia"/>
        </w:rPr>
        <w:t xml:space="preserve">while </w:t>
      </w:r>
      <w:r w:rsidRPr="003C4FEB">
        <w:rPr>
          <w:rFonts w:eastAsiaTheme="minorEastAsia"/>
        </w:rPr>
        <w:t>the pattern also suggests a single mode at these intermediate angles, this feature is physically formed by the degeneracy (crossing) of two adjacent diffraction orders. Even a minor angular misalignment breaks this degeneracy, splitting the mode into two distinct peaks.</w:t>
      </w:r>
    </w:p>
    <w:p w14:paraId="24171698" w14:textId="6C210A53" w:rsidR="003C4FEB" w:rsidRPr="00B95D48" w:rsidRDefault="003C4FEB" w:rsidP="00B95D48">
      <w:pPr>
        <w:spacing w:after="249"/>
        <w:ind w:firstLine="480"/>
        <w:rPr>
          <w:rFonts w:eastAsiaTheme="minorEastAsia"/>
        </w:rPr>
      </w:pPr>
      <w:r w:rsidRPr="00B95D48">
        <w:rPr>
          <w:rFonts w:eastAsiaTheme="minorEastAsia"/>
        </w:rPr>
        <w:t>Because the </w:t>
      </w:r>
      <m:oMath>
        <m:r>
          <w:rPr>
            <w:rFonts w:ascii="Cambria Math" w:eastAsiaTheme="minorEastAsia" w:hAnsi="Cambria Math"/>
          </w:rPr>
          <m:t>M</m:t>
        </m:r>
      </m:oMath>
      <w:r w:rsidRPr="00B95D48">
        <w:rPr>
          <w:rFonts w:eastAsiaTheme="minorEastAsia"/>
        </w:rPr>
        <w:t>-point mode offers superior spectral stability and resistance to mode splitting compared to the </w:t>
      </w:r>
      <m:oMath>
        <m:r>
          <w:rPr>
            <w:rFonts w:ascii="Cambria Math" w:eastAsiaTheme="minorEastAsia" w:hAnsi="Cambria Math"/>
          </w:rPr>
          <m:t>K</m:t>
        </m:r>
      </m:oMath>
      <w:r w:rsidRPr="00B95D48">
        <w:rPr>
          <w:rFonts w:eastAsiaTheme="minorEastAsia"/>
        </w:rPr>
        <w:t>-point degeneracy, we selected the </w:t>
      </w:r>
      <m:oMath>
        <m:r>
          <w:rPr>
            <w:rFonts w:ascii="Cambria Math" w:eastAsiaTheme="minorEastAsia" w:hAnsi="Cambria Math"/>
          </w:rPr>
          <m:t>M</m:t>
        </m:r>
      </m:oMath>
      <w:r w:rsidRPr="00B95D48">
        <w:rPr>
          <w:rFonts w:eastAsiaTheme="minorEastAsia"/>
        </w:rPr>
        <w:t>-direction for the quantitative threshold characterizations presented in the main text.</w:t>
      </w:r>
    </w:p>
    <w:p w14:paraId="18BC5FA5" w14:textId="7752071B" w:rsidR="00B95D48" w:rsidRPr="00FA41D5" w:rsidRDefault="007A47A4" w:rsidP="00B95D48">
      <w:pPr>
        <w:spacing w:after="249"/>
        <w:ind w:firstLine="480"/>
      </w:pPr>
      <w:r w:rsidRPr="00B95D48">
        <w:tab/>
      </w:r>
      <w:r w:rsidR="00B95D48" w:rsidRPr="00B95D48">
        <w:t>We compared the passive white-light reflectance</w:t>
      </w:r>
      <w:r w:rsidR="00B95D48" w:rsidRPr="00FA41D5">
        <w:t xml:space="preserve"> (Supplementary Fig. 1</w:t>
      </w:r>
      <w:r w:rsidR="00BD0B57" w:rsidRPr="00FA41D5">
        <w:t>6</w:t>
      </w:r>
      <w:r w:rsidR="00B95D48" w:rsidRPr="00FA41D5">
        <w:t>b) and the active lasing emission spectra (Supplementary Fig. 1</w:t>
      </w:r>
      <w:r w:rsidR="00BD0B57" w:rsidRPr="00FA41D5">
        <w:t>6</w:t>
      </w:r>
      <w:r w:rsidR="00B95D48" w:rsidRPr="00FA41D5">
        <w:t>c) as a function of azimuth. Both measurements reproduce the theoretical dispersion bands with high fidelity. The effective lasing range is observed between 550 nm and 650 nm, strictly defined by the fluorescence bandwidth of the quantum dots (peak at </w:t>
      </w:r>
      <m:oMath>
        <m:r>
          <w:rPr>
            <w:rFonts w:ascii="Cambria Math" w:hAnsi="Cambria Math"/>
          </w:rPr>
          <m:t>∼</m:t>
        </m:r>
      </m:oMath>
      <w:r w:rsidR="00B95D48" w:rsidRPr="00FA41D5">
        <w:t>610 nm, see Supplementary Fig. 3).</w:t>
      </w:r>
    </w:p>
    <w:p w14:paraId="0DADFC1C" w14:textId="44C3396B" w:rsidR="00B95D48" w:rsidRPr="00FA41D5" w:rsidRDefault="00B95D48" w:rsidP="00B95D48">
      <w:pPr>
        <w:spacing w:after="249"/>
        <w:ind w:firstLine="480"/>
      </w:pPr>
      <w:r w:rsidRPr="00FA41D5">
        <w:t>To elucidate the spatial structure of the beam, Supplementary Fig. 1</w:t>
      </w:r>
      <w:r w:rsidR="00BD0B57" w:rsidRPr="00FA41D5">
        <w:t>7</w:t>
      </w:r>
      <w:r w:rsidRPr="00FA41D5">
        <w:t>a presents a high-resolution view of the lasing dispersion, while Supplementary Fig. 1</w:t>
      </w:r>
      <w:r w:rsidR="00BD0B57" w:rsidRPr="00FA41D5">
        <w:t>7</w:t>
      </w:r>
      <w:r w:rsidRPr="00FA41D5">
        <w:t>b displays the polar radiation patterns extracted at specific wavelengths.</w:t>
      </w:r>
    </w:p>
    <w:p w14:paraId="67C6D80A" w14:textId="0C2FD60D" w:rsidR="00EF3FCB" w:rsidRPr="00B95D48" w:rsidRDefault="00B95D48" w:rsidP="00B95D48">
      <w:pPr>
        <w:spacing w:after="249"/>
        <w:ind w:firstLine="480"/>
      </w:pPr>
      <w:r w:rsidRPr="00B95D48">
        <w:rPr>
          <w:rFonts w:eastAsiaTheme="minorEastAsia" w:hint="eastAsia"/>
        </w:rPr>
        <w:t>At</w:t>
      </w:r>
      <w:r w:rsidRPr="00B95D48">
        <w:t> M-point resonance</w:t>
      </w:r>
      <w:r w:rsidRPr="00B95D48">
        <w:rPr>
          <w:rFonts w:eastAsiaTheme="minorEastAsia" w:hint="eastAsia"/>
        </w:rPr>
        <w:t xml:space="preserve"> (</w:t>
      </w:r>
      <m:oMath>
        <m:r>
          <w:rPr>
            <w:rFonts w:ascii="Cambria Math" w:hAnsi="Cambria Math"/>
          </w:rPr>
          <m:t>λ=612</m:t>
        </m:r>
      </m:oMath>
      <w:r w:rsidRPr="00B95D48">
        <w:t> nm</w:t>
      </w:r>
      <w:r w:rsidRPr="00B95D48">
        <w:rPr>
          <w:rFonts w:eastAsiaTheme="minorEastAsia" w:hint="eastAsia"/>
        </w:rPr>
        <w:t>),</w:t>
      </w:r>
      <w:r w:rsidRPr="00B95D48">
        <w:t xml:space="preserve"> The radiation is confined to six discrete </w:t>
      </w:r>
      <w:r w:rsidRPr="00B95D48">
        <w:lastRenderedPageBreak/>
        <w:t>spots aligned with the high-symmetry </w:t>
      </w:r>
      <m:oMath>
        <m:r>
          <w:rPr>
            <w:rFonts w:ascii="Cambria Math" w:hAnsi="Cambria Math"/>
          </w:rPr>
          <m:t>M</m:t>
        </m:r>
      </m:oMath>
      <w:r w:rsidRPr="00B95D48">
        <w:t>-axes. The emission intensity is maximal here, and the angular divergence is small (</w:t>
      </w:r>
      <m:oMath>
        <m:r>
          <w:rPr>
            <w:rFonts w:ascii="Cambria Math" w:hAnsi="Cambria Math"/>
          </w:rPr>
          <m:t>∼</m:t>
        </m:r>
        <m:sSup>
          <m:sSupPr>
            <m:ctrlPr>
              <w:rPr>
                <w:rFonts w:ascii="Cambria Math" w:hAnsi="Cambria Math"/>
              </w:rPr>
            </m:ctrlPr>
          </m:sSupPr>
          <m:e>
            <m:r>
              <w:rPr>
                <w:rFonts w:ascii="Cambria Math" w:hAnsi="Cambria Math"/>
              </w:rPr>
              <m:t>3</m:t>
            </m:r>
          </m:e>
          <m:sup>
            <m:r>
              <w:rPr>
                <w:rFonts w:ascii="Cambria Math" w:hAnsi="Cambria Math"/>
              </w:rPr>
              <m:t>∘</m:t>
            </m:r>
          </m:sup>
        </m:sSup>
      </m:oMath>
      <w:r w:rsidRPr="00B95D48">
        <w:t>), limited primarily by lattice fabrication imperfections.</w:t>
      </w:r>
      <w:r w:rsidRPr="00B95D48">
        <w:rPr>
          <w:rFonts w:ascii="DM Sans" w:hAnsi="DM Sans"/>
          <w:shd w:val="clear" w:color="auto" w:fill="FFFFFF"/>
        </w:rPr>
        <w:t xml:space="preserve"> </w:t>
      </w:r>
      <w:r w:rsidRPr="00B95D48">
        <w:t>As the wavelength decreases, the condition for resonance shifts away from the </w:t>
      </w:r>
      <m:oMath>
        <m:r>
          <w:rPr>
            <w:rFonts w:ascii="Cambria Math" w:hAnsi="Cambria Math"/>
          </w:rPr>
          <m:t>M</m:t>
        </m:r>
      </m:oMath>
      <w:r w:rsidRPr="00B95D48">
        <w:t>-point extremum. The single lobe splits into two symmetric lobes. Consequently, the far-field pattern evolves from 6 spots to 12 distinct spots, reflecting the reduced symmetry of the generic wavevector </w:t>
      </w:r>
      <m:oMath>
        <m:sSub>
          <m:sSubPr>
            <m:ctrlPr>
              <w:rPr>
                <w:rFonts w:ascii="Cambria Math" w:hAnsi="Cambria Math"/>
              </w:rPr>
            </m:ctrlPr>
          </m:sSubPr>
          <m:e>
            <m:r>
              <m:rPr>
                <m:sty m:val="p"/>
              </m:rPr>
              <w:rPr>
                <w:rFonts w:ascii="Cambria Math" w:hAnsi="Cambria Math"/>
              </w:rPr>
              <m:t>k</m:t>
            </m:r>
          </m:e>
          <m:sub>
            <m:r>
              <w:rPr>
                <w:rFonts w:ascii="Cambria Math" w:hAnsi="Cambria Math"/>
              </w:rPr>
              <m:t>∥</m:t>
            </m:r>
          </m:sub>
        </m:sSub>
      </m:oMath>
      <w:r w:rsidRPr="00B95D48">
        <w:t> compared to the high-symmetry axes</w:t>
      </w:r>
      <w:r w:rsidRPr="00B95D48">
        <w:rPr>
          <w:rFonts w:eastAsia="宋体" w:hint="eastAsia"/>
        </w:rPr>
        <w:t>.</w:t>
      </w:r>
      <w:r>
        <w:rPr>
          <w:rFonts w:eastAsia="宋体" w:hint="eastAsia"/>
        </w:rPr>
        <w:t xml:space="preserve"> </w:t>
      </w:r>
      <w:r>
        <w:rPr>
          <w:rFonts w:eastAsiaTheme="minorEastAsia" w:hint="eastAsia"/>
        </w:rPr>
        <w:t>While at K</w:t>
      </w:r>
      <w:r w:rsidRPr="00B95D48">
        <w:t>-point resonance</w:t>
      </w:r>
      <w:r w:rsidRPr="00B95D48">
        <w:rPr>
          <w:rFonts w:eastAsiaTheme="minorEastAsia" w:hint="eastAsia"/>
        </w:rPr>
        <w:t xml:space="preserve"> (</w:t>
      </w:r>
      <m:oMath>
        <m:r>
          <w:rPr>
            <w:rFonts w:ascii="Cambria Math" w:hAnsi="Cambria Math"/>
          </w:rPr>
          <m:t>λ=5</m:t>
        </m:r>
        <m:r>
          <w:rPr>
            <w:rFonts w:ascii="Cambria Math" w:eastAsiaTheme="minorEastAsia" w:hAnsi="Cambria Math"/>
          </w:rPr>
          <m:t>70</m:t>
        </m:r>
      </m:oMath>
      <w:r w:rsidRPr="00B95D48">
        <w:t> nm</w:t>
      </w:r>
      <w:r w:rsidRPr="00B95D48">
        <w:rPr>
          <w:rFonts w:eastAsiaTheme="minorEastAsia" w:hint="eastAsia"/>
        </w:rPr>
        <w:t>),</w:t>
      </w:r>
      <w:r w:rsidRPr="00B95D48">
        <w:t> </w:t>
      </w:r>
      <w:r w:rsidRPr="00B95D48">
        <w:rPr>
          <w:rFonts w:eastAsiaTheme="minorEastAsia" w:hint="eastAsia"/>
        </w:rPr>
        <w:t>t</w:t>
      </w:r>
      <w:r w:rsidRPr="00B95D48">
        <w:t>he 12 lobes re-merge into 6 spots, but the pattern is rotated by </w:t>
      </w:r>
      <m:oMath>
        <m:sSup>
          <m:sSupPr>
            <m:ctrlPr>
              <w:rPr>
                <w:rFonts w:ascii="Cambria Math" w:hAnsi="Cambria Math"/>
              </w:rPr>
            </m:ctrlPr>
          </m:sSupPr>
          <m:e>
            <m:r>
              <w:rPr>
                <w:rFonts w:ascii="Cambria Math" w:hAnsi="Cambria Math"/>
              </w:rPr>
              <m:t>30</m:t>
            </m:r>
          </m:e>
          <m:sup>
            <m:r>
              <w:rPr>
                <w:rFonts w:ascii="Cambria Math" w:hAnsi="Cambria Math"/>
              </w:rPr>
              <m:t>∘</m:t>
            </m:r>
          </m:sup>
        </m:sSup>
      </m:oMath>
      <w:r w:rsidRPr="00B95D48">
        <w:t> relative to the 612 nm case. These spots align with the </w:t>
      </w:r>
      <m:oMath>
        <m:r>
          <w:rPr>
            <w:rFonts w:ascii="Cambria Math" w:hAnsi="Cambria Math"/>
          </w:rPr>
          <m:t>K</m:t>
        </m:r>
      </m:oMath>
      <w:r w:rsidRPr="00B95D48">
        <w:t>-directions. Unlike the </w:t>
      </w:r>
      <m:oMath>
        <m:r>
          <w:rPr>
            <w:rFonts w:ascii="Cambria Math" w:hAnsi="Cambria Math"/>
          </w:rPr>
          <m:t>M</m:t>
        </m:r>
      </m:oMath>
      <w:r w:rsidRPr="00B95D48">
        <w:t>-point emission, each of these lobes represents a superposition of two degenerate lattice modes.</w:t>
      </w:r>
      <w:r w:rsidRPr="00B95D48">
        <w:rPr>
          <w:rFonts w:ascii="DM Sans" w:hAnsi="DM Sans"/>
          <w:shd w:val="clear" w:color="auto" w:fill="FFFFFF"/>
        </w:rPr>
        <w:t xml:space="preserve"> </w:t>
      </w:r>
      <w:r w:rsidRPr="00B95D48">
        <w:t>This evolution</w:t>
      </w:r>
      <w:r>
        <w:rPr>
          <w:rFonts w:eastAsiaTheme="minorEastAsia" w:hint="eastAsia"/>
        </w:rPr>
        <w:t xml:space="preserve"> </w:t>
      </w:r>
      <w:r w:rsidRPr="00B95D48">
        <w:t>perfectly maps the intersection of the constant-</w:t>
      </w:r>
      <m:oMath>
        <m:r>
          <w:rPr>
            <w:rFonts w:ascii="Cambria Math" w:hAnsi="Cambria Math"/>
          </w:rPr>
          <m:t>θ</m:t>
        </m:r>
      </m:oMath>
      <w:r w:rsidRPr="00B95D48">
        <w:t> circle with the hexagonal plasmonic band structure.</w:t>
      </w:r>
    </w:p>
    <w:p w14:paraId="533293B1" w14:textId="73DC98F7" w:rsidR="002872F3" w:rsidRDefault="002872F3">
      <w:pPr>
        <w:widowControl/>
        <w:spacing w:afterLines="0" w:after="0" w:line="240" w:lineRule="auto"/>
        <w:ind w:firstLineChars="0" w:firstLine="0"/>
      </w:pPr>
      <w:r>
        <w:br w:type="page"/>
      </w:r>
    </w:p>
    <w:p w14:paraId="70E53A6E" w14:textId="4F499F00" w:rsidR="00737161" w:rsidRDefault="00C223A8" w:rsidP="00C223A8">
      <w:pPr>
        <w:pStyle w:val="aff"/>
        <w:rPr>
          <w:rFonts w:eastAsiaTheme="minorEastAsia"/>
        </w:rPr>
      </w:pPr>
      <w:r w:rsidRPr="00C223A8">
        <w:rPr>
          <w:rFonts w:eastAsiaTheme="minorEastAsia"/>
        </w:rPr>
        <w:lastRenderedPageBreak/>
        <w:drawing>
          <wp:inline distT="0" distB="0" distL="0" distR="0" wp14:anchorId="452770E3" wp14:editId="55699A19">
            <wp:extent cx="3813175" cy="382143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13175" cy="3821430"/>
                    </a:xfrm>
                    <a:prstGeom prst="rect">
                      <a:avLst/>
                    </a:prstGeom>
                    <a:noFill/>
                    <a:ln>
                      <a:noFill/>
                    </a:ln>
                  </pic:spPr>
                </pic:pic>
              </a:graphicData>
            </a:graphic>
          </wp:inline>
        </w:drawing>
      </w:r>
    </w:p>
    <w:p w14:paraId="3664B84E" w14:textId="62D95A6C" w:rsidR="00FB7E72" w:rsidRDefault="00FB7E72" w:rsidP="00FB7E72">
      <w:pPr>
        <w:pStyle w:val="ab"/>
        <w:rPr>
          <w:rFonts w:eastAsia="宋体"/>
        </w:rPr>
      </w:pPr>
      <w:r w:rsidRPr="00F12A75">
        <w:rPr>
          <w:b/>
          <w:bCs/>
        </w:rPr>
        <w:t>Supplementary Figure 1</w:t>
      </w:r>
      <w:r>
        <w:rPr>
          <w:b/>
          <w:bCs/>
        </w:rPr>
        <w:t xml:space="preserve">6 | </w:t>
      </w:r>
      <w:r w:rsidRPr="00B95D48">
        <w:rPr>
          <w:rFonts w:eastAsia="宋体"/>
          <w:b/>
          <w:bCs/>
        </w:rPr>
        <w:t>Azimuthal dispersion characteristics at fixed polar angle (</w:t>
      </w:r>
      <m:oMath>
        <m:r>
          <m:rPr>
            <m:sty m:val="bi"/>
          </m:rPr>
          <w:rPr>
            <w:rFonts w:ascii="Cambria Math" w:eastAsia="宋体" w:hAnsi="Cambria Math"/>
          </w:rPr>
          <m:t>θ=</m:t>
        </m:r>
        <m:sSup>
          <m:sSupPr>
            <m:ctrlPr>
              <w:rPr>
                <w:rFonts w:ascii="Cambria Math" w:eastAsia="宋体" w:hAnsi="Cambria Math"/>
                <w:b/>
                <w:bCs/>
              </w:rPr>
            </m:ctrlPr>
          </m:sSupPr>
          <m:e>
            <m:r>
              <m:rPr>
                <m:sty m:val="bi"/>
              </m:rPr>
              <w:rPr>
                <w:rFonts w:ascii="Cambria Math" w:eastAsia="宋体" w:hAnsi="Cambria Math"/>
              </w:rPr>
              <m:t>36</m:t>
            </m:r>
          </m:e>
          <m:sup>
            <m:r>
              <m:rPr>
                <m:sty m:val="bi"/>
              </m:rPr>
              <w:rPr>
                <w:rFonts w:ascii="Cambria Math" w:eastAsia="宋体" w:hAnsi="Cambria Math"/>
              </w:rPr>
              <m:t>∘</m:t>
            </m:r>
          </m:sup>
        </m:sSup>
      </m:oMath>
      <w:r w:rsidRPr="00B95D48">
        <w:rPr>
          <w:rFonts w:eastAsia="宋体"/>
          <w:b/>
          <w:bCs/>
        </w:rPr>
        <w:t>).</w:t>
      </w:r>
      <w:r w:rsidRPr="00B95D48">
        <w:rPr>
          <w:rFonts w:eastAsia="宋体"/>
        </w:rPr>
        <w:t> </w:t>
      </w:r>
      <w:r w:rsidRPr="00B95D48">
        <w:rPr>
          <w:rFonts w:eastAsia="宋体"/>
          <w:b/>
          <w:bCs/>
        </w:rPr>
        <w:t>a,</w:t>
      </w:r>
      <w:r w:rsidRPr="00B95D48">
        <w:rPr>
          <w:rFonts w:eastAsia="宋体"/>
        </w:rPr>
        <w:t xml:space="preserve"> Theoretical calculation of the resonant wavelength as a function of azimuthal angle </w:t>
      </w:r>
      <m:oMath>
        <m:r>
          <w:rPr>
            <w:rFonts w:ascii="Cambria Math" w:eastAsia="宋体" w:hAnsi="Cambria Math"/>
          </w:rPr>
          <m:t>φ</m:t>
        </m:r>
      </m:oMath>
      <w:r w:rsidRPr="00B95D48">
        <w:rPr>
          <w:rFonts w:eastAsia="宋体"/>
        </w:rPr>
        <w:t>. The pattern exhibits six-fold symmetry. The gray arrows indicate the </w:t>
      </w:r>
      <m:oMath>
        <m:r>
          <w:rPr>
            <w:rFonts w:ascii="Cambria Math" w:eastAsia="宋体" w:hAnsi="Cambria Math"/>
          </w:rPr>
          <m:t>M</m:t>
        </m:r>
      </m:oMath>
      <w:r w:rsidRPr="00B95D48">
        <w:rPr>
          <w:rFonts w:eastAsia="宋体"/>
        </w:rPr>
        <w:t>-directions (</w:t>
      </w:r>
      <m:oMath>
        <m:r>
          <w:rPr>
            <w:rFonts w:ascii="Cambria Math" w:eastAsia="宋体" w:hAnsi="Cambria Math"/>
          </w:rPr>
          <m:t>ϕ=</m:t>
        </m:r>
        <m:sSup>
          <m:sSupPr>
            <m:ctrlPr>
              <w:rPr>
                <w:rFonts w:ascii="Cambria Math" w:eastAsia="宋体" w:hAnsi="Cambria Math"/>
              </w:rPr>
            </m:ctrlPr>
          </m:sSupPr>
          <m:e>
            <m:r>
              <w:rPr>
                <w:rFonts w:ascii="Cambria Math" w:eastAsia="宋体" w:hAnsi="Cambria Math"/>
              </w:rPr>
              <m:t>0</m:t>
            </m:r>
          </m:e>
          <m:sup>
            <m:r>
              <w:rPr>
                <w:rFonts w:ascii="Cambria Math" w:eastAsia="宋体" w:hAnsi="Cambria Math"/>
              </w:rPr>
              <m:t>∘</m:t>
            </m:r>
          </m:sup>
        </m:sSup>
        <m:r>
          <w:rPr>
            <w:rFonts w:ascii="Cambria Math" w:eastAsia="宋体" w:hAnsi="Cambria Math"/>
          </w:rPr>
          <m:t>,</m:t>
        </m:r>
        <m:sSup>
          <m:sSupPr>
            <m:ctrlPr>
              <w:rPr>
                <w:rFonts w:ascii="Cambria Math" w:eastAsia="宋体" w:hAnsi="Cambria Math"/>
              </w:rPr>
            </m:ctrlPr>
          </m:sSupPr>
          <m:e>
            <m:r>
              <w:rPr>
                <w:rFonts w:ascii="Cambria Math" w:eastAsia="宋体" w:hAnsi="Cambria Math"/>
              </w:rPr>
              <m:t>60</m:t>
            </m:r>
          </m:e>
          <m:sup>
            <m:r>
              <w:rPr>
                <w:rFonts w:ascii="Cambria Math" w:eastAsia="宋体" w:hAnsi="Cambria Math"/>
              </w:rPr>
              <m:t>∘</m:t>
            </m:r>
          </m:sup>
        </m:sSup>
        <m:r>
          <w:rPr>
            <w:rFonts w:ascii="Cambria Math" w:eastAsia="宋体" w:hAnsi="Cambria Math"/>
          </w:rPr>
          <m:t>,…</m:t>
        </m:r>
      </m:oMath>
      <w:r w:rsidRPr="00B95D48">
        <w:rPr>
          <w:rFonts w:eastAsia="宋体"/>
        </w:rPr>
        <w:t>), where the mode is non-degenerate. The </w:t>
      </w:r>
      <m:oMath>
        <m:r>
          <w:rPr>
            <w:rFonts w:ascii="Cambria Math" w:eastAsia="宋体" w:hAnsi="Cambria Math"/>
          </w:rPr>
          <m:t>K</m:t>
        </m:r>
      </m:oMath>
      <w:r w:rsidRPr="00B95D48">
        <w:rPr>
          <w:rFonts w:eastAsia="宋体"/>
        </w:rPr>
        <w:t>-directions (</w:t>
      </w:r>
      <m:oMath>
        <m:r>
          <w:rPr>
            <w:rFonts w:ascii="Cambria Math" w:eastAsia="宋体" w:hAnsi="Cambria Math"/>
          </w:rPr>
          <m:t>φ=</m:t>
        </m:r>
        <m:sSup>
          <m:sSupPr>
            <m:ctrlPr>
              <w:rPr>
                <w:rFonts w:ascii="Cambria Math" w:eastAsia="宋体" w:hAnsi="Cambria Math"/>
              </w:rPr>
            </m:ctrlPr>
          </m:sSupPr>
          <m:e>
            <m:r>
              <w:rPr>
                <w:rFonts w:ascii="Cambria Math" w:eastAsia="宋体" w:hAnsi="Cambria Math"/>
              </w:rPr>
              <m:t>30</m:t>
            </m:r>
          </m:e>
          <m:sup>
            <m:r>
              <w:rPr>
                <w:rFonts w:ascii="Cambria Math" w:eastAsia="宋体" w:hAnsi="Cambria Math"/>
              </w:rPr>
              <m:t>∘</m:t>
            </m:r>
          </m:sup>
        </m:sSup>
        <m:r>
          <w:rPr>
            <w:rFonts w:ascii="Cambria Math" w:eastAsia="宋体" w:hAnsi="Cambria Math"/>
          </w:rPr>
          <m:t>,…</m:t>
        </m:r>
      </m:oMath>
      <w:r w:rsidRPr="00B95D48">
        <w:rPr>
          <w:rFonts w:eastAsia="宋体"/>
        </w:rPr>
        <w:t>) correspond to mode crossing points. </w:t>
      </w:r>
      <w:r w:rsidRPr="00B95D48">
        <w:rPr>
          <w:rFonts w:eastAsia="宋体"/>
          <w:b/>
          <w:bCs/>
        </w:rPr>
        <w:t>b, c,</w:t>
      </w:r>
      <w:r w:rsidRPr="00B95D48">
        <w:rPr>
          <w:rFonts w:eastAsia="宋体"/>
        </w:rPr>
        <w:t xml:space="preserve"> Experimental angle-resolved maps of </w:t>
      </w:r>
      <w:r w:rsidRPr="00B95D48">
        <w:rPr>
          <w:rFonts w:eastAsia="宋体" w:hint="eastAsia"/>
          <w:b/>
          <w:bCs/>
        </w:rPr>
        <w:t>b,</w:t>
      </w:r>
      <w:r w:rsidRPr="00B95D48">
        <w:rPr>
          <w:rFonts w:eastAsia="宋体"/>
        </w:rPr>
        <w:t xml:space="preserve"> white-light reflectance and </w:t>
      </w:r>
      <w:r w:rsidRPr="00B95D48">
        <w:rPr>
          <w:rFonts w:eastAsia="宋体" w:hint="eastAsia"/>
          <w:b/>
          <w:bCs/>
        </w:rPr>
        <w:t>c,</w:t>
      </w:r>
      <w:r w:rsidRPr="00B95D48">
        <w:rPr>
          <w:rFonts w:eastAsia="宋体"/>
        </w:rPr>
        <w:t xml:space="preserve"> lasing emission intensity. The experiments closely match the theoretical prediction. The spectral cutoff in c corresponds to the edges of the quantum dot gain profile (approx. 550–650 nm).</w:t>
      </w:r>
    </w:p>
    <w:p w14:paraId="476ED586" w14:textId="02024BED" w:rsidR="00FB7E72" w:rsidRDefault="00FB7E72">
      <w:pPr>
        <w:widowControl/>
        <w:spacing w:afterLines="0" w:after="0" w:line="240" w:lineRule="auto"/>
        <w:ind w:firstLineChars="0" w:firstLine="0"/>
        <w:jc w:val="left"/>
        <w:rPr>
          <w:rFonts w:eastAsia="宋体"/>
        </w:rPr>
      </w:pPr>
      <w:r>
        <w:rPr>
          <w:rFonts w:eastAsia="宋体"/>
        </w:rPr>
        <w:br w:type="page"/>
      </w:r>
    </w:p>
    <w:p w14:paraId="2D277933" w14:textId="77777777" w:rsidR="00FB7E72" w:rsidRPr="00FB7E72" w:rsidRDefault="00FB7E72">
      <w:pPr>
        <w:widowControl/>
        <w:spacing w:afterLines="0" w:after="0" w:line="240" w:lineRule="auto"/>
        <w:ind w:firstLineChars="0" w:firstLine="0"/>
        <w:rPr>
          <w:rFonts w:eastAsiaTheme="minorEastAsia"/>
        </w:rPr>
      </w:pPr>
    </w:p>
    <w:p w14:paraId="6848020E" w14:textId="713B29BD" w:rsidR="004A2817" w:rsidRDefault="008C5624" w:rsidP="008C5624">
      <w:pPr>
        <w:pStyle w:val="aff"/>
        <w:rPr>
          <w:rFonts w:eastAsiaTheme="minorEastAsia"/>
        </w:rPr>
      </w:pPr>
      <w:r w:rsidRPr="008C5624">
        <w:rPr>
          <w:rFonts w:eastAsiaTheme="minorEastAsia"/>
        </w:rPr>
        <w:drawing>
          <wp:inline distT="0" distB="0" distL="0" distR="0" wp14:anchorId="4EC15952" wp14:editId="2E9E3130">
            <wp:extent cx="5274310" cy="3013710"/>
            <wp:effectExtent l="0" t="0" r="254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4310" cy="3013710"/>
                    </a:xfrm>
                    <a:prstGeom prst="rect">
                      <a:avLst/>
                    </a:prstGeom>
                    <a:noFill/>
                    <a:ln>
                      <a:noFill/>
                    </a:ln>
                  </pic:spPr>
                </pic:pic>
              </a:graphicData>
            </a:graphic>
          </wp:inline>
        </w:drawing>
      </w:r>
    </w:p>
    <w:p w14:paraId="60F0BEE9" w14:textId="2AD7ACAA" w:rsidR="00FB7E72" w:rsidRDefault="00FB7E72" w:rsidP="00FB7E72">
      <w:pPr>
        <w:pStyle w:val="ab"/>
        <w:rPr>
          <w:rFonts w:eastAsiaTheme="minorEastAsia"/>
        </w:rPr>
      </w:pPr>
      <w:r w:rsidRPr="00F12A75">
        <w:rPr>
          <w:b/>
          <w:bCs/>
        </w:rPr>
        <w:t>Supplementary Figure 1</w:t>
      </w:r>
      <w:r>
        <w:rPr>
          <w:b/>
          <w:bCs/>
        </w:rPr>
        <w:t>7 |</w:t>
      </w:r>
      <w:r w:rsidRPr="00B95D48">
        <w:rPr>
          <w:rFonts w:eastAsiaTheme="minorEastAsia" w:hint="eastAsia"/>
          <w:b/>
          <w:bCs/>
        </w:rPr>
        <w:t xml:space="preserve"> </w:t>
      </w:r>
      <w:r w:rsidRPr="00B95D48">
        <w:rPr>
          <w:b/>
          <w:bCs/>
        </w:rPr>
        <w:t>Evolution of the spatial radiation pattern. a,</w:t>
      </w:r>
      <w:r w:rsidRPr="00B95D48">
        <w:t xml:space="preserve"> Zoom-in of the azimuthal lasing dispersion from </w:t>
      </w:r>
      <w:r w:rsidRPr="00FA41D5">
        <w:t>Supplementary Fig. 14c.</w:t>
      </w:r>
      <w:r w:rsidRPr="00B95D48">
        <w:t> </w:t>
      </w:r>
      <w:r w:rsidRPr="00B95D48">
        <w:rPr>
          <w:b/>
          <w:bCs/>
        </w:rPr>
        <w:t>b,</w:t>
      </w:r>
      <w:r w:rsidRPr="00B95D48">
        <w:t xml:space="preserve"> Polar plots representing the far-field beam profile at selected wavelengths.</w:t>
      </w:r>
    </w:p>
    <w:p w14:paraId="62AA4F1B" w14:textId="00287330" w:rsidR="004A2817" w:rsidRPr="00FB7E72" w:rsidRDefault="004A2817">
      <w:pPr>
        <w:widowControl/>
        <w:spacing w:afterLines="0" w:after="0" w:line="240" w:lineRule="auto"/>
        <w:ind w:firstLineChars="0" w:firstLine="0"/>
        <w:jc w:val="left"/>
        <w:rPr>
          <w:rFonts w:eastAsiaTheme="minorEastAsia"/>
          <w:b/>
          <w:bCs/>
        </w:rPr>
      </w:pPr>
      <w:r>
        <w:rPr>
          <w:rFonts w:eastAsiaTheme="minorEastAsia"/>
        </w:rPr>
        <w:br w:type="page"/>
      </w:r>
    </w:p>
    <w:p w14:paraId="315AD186" w14:textId="3414624F" w:rsidR="00500169" w:rsidRPr="00500169" w:rsidRDefault="00500169" w:rsidP="00500169">
      <w:pPr>
        <w:pStyle w:val="afc"/>
        <w:spacing w:after="249"/>
        <w:ind w:left="0" w:firstLineChars="0" w:firstLine="0"/>
        <w:jc w:val="left"/>
        <w:rPr>
          <w:rFonts w:eastAsiaTheme="minorEastAsia"/>
          <w:b/>
          <w:bCs/>
          <w:sz w:val="28"/>
          <w:szCs w:val="28"/>
        </w:rPr>
      </w:pPr>
      <w:r w:rsidRPr="00500169">
        <w:rPr>
          <w:rFonts w:eastAsiaTheme="minorEastAsia"/>
          <w:b/>
          <w:bCs/>
          <w:sz w:val="28"/>
          <w:szCs w:val="28"/>
        </w:rPr>
        <w:lastRenderedPageBreak/>
        <w:t>Supplementary References</w:t>
      </w:r>
    </w:p>
    <w:p w14:paraId="00CC0980" w14:textId="4C2F3DCE" w:rsidR="00D84474" w:rsidRPr="00D84474" w:rsidRDefault="004A2817" w:rsidP="00D84474">
      <w:pPr>
        <w:pStyle w:val="ab"/>
        <w:ind w:left="420" w:hanging="420"/>
        <w:rPr>
          <w:sz w:val="24"/>
          <w:szCs w:val="24"/>
        </w:rPr>
      </w:pPr>
      <w:r w:rsidRPr="00D84474">
        <w:rPr>
          <w:rFonts w:eastAsiaTheme="minorEastAsia"/>
          <w:sz w:val="24"/>
          <w:szCs w:val="24"/>
        </w:rPr>
        <w:fldChar w:fldCharType="begin"/>
      </w:r>
      <w:r w:rsidR="00D84474" w:rsidRPr="00D84474">
        <w:rPr>
          <w:rFonts w:eastAsiaTheme="minorEastAsia"/>
          <w:sz w:val="24"/>
          <w:szCs w:val="24"/>
        </w:rPr>
        <w:instrText xml:space="preserve"> ADDIN ZOTERO_BIBL {"uncited":[],"omitted":[],"custom":[]} CSL_BIBLIOGRAPHY </w:instrText>
      </w:r>
      <w:r w:rsidRPr="00D84474">
        <w:rPr>
          <w:rFonts w:eastAsiaTheme="minorEastAsia"/>
          <w:sz w:val="24"/>
          <w:szCs w:val="24"/>
        </w:rPr>
        <w:fldChar w:fldCharType="separate"/>
      </w:r>
      <w:r w:rsidR="00D84474" w:rsidRPr="00D84474">
        <w:rPr>
          <w:sz w:val="24"/>
          <w:szCs w:val="24"/>
        </w:rPr>
        <w:t>1</w:t>
      </w:r>
      <w:r w:rsidR="00D84474" w:rsidRPr="00D84474">
        <w:rPr>
          <w:sz w:val="24"/>
          <w:szCs w:val="24"/>
        </w:rPr>
        <w:tab/>
        <w:t xml:space="preserve">Shan, H. </w:t>
      </w:r>
      <w:r w:rsidR="00D84474" w:rsidRPr="00D84474">
        <w:rPr>
          <w:i/>
          <w:iCs/>
          <w:sz w:val="24"/>
          <w:szCs w:val="24"/>
        </w:rPr>
        <w:t>et al.</w:t>
      </w:r>
      <w:r w:rsidR="00D84474" w:rsidRPr="00D84474">
        <w:rPr>
          <w:sz w:val="24"/>
          <w:szCs w:val="24"/>
        </w:rPr>
        <w:t xml:space="preserve"> Spatial coherence of room-temperature monolayer WSe2 exciton-polaritons in a trap. </w:t>
      </w:r>
      <w:r w:rsidR="00D84474" w:rsidRPr="00D84474">
        <w:rPr>
          <w:i/>
          <w:iCs/>
          <w:sz w:val="24"/>
          <w:szCs w:val="24"/>
        </w:rPr>
        <w:t>Nat Commun</w:t>
      </w:r>
      <w:r w:rsidR="00D84474" w:rsidRPr="00D84474">
        <w:rPr>
          <w:sz w:val="24"/>
          <w:szCs w:val="24"/>
        </w:rPr>
        <w:t xml:space="preserve"> </w:t>
      </w:r>
      <w:r w:rsidR="00D84474" w:rsidRPr="00D84474">
        <w:rPr>
          <w:b/>
          <w:bCs/>
          <w:sz w:val="24"/>
          <w:szCs w:val="24"/>
        </w:rPr>
        <w:t>12</w:t>
      </w:r>
      <w:r w:rsidR="00D84474" w:rsidRPr="00D84474">
        <w:rPr>
          <w:sz w:val="24"/>
          <w:szCs w:val="24"/>
        </w:rPr>
        <w:t>, (2021).</w:t>
      </w:r>
    </w:p>
    <w:p w14:paraId="2E9530F1" w14:textId="4116F9C3" w:rsidR="00D84474" w:rsidRPr="00D84474" w:rsidRDefault="00D84474" w:rsidP="00D84474">
      <w:pPr>
        <w:pStyle w:val="ab"/>
        <w:ind w:left="420" w:hanging="420"/>
        <w:rPr>
          <w:sz w:val="24"/>
          <w:szCs w:val="24"/>
        </w:rPr>
      </w:pPr>
      <w:r w:rsidRPr="00D84474">
        <w:rPr>
          <w:sz w:val="24"/>
          <w:szCs w:val="24"/>
        </w:rPr>
        <w:t>2</w:t>
      </w:r>
      <w:r w:rsidRPr="00D84474">
        <w:rPr>
          <w:sz w:val="24"/>
          <w:szCs w:val="24"/>
        </w:rPr>
        <w:tab/>
        <w:t xml:space="preserve">Luo, Y. </w:t>
      </w:r>
      <w:r w:rsidRPr="00D84474">
        <w:rPr>
          <w:i/>
          <w:iCs/>
          <w:sz w:val="24"/>
          <w:szCs w:val="24"/>
        </w:rPr>
        <w:t>et al.</w:t>
      </w:r>
      <w:r w:rsidRPr="00D84474">
        <w:rPr>
          <w:sz w:val="24"/>
          <w:szCs w:val="24"/>
        </w:rPr>
        <w:t xml:space="preserve"> Manipulating nonlinear exciton polaritons in an atomically-thin semiconductor with artificial potential landscapes. </w:t>
      </w:r>
      <w:r w:rsidRPr="00D84474">
        <w:rPr>
          <w:i/>
          <w:iCs/>
          <w:sz w:val="24"/>
          <w:szCs w:val="24"/>
        </w:rPr>
        <w:t>Light Sci Appl</w:t>
      </w:r>
      <w:r w:rsidRPr="00D84474">
        <w:rPr>
          <w:sz w:val="24"/>
          <w:szCs w:val="24"/>
        </w:rPr>
        <w:t xml:space="preserve"> </w:t>
      </w:r>
      <w:r w:rsidRPr="00D84474">
        <w:rPr>
          <w:b/>
          <w:bCs/>
          <w:sz w:val="24"/>
          <w:szCs w:val="24"/>
        </w:rPr>
        <w:t>12</w:t>
      </w:r>
      <w:r w:rsidRPr="00D84474">
        <w:rPr>
          <w:sz w:val="24"/>
          <w:szCs w:val="24"/>
        </w:rPr>
        <w:t>, (2023).</w:t>
      </w:r>
    </w:p>
    <w:p w14:paraId="2C83654B" w14:textId="1141A125" w:rsidR="00D84474" w:rsidRPr="00D84474" w:rsidRDefault="00D84474" w:rsidP="00D84474">
      <w:pPr>
        <w:pStyle w:val="ab"/>
        <w:ind w:left="420" w:hanging="420"/>
        <w:rPr>
          <w:sz w:val="24"/>
          <w:szCs w:val="24"/>
        </w:rPr>
      </w:pPr>
      <w:r w:rsidRPr="00D84474">
        <w:rPr>
          <w:sz w:val="24"/>
          <w:szCs w:val="24"/>
        </w:rPr>
        <w:tab/>
        <w:t xml:space="preserve">Lubin, S. M., Hryn, A. J., Huntington, M. D., Engel, C. J. &amp; Odom, T. W. Quasiperiodic Moiré Plasmonic Crystals. </w:t>
      </w:r>
      <w:r w:rsidRPr="00D84474">
        <w:rPr>
          <w:i/>
          <w:iCs/>
          <w:sz w:val="24"/>
          <w:szCs w:val="24"/>
        </w:rPr>
        <w:t>ACS Nano</w:t>
      </w:r>
      <w:r w:rsidRPr="00D84474">
        <w:rPr>
          <w:sz w:val="24"/>
          <w:szCs w:val="24"/>
        </w:rPr>
        <w:t xml:space="preserve"> </w:t>
      </w:r>
      <w:r w:rsidRPr="00D84474">
        <w:rPr>
          <w:b/>
          <w:bCs/>
          <w:sz w:val="24"/>
          <w:szCs w:val="24"/>
        </w:rPr>
        <w:t>7</w:t>
      </w:r>
      <w:r w:rsidRPr="00D84474">
        <w:rPr>
          <w:sz w:val="24"/>
          <w:szCs w:val="24"/>
        </w:rPr>
        <w:t>, 11035–11042 (2013).</w:t>
      </w:r>
    </w:p>
    <w:p w14:paraId="47D1C81F" w14:textId="1DCFB207" w:rsidR="00D84474" w:rsidRPr="00D84474" w:rsidRDefault="00D84474" w:rsidP="00D84474">
      <w:pPr>
        <w:pStyle w:val="ab"/>
        <w:ind w:left="420" w:hanging="420"/>
        <w:rPr>
          <w:sz w:val="24"/>
          <w:szCs w:val="24"/>
        </w:rPr>
      </w:pPr>
      <w:r w:rsidRPr="00D84474">
        <w:rPr>
          <w:sz w:val="24"/>
          <w:szCs w:val="24"/>
        </w:rPr>
        <w:t>4</w:t>
      </w:r>
      <w:r w:rsidRPr="00D84474">
        <w:rPr>
          <w:sz w:val="24"/>
          <w:szCs w:val="24"/>
        </w:rPr>
        <w:tab/>
        <w:t xml:space="preserve">Rakić, A. D., Djurišić, A. B., Elazar, J. M. &amp; Majewski, M. L. Optical properties of metallic films for vertical-cavity optoelectronic devices. </w:t>
      </w:r>
      <w:r w:rsidRPr="00D84474">
        <w:rPr>
          <w:i/>
          <w:iCs/>
          <w:sz w:val="24"/>
          <w:szCs w:val="24"/>
        </w:rPr>
        <w:t>Appl. Opt.</w:t>
      </w:r>
      <w:r w:rsidRPr="00D84474">
        <w:rPr>
          <w:sz w:val="24"/>
          <w:szCs w:val="24"/>
        </w:rPr>
        <w:t xml:space="preserve"> </w:t>
      </w:r>
      <w:r w:rsidRPr="00D84474">
        <w:rPr>
          <w:b/>
          <w:bCs/>
          <w:sz w:val="24"/>
          <w:szCs w:val="24"/>
        </w:rPr>
        <w:t>37</w:t>
      </w:r>
      <w:r w:rsidRPr="00D84474">
        <w:rPr>
          <w:sz w:val="24"/>
          <w:szCs w:val="24"/>
        </w:rPr>
        <w:t>, 5271 (1998).</w:t>
      </w:r>
    </w:p>
    <w:p w14:paraId="55F73599" w14:textId="43ED891D" w:rsidR="00D84474" w:rsidRPr="00D84474" w:rsidRDefault="00D84474" w:rsidP="00D84474">
      <w:pPr>
        <w:pStyle w:val="ab"/>
        <w:ind w:left="420" w:hanging="420"/>
        <w:rPr>
          <w:sz w:val="24"/>
          <w:szCs w:val="24"/>
        </w:rPr>
      </w:pPr>
      <w:r w:rsidRPr="00D84474">
        <w:rPr>
          <w:sz w:val="24"/>
          <w:szCs w:val="24"/>
        </w:rPr>
        <w:t>5</w:t>
      </w:r>
      <w:r w:rsidRPr="00D84474">
        <w:rPr>
          <w:sz w:val="24"/>
          <w:szCs w:val="24"/>
        </w:rPr>
        <w:tab/>
        <w:t xml:space="preserve">Rodríguez-Fortuño, F. J. </w:t>
      </w:r>
      <w:r w:rsidRPr="00D84474">
        <w:rPr>
          <w:i/>
          <w:iCs/>
          <w:sz w:val="24"/>
          <w:szCs w:val="24"/>
        </w:rPr>
        <w:t>et al.</w:t>
      </w:r>
      <w:r w:rsidRPr="00D84474">
        <w:rPr>
          <w:sz w:val="24"/>
          <w:szCs w:val="24"/>
        </w:rPr>
        <w:t xml:space="preserve"> Near-Field Interference for the Unidirectional Excitation of Electromagnetic Guided Modes. </w:t>
      </w:r>
      <w:r w:rsidRPr="00D84474">
        <w:rPr>
          <w:i/>
          <w:iCs/>
          <w:sz w:val="24"/>
          <w:szCs w:val="24"/>
        </w:rPr>
        <w:t>Science</w:t>
      </w:r>
      <w:r w:rsidRPr="00D84474">
        <w:rPr>
          <w:sz w:val="24"/>
          <w:szCs w:val="24"/>
        </w:rPr>
        <w:t xml:space="preserve"> </w:t>
      </w:r>
      <w:r w:rsidRPr="00D84474">
        <w:rPr>
          <w:b/>
          <w:bCs/>
          <w:sz w:val="24"/>
          <w:szCs w:val="24"/>
        </w:rPr>
        <w:t>340</w:t>
      </w:r>
      <w:r w:rsidRPr="00D84474">
        <w:rPr>
          <w:sz w:val="24"/>
          <w:szCs w:val="24"/>
        </w:rPr>
        <w:t>, 328–330 (2013).</w:t>
      </w:r>
    </w:p>
    <w:p w14:paraId="4C3EC88A" w14:textId="5560EC11" w:rsidR="008754BB" w:rsidRPr="004A2817" w:rsidRDefault="004A2817" w:rsidP="00D84474">
      <w:pPr>
        <w:pStyle w:val="ab"/>
        <w:rPr>
          <w:rFonts w:eastAsiaTheme="minorEastAsia"/>
        </w:rPr>
      </w:pPr>
      <w:r w:rsidRPr="00D84474">
        <w:rPr>
          <w:rFonts w:eastAsiaTheme="minorEastAsia"/>
          <w:sz w:val="24"/>
          <w:szCs w:val="24"/>
        </w:rPr>
        <w:fldChar w:fldCharType="end"/>
      </w:r>
    </w:p>
    <w:sectPr w:rsidR="008754BB" w:rsidRPr="004A2817">
      <w:headerReference w:type="even" r:id="rId51"/>
      <w:headerReference w:type="default" r:id="rId52"/>
      <w:footerReference w:type="even" r:id="rId53"/>
      <w:footerReference w:type="default" r:id="rId54"/>
      <w:headerReference w:type="first" r:id="rId55"/>
      <w:footerReference w:type="first" r:id="rId5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91E711" w14:textId="77777777" w:rsidR="00FD4464" w:rsidRDefault="00FD4464" w:rsidP="00CE5E66">
      <w:pPr>
        <w:spacing w:after="192"/>
        <w:ind w:firstLine="480"/>
      </w:pPr>
      <w:r>
        <w:separator/>
      </w:r>
    </w:p>
  </w:endnote>
  <w:endnote w:type="continuationSeparator" w:id="0">
    <w:p w14:paraId="5853CCA1" w14:textId="77777777" w:rsidR="00FD4464" w:rsidRDefault="00FD4464" w:rsidP="00CE5E66">
      <w:pPr>
        <w:spacing w:after="192"/>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Arial Unicode MS">
    <w:altName w:val="Malgun Gothic Semilight"/>
    <w:panose1 w:val="020B0604020202020204"/>
    <w:charset w:val="86"/>
    <w:family w:val="swiss"/>
    <w:pitch w:val="variable"/>
    <w:sig w:usb0="F7FFAFFF" w:usb1="E9DFFFFF" w:usb2="0000003F" w:usb3="00000000" w:csb0="001F00FF" w:csb1="00000000"/>
  </w:font>
  <w:font w:name="Cambria Math">
    <w:panose1 w:val="02040503050406030204"/>
    <w:charset w:val="00"/>
    <w:family w:val="roman"/>
    <w:pitch w:val="variable"/>
    <w:sig w:usb0="E00006FF" w:usb1="420024FF" w:usb2="02000000" w:usb3="00000000" w:csb0="0000019F" w:csb1="00000000"/>
  </w:font>
  <w:font w:name="DM Sans">
    <w:altName w:val="Calibri"/>
    <w:charset w:val="00"/>
    <w:family w:val="auto"/>
    <w:pitch w:val="variable"/>
    <w:sig w:usb0="8000002F" w:usb1="5000205B" w:usb2="00000000" w:usb3="00000000" w:csb0="00000093" w:csb1="00000000"/>
  </w:font>
  <w:font w:name="Calibri">
    <w:panose1 w:val="020F0502020204030204"/>
    <w:charset w:val="00"/>
    <w:family w:val="swiss"/>
    <w:pitch w:val="variable"/>
    <w:sig w:usb0="E4002EFF" w:usb1="C200247B" w:usb2="00000009" w:usb3="00000000" w:csb0="000001FF"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689CFE" w14:textId="77777777" w:rsidR="00363706" w:rsidRDefault="00363706">
    <w:pPr>
      <w:pStyle w:val="a8"/>
      <w:spacing w:after="192"/>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16218833"/>
      <w:docPartObj>
        <w:docPartGallery w:val="Page Numbers (Bottom of Page)"/>
        <w:docPartUnique/>
      </w:docPartObj>
    </w:sdtPr>
    <w:sdtContent>
      <w:sdt>
        <w:sdtPr>
          <w:id w:val="1728636285"/>
          <w:docPartObj>
            <w:docPartGallery w:val="Page Numbers (Top of Page)"/>
            <w:docPartUnique/>
          </w:docPartObj>
        </w:sdtPr>
        <w:sdtContent>
          <w:p w14:paraId="3B3B8B2B" w14:textId="7B56FA63" w:rsidR="00737161" w:rsidRDefault="00737161">
            <w:pPr>
              <w:pStyle w:val="a8"/>
              <w:spacing w:after="192"/>
              <w:ind w:firstLine="360"/>
              <w:jc w:val="center"/>
            </w:pPr>
            <w:r>
              <w:rPr>
                <w:lang w:val="zh-CN"/>
              </w:rPr>
              <w:t xml:space="preserve"> </w:t>
            </w:r>
            <w:r>
              <w:rPr>
                <w:b/>
                <w:bCs/>
                <w:sz w:val="24"/>
                <w:szCs w:val="24"/>
              </w:rPr>
              <w:fldChar w:fldCharType="begin"/>
            </w:r>
            <w:r>
              <w:rPr>
                <w:b/>
                <w:bCs/>
              </w:rPr>
              <w:instrText>PAGE</w:instrText>
            </w:r>
            <w:r>
              <w:rPr>
                <w:b/>
                <w:bCs/>
                <w:sz w:val="24"/>
                <w:szCs w:val="24"/>
              </w:rPr>
              <w:fldChar w:fldCharType="separate"/>
            </w:r>
            <w:r>
              <w:rPr>
                <w:b/>
                <w:bCs/>
                <w:lang w:val="zh-CN"/>
              </w:rPr>
              <w:t>2</w:t>
            </w:r>
            <w:r>
              <w:rPr>
                <w:b/>
                <w:bCs/>
                <w:sz w:val="24"/>
                <w:szCs w:val="24"/>
              </w:rPr>
              <w:fldChar w:fldCharType="end"/>
            </w:r>
            <w:r>
              <w:rPr>
                <w:lang w:val="zh-CN"/>
              </w:rPr>
              <w:t xml:space="preserve"> / </w:t>
            </w:r>
            <w:r>
              <w:rPr>
                <w:b/>
                <w:bCs/>
                <w:sz w:val="24"/>
                <w:szCs w:val="24"/>
              </w:rPr>
              <w:fldChar w:fldCharType="begin"/>
            </w:r>
            <w:r>
              <w:rPr>
                <w:b/>
                <w:bCs/>
              </w:rPr>
              <w:instrText>NUMPAGES</w:instrText>
            </w:r>
            <w:r>
              <w:rPr>
                <w:b/>
                <w:bCs/>
                <w:sz w:val="24"/>
                <w:szCs w:val="24"/>
              </w:rPr>
              <w:fldChar w:fldCharType="separate"/>
            </w:r>
            <w:r>
              <w:rPr>
                <w:b/>
                <w:bCs/>
                <w:lang w:val="zh-CN"/>
              </w:rPr>
              <w:t>2</w:t>
            </w:r>
            <w:r>
              <w:rPr>
                <w:b/>
                <w:bCs/>
                <w:sz w:val="24"/>
                <w:szCs w:val="24"/>
              </w:rPr>
              <w:fldChar w:fldCharType="end"/>
            </w:r>
          </w:p>
        </w:sdtContent>
      </w:sdt>
    </w:sdtContent>
  </w:sdt>
  <w:p w14:paraId="187DE981" w14:textId="77777777" w:rsidR="00363706" w:rsidRDefault="00363706">
    <w:pPr>
      <w:pStyle w:val="a8"/>
      <w:spacing w:after="192"/>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1A9CCB" w14:textId="77777777" w:rsidR="00363706" w:rsidRDefault="00363706">
    <w:pPr>
      <w:pStyle w:val="a8"/>
      <w:spacing w:after="192"/>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5595EB" w14:textId="77777777" w:rsidR="00FD4464" w:rsidRDefault="00FD4464" w:rsidP="00CE5E66">
      <w:pPr>
        <w:spacing w:after="192"/>
        <w:ind w:firstLine="480"/>
      </w:pPr>
      <w:r>
        <w:separator/>
      </w:r>
    </w:p>
  </w:footnote>
  <w:footnote w:type="continuationSeparator" w:id="0">
    <w:p w14:paraId="519F8CC5" w14:textId="77777777" w:rsidR="00FD4464" w:rsidRDefault="00FD4464" w:rsidP="00CE5E66">
      <w:pPr>
        <w:spacing w:after="192"/>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62599B" w14:textId="77777777" w:rsidR="00363706" w:rsidRDefault="00363706">
    <w:pPr>
      <w:pStyle w:val="a6"/>
      <w:spacing w:after="192"/>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466626" w14:textId="77777777" w:rsidR="00363706" w:rsidRDefault="00363706">
    <w:pPr>
      <w:pStyle w:val="a6"/>
      <w:spacing w:after="192"/>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29B024" w14:textId="77777777" w:rsidR="00363706" w:rsidRDefault="00363706">
    <w:pPr>
      <w:pStyle w:val="a6"/>
      <w:spacing w:after="192"/>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1453FC"/>
    <w:multiLevelType w:val="hybridMultilevel"/>
    <w:tmpl w:val="18D03214"/>
    <w:lvl w:ilvl="0" w:tplc="5B125CB6">
      <w:start w:val="1"/>
      <w:numFmt w:val="low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47AD752D"/>
    <w:multiLevelType w:val="multilevel"/>
    <w:tmpl w:val="44BC34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FB37499"/>
    <w:multiLevelType w:val="hybridMultilevel"/>
    <w:tmpl w:val="E97CD1C0"/>
    <w:lvl w:ilvl="0" w:tplc="1CDC6A92">
      <w:start w:val="1"/>
      <w:numFmt w:val="lowerLetter"/>
      <w:lvlText w:val="(%1)"/>
      <w:lvlJc w:val="left"/>
      <w:pPr>
        <w:ind w:left="360" w:hanging="360"/>
      </w:pPr>
      <w:rPr>
        <w:rFonts w:hint="default"/>
        <w:sz w:val="18"/>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205916835">
    <w:abstractNumId w:val="1"/>
  </w:num>
  <w:num w:numId="2" w16cid:durableId="74598827">
    <w:abstractNumId w:val="0"/>
  </w:num>
  <w:num w:numId="3" w16cid:durableId="119723366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68FB"/>
    <w:rsid w:val="000007A3"/>
    <w:rsid w:val="000008ED"/>
    <w:rsid w:val="00001164"/>
    <w:rsid w:val="000055BB"/>
    <w:rsid w:val="0001161C"/>
    <w:rsid w:val="00011BB3"/>
    <w:rsid w:val="00011FC8"/>
    <w:rsid w:val="000213D2"/>
    <w:rsid w:val="00026C64"/>
    <w:rsid w:val="00027004"/>
    <w:rsid w:val="000307B4"/>
    <w:rsid w:val="00034BEE"/>
    <w:rsid w:val="0003555A"/>
    <w:rsid w:val="00050A54"/>
    <w:rsid w:val="00050D80"/>
    <w:rsid w:val="00052659"/>
    <w:rsid w:val="00052AA2"/>
    <w:rsid w:val="000612B0"/>
    <w:rsid w:val="00070225"/>
    <w:rsid w:val="0007422E"/>
    <w:rsid w:val="00081252"/>
    <w:rsid w:val="00081B5C"/>
    <w:rsid w:val="00084D62"/>
    <w:rsid w:val="00094D06"/>
    <w:rsid w:val="00096CA5"/>
    <w:rsid w:val="000A4E3E"/>
    <w:rsid w:val="000B0CE5"/>
    <w:rsid w:val="000C3B2F"/>
    <w:rsid w:val="000C5EDA"/>
    <w:rsid w:val="000D1925"/>
    <w:rsid w:val="000D5948"/>
    <w:rsid w:val="000D5BE4"/>
    <w:rsid w:val="000D5EF2"/>
    <w:rsid w:val="000E0056"/>
    <w:rsid w:val="000E170D"/>
    <w:rsid w:val="000E3275"/>
    <w:rsid w:val="000F4299"/>
    <w:rsid w:val="00101912"/>
    <w:rsid w:val="0010699C"/>
    <w:rsid w:val="00113C57"/>
    <w:rsid w:val="0011781B"/>
    <w:rsid w:val="001237F9"/>
    <w:rsid w:val="00135BB4"/>
    <w:rsid w:val="001363D2"/>
    <w:rsid w:val="00142967"/>
    <w:rsid w:val="00145D29"/>
    <w:rsid w:val="00150A6B"/>
    <w:rsid w:val="00152270"/>
    <w:rsid w:val="00154DC6"/>
    <w:rsid w:val="00156010"/>
    <w:rsid w:val="00156679"/>
    <w:rsid w:val="00157001"/>
    <w:rsid w:val="00172FE3"/>
    <w:rsid w:val="001850D4"/>
    <w:rsid w:val="00185FAC"/>
    <w:rsid w:val="00187ED3"/>
    <w:rsid w:val="001A3FEF"/>
    <w:rsid w:val="001A5D0D"/>
    <w:rsid w:val="001A60EB"/>
    <w:rsid w:val="001B0185"/>
    <w:rsid w:val="001B458F"/>
    <w:rsid w:val="001B6DCD"/>
    <w:rsid w:val="001C6187"/>
    <w:rsid w:val="001D0399"/>
    <w:rsid w:val="001D0FC3"/>
    <w:rsid w:val="001D173D"/>
    <w:rsid w:val="001D51F1"/>
    <w:rsid w:val="001E239D"/>
    <w:rsid w:val="001E2EC1"/>
    <w:rsid w:val="001F1A13"/>
    <w:rsid w:val="001F4040"/>
    <w:rsid w:val="002000E6"/>
    <w:rsid w:val="00200D7F"/>
    <w:rsid w:val="00203223"/>
    <w:rsid w:val="002054EC"/>
    <w:rsid w:val="00213488"/>
    <w:rsid w:val="00217EE7"/>
    <w:rsid w:val="002249E0"/>
    <w:rsid w:val="0022598D"/>
    <w:rsid w:val="00226AA3"/>
    <w:rsid w:val="00230EF5"/>
    <w:rsid w:val="00231ECB"/>
    <w:rsid w:val="00243E6D"/>
    <w:rsid w:val="002457F4"/>
    <w:rsid w:val="00253469"/>
    <w:rsid w:val="00253E3A"/>
    <w:rsid w:val="00253FAC"/>
    <w:rsid w:val="002566B3"/>
    <w:rsid w:val="00257503"/>
    <w:rsid w:val="00257BDD"/>
    <w:rsid w:val="00265F51"/>
    <w:rsid w:val="00266FA6"/>
    <w:rsid w:val="00272B76"/>
    <w:rsid w:val="00272D13"/>
    <w:rsid w:val="0028137A"/>
    <w:rsid w:val="00285DCC"/>
    <w:rsid w:val="002872F3"/>
    <w:rsid w:val="00287AEC"/>
    <w:rsid w:val="002934FD"/>
    <w:rsid w:val="002A307B"/>
    <w:rsid w:val="002A666B"/>
    <w:rsid w:val="002C3444"/>
    <w:rsid w:val="002C440F"/>
    <w:rsid w:val="002C462F"/>
    <w:rsid w:val="002C6561"/>
    <w:rsid w:val="002E3A67"/>
    <w:rsid w:val="002E70AA"/>
    <w:rsid w:val="002F1F08"/>
    <w:rsid w:val="002F2128"/>
    <w:rsid w:val="002F23A6"/>
    <w:rsid w:val="002F347D"/>
    <w:rsid w:val="00301BE6"/>
    <w:rsid w:val="0030797E"/>
    <w:rsid w:val="00312D82"/>
    <w:rsid w:val="00313A11"/>
    <w:rsid w:val="003227A6"/>
    <w:rsid w:val="00326AFE"/>
    <w:rsid w:val="00327FB0"/>
    <w:rsid w:val="00335F2A"/>
    <w:rsid w:val="00337BD4"/>
    <w:rsid w:val="003629D6"/>
    <w:rsid w:val="0036339C"/>
    <w:rsid w:val="00363706"/>
    <w:rsid w:val="003660E5"/>
    <w:rsid w:val="003708D4"/>
    <w:rsid w:val="003745BA"/>
    <w:rsid w:val="003776EC"/>
    <w:rsid w:val="00383C97"/>
    <w:rsid w:val="00390722"/>
    <w:rsid w:val="0039156C"/>
    <w:rsid w:val="003922F9"/>
    <w:rsid w:val="003928FB"/>
    <w:rsid w:val="00392965"/>
    <w:rsid w:val="003957AA"/>
    <w:rsid w:val="00396DDD"/>
    <w:rsid w:val="003A2DA3"/>
    <w:rsid w:val="003B58B1"/>
    <w:rsid w:val="003B70F0"/>
    <w:rsid w:val="003B7FAA"/>
    <w:rsid w:val="003C1543"/>
    <w:rsid w:val="003C4FEB"/>
    <w:rsid w:val="003D3811"/>
    <w:rsid w:val="003D4AF2"/>
    <w:rsid w:val="003F3B0F"/>
    <w:rsid w:val="00401AE8"/>
    <w:rsid w:val="00406898"/>
    <w:rsid w:val="00416FA2"/>
    <w:rsid w:val="00423F91"/>
    <w:rsid w:val="0042506B"/>
    <w:rsid w:val="004268E2"/>
    <w:rsid w:val="00430B2C"/>
    <w:rsid w:val="00435161"/>
    <w:rsid w:val="004471B9"/>
    <w:rsid w:val="0044766D"/>
    <w:rsid w:val="0044776E"/>
    <w:rsid w:val="00453178"/>
    <w:rsid w:val="004577D2"/>
    <w:rsid w:val="00462656"/>
    <w:rsid w:val="00472C43"/>
    <w:rsid w:val="0048365E"/>
    <w:rsid w:val="0048655F"/>
    <w:rsid w:val="0049297C"/>
    <w:rsid w:val="004A16F5"/>
    <w:rsid w:val="004A2817"/>
    <w:rsid w:val="004A2BDB"/>
    <w:rsid w:val="004B0008"/>
    <w:rsid w:val="004B1F4A"/>
    <w:rsid w:val="004C1C08"/>
    <w:rsid w:val="004C5C25"/>
    <w:rsid w:val="004D3F33"/>
    <w:rsid w:val="004D5171"/>
    <w:rsid w:val="004D7DFD"/>
    <w:rsid w:val="004E55AE"/>
    <w:rsid w:val="004E77FC"/>
    <w:rsid w:val="004E7AB9"/>
    <w:rsid w:val="004F6A41"/>
    <w:rsid w:val="00500169"/>
    <w:rsid w:val="00500B47"/>
    <w:rsid w:val="00502242"/>
    <w:rsid w:val="005045AE"/>
    <w:rsid w:val="005075C3"/>
    <w:rsid w:val="005250AB"/>
    <w:rsid w:val="0053367D"/>
    <w:rsid w:val="005402B3"/>
    <w:rsid w:val="005402D7"/>
    <w:rsid w:val="00540F3B"/>
    <w:rsid w:val="00544D7A"/>
    <w:rsid w:val="00550027"/>
    <w:rsid w:val="00554E0B"/>
    <w:rsid w:val="005576EE"/>
    <w:rsid w:val="00563F76"/>
    <w:rsid w:val="00570941"/>
    <w:rsid w:val="00582816"/>
    <w:rsid w:val="00583844"/>
    <w:rsid w:val="0059047A"/>
    <w:rsid w:val="00590C99"/>
    <w:rsid w:val="00593F4C"/>
    <w:rsid w:val="00594F4E"/>
    <w:rsid w:val="005A5A9A"/>
    <w:rsid w:val="005B00AA"/>
    <w:rsid w:val="005B3624"/>
    <w:rsid w:val="005B4CD7"/>
    <w:rsid w:val="005B7F98"/>
    <w:rsid w:val="005C6645"/>
    <w:rsid w:val="005C6E07"/>
    <w:rsid w:val="005D0382"/>
    <w:rsid w:val="005D331F"/>
    <w:rsid w:val="005E118D"/>
    <w:rsid w:val="005E59B0"/>
    <w:rsid w:val="005F31BC"/>
    <w:rsid w:val="005F433F"/>
    <w:rsid w:val="00605C51"/>
    <w:rsid w:val="006073EA"/>
    <w:rsid w:val="006074CB"/>
    <w:rsid w:val="00615033"/>
    <w:rsid w:val="00616E09"/>
    <w:rsid w:val="00621343"/>
    <w:rsid w:val="00622D18"/>
    <w:rsid w:val="00624E88"/>
    <w:rsid w:val="0063798D"/>
    <w:rsid w:val="006438BC"/>
    <w:rsid w:val="0064662E"/>
    <w:rsid w:val="00646B29"/>
    <w:rsid w:val="00662FF6"/>
    <w:rsid w:val="00673D51"/>
    <w:rsid w:val="00675E2D"/>
    <w:rsid w:val="00693AB3"/>
    <w:rsid w:val="006A5B82"/>
    <w:rsid w:val="006A661D"/>
    <w:rsid w:val="006B6D7F"/>
    <w:rsid w:val="006B73BA"/>
    <w:rsid w:val="006C5483"/>
    <w:rsid w:val="006C7D99"/>
    <w:rsid w:val="006D10C0"/>
    <w:rsid w:val="006D2700"/>
    <w:rsid w:val="006D6BB4"/>
    <w:rsid w:val="006E3EF7"/>
    <w:rsid w:val="006E5362"/>
    <w:rsid w:val="006E5D82"/>
    <w:rsid w:val="006E7503"/>
    <w:rsid w:val="006F3239"/>
    <w:rsid w:val="006F5442"/>
    <w:rsid w:val="006F7AB4"/>
    <w:rsid w:val="00701384"/>
    <w:rsid w:val="00711BD9"/>
    <w:rsid w:val="00712B0F"/>
    <w:rsid w:val="00715209"/>
    <w:rsid w:val="007212B7"/>
    <w:rsid w:val="007225DD"/>
    <w:rsid w:val="00723E36"/>
    <w:rsid w:val="00725394"/>
    <w:rsid w:val="00737161"/>
    <w:rsid w:val="007430FE"/>
    <w:rsid w:val="007445BB"/>
    <w:rsid w:val="007463C0"/>
    <w:rsid w:val="007510BA"/>
    <w:rsid w:val="007615B1"/>
    <w:rsid w:val="00761EF5"/>
    <w:rsid w:val="00773446"/>
    <w:rsid w:val="00774E00"/>
    <w:rsid w:val="0077602E"/>
    <w:rsid w:val="00783A8A"/>
    <w:rsid w:val="007846AD"/>
    <w:rsid w:val="00785E35"/>
    <w:rsid w:val="007955AB"/>
    <w:rsid w:val="007A47A4"/>
    <w:rsid w:val="007B284B"/>
    <w:rsid w:val="007B3041"/>
    <w:rsid w:val="007B40D4"/>
    <w:rsid w:val="007B671B"/>
    <w:rsid w:val="007C4529"/>
    <w:rsid w:val="007C7E51"/>
    <w:rsid w:val="007D7455"/>
    <w:rsid w:val="007E1A69"/>
    <w:rsid w:val="007E5028"/>
    <w:rsid w:val="007E54A4"/>
    <w:rsid w:val="007E5D4C"/>
    <w:rsid w:val="007F6A57"/>
    <w:rsid w:val="007F7459"/>
    <w:rsid w:val="008061AD"/>
    <w:rsid w:val="0081178B"/>
    <w:rsid w:val="00811CA1"/>
    <w:rsid w:val="008164DD"/>
    <w:rsid w:val="00823B4D"/>
    <w:rsid w:val="00825869"/>
    <w:rsid w:val="008327FF"/>
    <w:rsid w:val="00835577"/>
    <w:rsid w:val="00836B10"/>
    <w:rsid w:val="008434EF"/>
    <w:rsid w:val="00857373"/>
    <w:rsid w:val="00864C32"/>
    <w:rsid w:val="008718EE"/>
    <w:rsid w:val="00871B66"/>
    <w:rsid w:val="008754BB"/>
    <w:rsid w:val="00876818"/>
    <w:rsid w:val="00882693"/>
    <w:rsid w:val="00883AAE"/>
    <w:rsid w:val="008917BA"/>
    <w:rsid w:val="00892BCF"/>
    <w:rsid w:val="00895D94"/>
    <w:rsid w:val="008A0330"/>
    <w:rsid w:val="008A3F22"/>
    <w:rsid w:val="008A71CF"/>
    <w:rsid w:val="008B3DFB"/>
    <w:rsid w:val="008B469B"/>
    <w:rsid w:val="008B6878"/>
    <w:rsid w:val="008B7748"/>
    <w:rsid w:val="008C32E4"/>
    <w:rsid w:val="008C5624"/>
    <w:rsid w:val="008D0CD9"/>
    <w:rsid w:val="008D1994"/>
    <w:rsid w:val="008D78B7"/>
    <w:rsid w:val="008E247C"/>
    <w:rsid w:val="008E321C"/>
    <w:rsid w:val="008E412B"/>
    <w:rsid w:val="008F0747"/>
    <w:rsid w:val="008F1C50"/>
    <w:rsid w:val="008F7926"/>
    <w:rsid w:val="00903FD5"/>
    <w:rsid w:val="00904F5A"/>
    <w:rsid w:val="00907862"/>
    <w:rsid w:val="00913E80"/>
    <w:rsid w:val="00915944"/>
    <w:rsid w:val="00916913"/>
    <w:rsid w:val="00927081"/>
    <w:rsid w:val="009320E3"/>
    <w:rsid w:val="00932ADB"/>
    <w:rsid w:val="009342DF"/>
    <w:rsid w:val="009362FC"/>
    <w:rsid w:val="00944502"/>
    <w:rsid w:val="0095087C"/>
    <w:rsid w:val="00956C85"/>
    <w:rsid w:val="00975155"/>
    <w:rsid w:val="00975D3A"/>
    <w:rsid w:val="00981730"/>
    <w:rsid w:val="00987BE9"/>
    <w:rsid w:val="009914D9"/>
    <w:rsid w:val="00993C8C"/>
    <w:rsid w:val="009966FF"/>
    <w:rsid w:val="009A4A51"/>
    <w:rsid w:val="009B3E5D"/>
    <w:rsid w:val="009C503A"/>
    <w:rsid w:val="009E43AC"/>
    <w:rsid w:val="009F3F3C"/>
    <w:rsid w:val="009F40A8"/>
    <w:rsid w:val="00A03865"/>
    <w:rsid w:val="00A07B3F"/>
    <w:rsid w:val="00A07DB9"/>
    <w:rsid w:val="00A13416"/>
    <w:rsid w:val="00A167B6"/>
    <w:rsid w:val="00A16A11"/>
    <w:rsid w:val="00A20259"/>
    <w:rsid w:val="00A22048"/>
    <w:rsid w:val="00A2297D"/>
    <w:rsid w:val="00A32013"/>
    <w:rsid w:val="00A334F6"/>
    <w:rsid w:val="00A3687C"/>
    <w:rsid w:val="00A368FB"/>
    <w:rsid w:val="00A44021"/>
    <w:rsid w:val="00A46308"/>
    <w:rsid w:val="00A524AF"/>
    <w:rsid w:val="00A66CC3"/>
    <w:rsid w:val="00A879AF"/>
    <w:rsid w:val="00AA04E9"/>
    <w:rsid w:val="00AA193C"/>
    <w:rsid w:val="00AA2FC2"/>
    <w:rsid w:val="00AA5082"/>
    <w:rsid w:val="00AB2FAB"/>
    <w:rsid w:val="00AB3A6C"/>
    <w:rsid w:val="00AB5226"/>
    <w:rsid w:val="00AB61FB"/>
    <w:rsid w:val="00AC0898"/>
    <w:rsid w:val="00AC573E"/>
    <w:rsid w:val="00AD1CE0"/>
    <w:rsid w:val="00AD5703"/>
    <w:rsid w:val="00AD7D6B"/>
    <w:rsid w:val="00AE2CC4"/>
    <w:rsid w:val="00AE683B"/>
    <w:rsid w:val="00AE7D08"/>
    <w:rsid w:val="00AF64BA"/>
    <w:rsid w:val="00B0122F"/>
    <w:rsid w:val="00B0262C"/>
    <w:rsid w:val="00B13145"/>
    <w:rsid w:val="00B13B79"/>
    <w:rsid w:val="00B1414D"/>
    <w:rsid w:val="00B3146F"/>
    <w:rsid w:val="00B32365"/>
    <w:rsid w:val="00B3429F"/>
    <w:rsid w:val="00B422CF"/>
    <w:rsid w:val="00B43464"/>
    <w:rsid w:val="00B53C68"/>
    <w:rsid w:val="00B54029"/>
    <w:rsid w:val="00B70A82"/>
    <w:rsid w:val="00B720CD"/>
    <w:rsid w:val="00B750B8"/>
    <w:rsid w:val="00B815DC"/>
    <w:rsid w:val="00B83354"/>
    <w:rsid w:val="00B84E53"/>
    <w:rsid w:val="00B90754"/>
    <w:rsid w:val="00B953C9"/>
    <w:rsid w:val="00B95715"/>
    <w:rsid w:val="00B95D48"/>
    <w:rsid w:val="00BA2D75"/>
    <w:rsid w:val="00BA61E0"/>
    <w:rsid w:val="00BB2004"/>
    <w:rsid w:val="00BB2023"/>
    <w:rsid w:val="00BB5423"/>
    <w:rsid w:val="00BB5DCD"/>
    <w:rsid w:val="00BC5F3F"/>
    <w:rsid w:val="00BD0885"/>
    <w:rsid w:val="00BD0B57"/>
    <w:rsid w:val="00BD2271"/>
    <w:rsid w:val="00BD2A1F"/>
    <w:rsid w:val="00BD4185"/>
    <w:rsid w:val="00BD796F"/>
    <w:rsid w:val="00BD799D"/>
    <w:rsid w:val="00BE3066"/>
    <w:rsid w:val="00BE68DA"/>
    <w:rsid w:val="00BE6FD1"/>
    <w:rsid w:val="00BF19AC"/>
    <w:rsid w:val="00BF2000"/>
    <w:rsid w:val="00BF294A"/>
    <w:rsid w:val="00BF2B7F"/>
    <w:rsid w:val="00BF4F63"/>
    <w:rsid w:val="00BF60E1"/>
    <w:rsid w:val="00C03030"/>
    <w:rsid w:val="00C04EA7"/>
    <w:rsid w:val="00C122AE"/>
    <w:rsid w:val="00C21729"/>
    <w:rsid w:val="00C21AAA"/>
    <w:rsid w:val="00C223A8"/>
    <w:rsid w:val="00C235AE"/>
    <w:rsid w:val="00C23EE3"/>
    <w:rsid w:val="00C3571F"/>
    <w:rsid w:val="00C42CD7"/>
    <w:rsid w:val="00C467B6"/>
    <w:rsid w:val="00C46D1D"/>
    <w:rsid w:val="00C51FEB"/>
    <w:rsid w:val="00C523CD"/>
    <w:rsid w:val="00C52C6B"/>
    <w:rsid w:val="00C549C4"/>
    <w:rsid w:val="00C60921"/>
    <w:rsid w:val="00C63C5B"/>
    <w:rsid w:val="00C75420"/>
    <w:rsid w:val="00C84761"/>
    <w:rsid w:val="00C9056E"/>
    <w:rsid w:val="00C937E2"/>
    <w:rsid w:val="00CA01F1"/>
    <w:rsid w:val="00CA3264"/>
    <w:rsid w:val="00CB5E8E"/>
    <w:rsid w:val="00CB7231"/>
    <w:rsid w:val="00CC45A9"/>
    <w:rsid w:val="00CD0C29"/>
    <w:rsid w:val="00CD1F0B"/>
    <w:rsid w:val="00CD29DE"/>
    <w:rsid w:val="00CD5DF4"/>
    <w:rsid w:val="00CD6276"/>
    <w:rsid w:val="00CD71C2"/>
    <w:rsid w:val="00CE2D05"/>
    <w:rsid w:val="00CE5863"/>
    <w:rsid w:val="00CE5BDF"/>
    <w:rsid w:val="00CE5E66"/>
    <w:rsid w:val="00CE6673"/>
    <w:rsid w:val="00CF4D1E"/>
    <w:rsid w:val="00CF61EF"/>
    <w:rsid w:val="00CF7C56"/>
    <w:rsid w:val="00D0777B"/>
    <w:rsid w:val="00D17305"/>
    <w:rsid w:val="00D2600D"/>
    <w:rsid w:val="00D277B4"/>
    <w:rsid w:val="00D3538E"/>
    <w:rsid w:val="00D36272"/>
    <w:rsid w:val="00D3745D"/>
    <w:rsid w:val="00D44B5C"/>
    <w:rsid w:val="00D53CAD"/>
    <w:rsid w:val="00D562AB"/>
    <w:rsid w:val="00D562DE"/>
    <w:rsid w:val="00D602CE"/>
    <w:rsid w:val="00D61E75"/>
    <w:rsid w:val="00D71C23"/>
    <w:rsid w:val="00D80A2B"/>
    <w:rsid w:val="00D8182C"/>
    <w:rsid w:val="00D82231"/>
    <w:rsid w:val="00D84474"/>
    <w:rsid w:val="00D84D4B"/>
    <w:rsid w:val="00D94D39"/>
    <w:rsid w:val="00D97156"/>
    <w:rsid w:val="00DA2060"/>
    <w:rsid w:val="00DB0173"/>
    <w:rsid w:val="00DB4371"/>
    <w:rsid w:val="00DB751D"/>
    <w:rsid w:val="00DC0C18"/>
    <w:rsid w:val="00DC3B5D"/>
    <w:rsid w:val="00DC4592"/>
    <w:rsid w:val="00DC4878"/>
    <w:rsid w:val="00DC72E8"/>
    <w:rsid w:val="00DD3D10"/>
    <w:rsid w:val="00DE196D"/>
    <w:rsid w:val="00DE40CC"/>
    <w:rsid w:val="00DE4A9A"/>
    <w:rsid w:val="00DE560D"/>
    <w:rsid w:val="00DE724D"/>
    <w:rsid w:val="00DF4B7B"/>
    <w:rsid w:val="00DF5FBE"/>
    <w:rsid w:val="00DF75EB"/>
    <w:rsid w:val="00E10714"/>
    <w:rsid w:val="00E10B9A"/>
    <w:rsid w:val="00E12C1B"/>
    <w:rsid w:val="00E20D92"/>
    <w:rsid w:val="00E33A25"/>
    <w:rsid w:val="00E3509F"/>
    <w:rsid w:val="00E35B32"/>
    <w:rsid w:val="00E50849"/>
    <w:rsid w:val="00E55755"/>
    <w:rsid w:val="00E60D85"/>
    <w:rsid w:val="00E62349"/>
    <w:rsid w:val="00E6315D"/>
    <w:rsid w:val="00E63185"/>
    <w:rsid w:val="00E644D9"/>
    <w:rsid w:val="00E732A9"/>
    <w:rsid w:val="00E73EDC"/>
    <w:rsid w:val="00E7419F"/>
    <w:rsid w:val="00E7461B"/>
    <w:rsid w:val="00E76CBE"/>
    <w:rsid w:val="00E86972"/>
    <w:rsid w:val="00E9009D"/>
    <w:rsid w:val="00E90AB3"/>
    <w:rsid w:val="00E92BB8"/>
    <w:rsid w:val="00E93E39"/>
    <w:rsid w:val="00EA0962"/>
    <w:rsid w:val="00EA5D8E"/>
    <w:rsid w:val="00EB3E7D"/>
    <w:rsid w:val="00EB5F56"/>
    <w:rsid w:val="00EC5B38"/>
    <w:rsid w:val="00EC6CF3"/>
    <w:rsid w:val="00ED12B7"/>
    <w:rsid w:val="00ED2BC6"/>
    <w:rsid w:val="00ED7D5F"/>
    <w:rsid w:val="00EF3FCB"/>
    <w:rsid w:val="00EF7AEE"/>
    <w:rsid w:val="00F001E5"/>
    <w:rsid w:val="00F10866"/>
    <w:rsid w:val="00F1189F"/>
    <w:rsid w:val="00F12A75"/>
    <w:rsid w:val="00F12C97"/>
    <w:rsid w:val="00F1312B"/>
    <w:rsid w:val="00F20212"/>
    <w:rsid w:val="00F22A41"/>
    <w:rsid w:val="00F3296F"/>
    <w:rsid w:val="00F3435A"/>
    <w:rsid w:val="00F3628A"/>
    <w:rsid w:val="00F36BF2"/>
    <w:rsid w:val="00F44131"/>
    <w:rsid w:val="00F55601"/>
    <w:rsid w:val="00F571BA"/>
    <w:rsid w:val="00F70687"/>
    <w:rsid w:val="00F7225F"/>
    <w:rsid w:val="00F76112"/>
    <w:rsid w:val="00F808FA"/>
    <w:rsid w:val="00F92D31"/>
    <w:rsid w:val="00F9390B"/>
    <w:rsid w:val="00F968CD"/>
    <w:rsid w:val="00FA00EA"/>
    <w:rsid w:val="00FA3FD9"/>
    <w:rsid w:val="00FA41C0"/>
    <w:rsid w:val="00FA41D5"/>
    <w:rsid w:val="00FA706A"/>
    <w:rsid w:val="00FB7308"/>
    <w:rsid w:val="00FB7E72"/>
    <w:rsid w:val="00FC0996"/>
    <w:rsid w:val="00FD4464"/>
    <w:rsid w:val="00FD53D7"/>
    <w:rsid w:val="00FE06AC"/>
    <w:rsid w:val="00FE4293"/>
    <w:rsid w:val="00FF11A0"/>
    <w:rsid w:val="00FF613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8B6BA86"/>
  <w14:defaultImageDpi w14:val="32767"/>
  <w15:chartTrackingRefBased/>
  <w15:docId w15:val="{5B77083A-F129-4DB1-B9D4-4458220E7E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57BDD"/>
    <w:pPr>
      <w:widowControl w:val="0"/>
      <w:spacing w:afterLines="80" w:after="80" w:line="276" w:lineRule="auto"/>
      <w:ind w:firstLineChars="200" w:firstLine="200"/>
      <w:jc w:val="both"/>
    </w:pPr>
    <w:rPr>
      <w:rFonts w:ascii="Times New Roman" w:eastAsia="Times New Roman" w:hAnsi="Times New Roman"/>
      <w:sz w:val="24"/>
    </w:rPr>
  </w:style>
  <w:style w:type="paragraph" w:styleId="1">
    <w:name w:val="heading 1"/>
    <w:basedOn w:val="a"/>
    <w:next w:val="a"/>
    <w:link w:val="10"/>
    <w:uiPriority w:val="9"/>
    <w:qFormat/>
    <w:rsid w:val="008434EF"/>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8434EF"/>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rsid w:val="008434EF"/>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rsid w:val="008434EF"/>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
    <w:next w:val="a"/>
    <w:link w:val="50"/>
    <w:uiPriority w:val="9"/>
    <w:unhideWhenUsed/>
    <w:qFormat/>
    <w:rsid w:val="002C440F"/>
    <w:pPr>
      <w:keepNext/>
      <w:keepLines/>
      <w:spacing w:before="280" w:after="290" w:line="376" w:lineRule="auto"/>
      <w:outlineLvl w:val="4"/>
    </w:pPr>
    <w:rPr>
      <w:b/>
      <w:bCs/>
      <w:sz w:val="28"/>
      <w:szCs w:val="28"/>
    </w:rPr>
  </w:style>
  <w:style w:type="paragraph" w:styleId="6">
    <w:name w:val="heading 6"/>
    <w:basedOn w:val="a"/>
    <w:next w:val="a"/>
    <w:link w:val="60"/>
    <w:uiPriority w:val="9"/>
    <w:unhideWhenUsed/>
    <w:qFormat/>
    <w:rsid w:val="00F92D31"/>
    <w:pPr>
      <w:keepNext/>
      <w:keepLines/>
      <w:spacing w:before="240" w:after="64" w:line="320" w:lineRule="auto"/>
      <w:outlineLvl w:val="5"/>
    </w:pPr>
    <w:rPr>
      <w:rFonts w:asciiTheme="majorHAnsi" w:eastAsiaTheme="majorEastAsia" w:hAnsiTheme="majorHAnsi" w:cstheme="majorBidi"/>
      <w:b/>
      <w:bCs/>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A368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标题 1 字符"/>
    <w:basedOn w:val="a0"/>
    <w:link w:val="1"/>
    <w:uiPriority w:val="9"/>
    <w:rsid w:val="008434EF"/>
    <w:rPr>
      <w:b/>
      <w:bCs/>
      <w:kern w:val="44"/>
      <w:sz w:val="44"/>
      <w:szCs w:val="44"/>
    </w:rPr>
  </w:style>
  <w:style w:type="character" w:customStyle="1" w:styleId="20">
    <w:name w:val="标题 2 字符"/>
    <w:basedOn w:val="a0"/>
    <w:link w:val="2"/>
    <w:uiPriority w:val="9"/>
    <w:rsid w:val="008434EF"/>
    <w:rPr>
      <w:rFonts w:asciiTheme="majorHAnsi" w:eastAsiaTheme="majorEastAsia" w:hAnsiTheme="majorHAnsi" w:cstheme="majorBidi"/>
      <w:b/>
      <w:bCs/>
      <w:sz w:val="32"/>
      <w:szCs w:val="32"/>
    </w:rPr>
  </w:style>
  <w:style w:type="character" w:customStyle="1" w:styleId="30">
    <w:name w:val="标题 3 字符"/>
    <w:basedOn w:val="a0"/>
    <w:link w:val="3"/>
    <w:uiPriority w:val="9"/>
    <w:rsid w:val="008434EF"/>
    <w:rPr>
      <w:b/>
      <w:bCs/>
      <w:sz w:val="32"/>
      <w:szCs w:val="32"/>
    </w:rPr>
  </w:style>
  <w:style w:type="character" w:customStyle="1" w:styleId="40">
    <w:name w:val="标题 4 字符"/>
    <w:basedOn w:val="a0"/>
    <w:link w:val="4"/>
    <w:uiPriority w:val="9"/>
    <w:rsid w:val="008434EF"/>
    <w:rPr>
      <w:rFonts w:asciiTheme="majorHAnsi" w:eastAsiaTheme="majorEastAsia" w:hAnsiTheme="majorHAnsi" w:cstheme="majorBidi"/>
      <w:b/>
      <w:bCs/>
      <w:sz w:val="28"/>
      <w:szCs w:val="28"/>
    </w:rPr>
  </w:style>
  <w:style w:type="paragraph" w:styleId="a4">
    <w:name w:val="Title"/>
    <w:basedOn w:val="a"/>
    <w:next w:val="a"/>
    <w:link w:val="a5"/>
    <w:uiPriority w:val="10"/>
    <w:qFormat/>
    <w:rsid w:val="008434EF"/>
    <w:pPr>
      <w:spacing w:before="240" w:after="60"/>
      <w:jc w:val="center"/>
      <w:outlineLvl w:val="0"/>
    </w:pPr>
    <w:rPr>
      <w:rFonts w:asciiTheme="majorHAnsi" w:eastAsiaTheme="majorEastAsia" w:hAnsiTheme="majorHAnsi" w:cstheme="majorBidi"/>
      <w:b/>
      <w:bCs/>
      <w:sz w:val="32"/>
      <w:szCs w:val="32"/>
    </w:rPr>
  </w:style>
  <w:style w:type="character" w:customStyle="1" w:styleId="a5">
    <w:name w:val="标题 字符"/>
    <w:basedOn w:val="a0"/>
    <w:link w:val="a4"/>
    <w:uiPriority w:val="10"/>
    <w:rsid w:val="008434EF"/>
    <w:rPr>
      <w:rFonts w:asciiTheme="majorHAnsi" w:eastAsiaTheme="majorEastAsia" w:hAnsiTheme="majorHAnsi" w:cstheme="majorBidi"/>
      <w:b/>
      <w:bCs/>
      <w:sz w:val="32"/>
      <w:szCs w:val="32"/>
    </w:rPr>
  </w:style>
  <w:style w:type="paragraph" w:styleId="a6">
    <w:name w:val="header"/>
    <w:basedOn w:val="a"/>
    <w:link w:val="a7"/>
    <w:uiPriority w:val="99"/>
    <w:unhideWhenUsed/>
    <w:rsid w:val="00CE5E66"/>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uiPriority w:val="99"/>
    <w:rsid w:val="00CE5E66"/>
    <w:rPr>
      <w:sz w:val="18"/>
      <w:szCs w:val="18"/>
    </w:rPr>
  </w:style>
  <w:style w:type="paragraph" w:styleId="a8">
    <w:name w:val="footer"/>
    <w:basedOn w:val="a"/>
    <w:link w:val="a9"/>
    <w:uiPriority w:val="99"/>
    <w:unhideWhenUsed/>
    <w:rsid w:val="00CE5E66"/>
    <w:pPr>
      <w:tabs>
        <w:tab w:val="center" w:pos="4153"/>
        <w:tab w:val="right" w:pos="8306"/>
      </w:tabs>
      <w:snapToGrid w:val="0"/>
    </w:pPr>
    <w:rPr>
      <w:sz w:val="18"/>
      <w:szCs w:val="18"/>
    </w:rPr>
  </w:style>
  <w:style w:type="character" w:customStyle="1" w:styleId="a9">
    <w:name w:val="页脚 字符"/>
    <w:basedOn w:val="a0"/>
    <w:link w:val="a8"/>
    <w:uiPriority w:val="99"/>
    <w:rsid w:val="00CE5E66"/>
    <w:rPr>
      <w:sz w:val="18"/>
      <w:szCs w:val="18"/>
    </w:rPr>
  </w:style>
  <w:style w:type="character" w:styleId="aa">
    <w:name w:val="Strong"/>
    <w:basedOn w:val="a0"/>
    <w:uiPriority w:val="22"/>
    <w:qFormat/>
    <w:rsid w:val="00050D80"/>
    <w:rPr>
      <w:b/>
      <w:bCs/>
    </w:rPr>
  </w:style>
  <w:style w:type="paragraph" w:styleId="ab">
    <w:name w:val="No Spacing"/>
    <w:aliases w:val="图注"/>
    <w:link w:val="ac"/>
    <w:uiPriority w:val="1"/>
    <w:qFormat/>
    <w:rsid w:val="00DE724D"/>
    <w:pPr>
      <w:widowControl w:val="0"/>
      <w:jc w:val="both"/>
    </w:pPr>
    <w:rPr>
      <w:rFonts w:ascii="Times New Roman" w:eastAsia="Times New Roman" w:hAnsi="Times New Roman"/>
    </w:rPr>
  </w:style>
  <w:style w:type="character" w:customStyle="1" w:styleId="50">
    <w:name w:val="标题 5 字符"/>
    <w:basedOn w:val="a0"/>
    <w:link w:val="5"/>
    <w:uiPriority w:val="9"/>
    <w:rsid w:val="002C440F"/>
    <w:rPr>
      <w:b/>
      <w:bCs/>
      <w:sz w:val="28"/>
      <w:szCs w:val="28"/>
    </w:rPr>
  </w:style>
  <w:style w:type="paragraph" w:styleId="ad">
    <w:name w:val="Subtitle"/>
    <w:basedOn w:val="a"/>
    <w:next w:val="a"/>
    <w:link w:val="ae"/>
    <w:uiPriority w:val="11"/>
    <w:qFormat/>
    <w:rsid w:val="002C440F"/>
    <w:pPr>
      <w:spacing w:before="240" w:after="60"/>
      <w:jc w:val="center"/>
      <w:outlineLvl w:val="1"/>
    </w:pPr>
    <w:rPr>
      <w:b/>
      <w:bCs/>
      <w:kern w:val="28"/>
      <w:sz w:val="32"/>
      <w:szCs w:val="32"/>
    </w:rPr>
  </w:style>
  <w:style w:type="character" w:customStyle="1" w:styleId="ae">
    <w:name w:val="副标题 字符"/>
    <w:basedOn w:val="a0"/>
    <w:link w:val="ad"/>
    <w:uiPriority w:val="11"/>
    <w:rsid w:val="002C440F"/>
    <w:rPr>
      <w:b/>
      <w:bCs/>
      <w:kern w:val="28"/>
      <w:sz w:val="32"/>
      <w:szCs w:val="32"/>
    </w:rPr>
  </w:style>
  <w:style w:type="character" w:styleId="af">
    <w:name w:val="Hyperlink"/>
    <w:basedOn w:val="a0"/>
    <w:uiPriority w:val="99"/>
    <w:unhideWhenUsed/>
    <w:rsid w:val="002C440F"/>
    <w:rPr>
      <w:color w:val="0563C1" w:themeColor="hyperlink"/>
      <w:u w:val="single"/>
    </w:rPr>
  </w:style>
  <w:style w:type="character" w:customStyle="1" w:styleId="60">
    <w:name w:val="标题 6 字符"/>
    <w:basedOn w:val="a0"/>
    <w:link w:val="6"/>
    <w:uiPriority w:val="9"/>
    <w:rsid w:val="00F92D31"/>
    <w:rPr>
      <w:rFonts w:asciiTheme="majorHAnsi" w:eastAsiaTheme="majorEastAsia" w:hAnsiTheme="majorHAnsi" w:cstheme="majorBidi"/>
      <w:b/>
      <w:bCs/>
      <w:sz w:val="24"/>
      <w:szCs w:val="24"/>
    </w:rPr>
  </w:style>
  <w:style w:type="character" w:styleId="af0">
    <w:name w:val="Placeholder Text"/>
    <w:basedOn w:val="a0"/>
    <w:uiPriority w:val="99"/>
    <w:semiHidden/>
    <w:rsid w:val="00DC4592"/>
    <w:rPr>
      <w:color w:val="808080"/>
    </w:rPr>
  </w:style>
  <w:style w:type="paragraph" w:styleId="af1">
    <w:name w:val="List Paragraph"/>
    <w:basedOn w:val="a"/>
    <w:uiPriority w:val="34"/>
    <w:qFormat/>
    <w:rsid w:val="00C937E2"/>
    <w:pPr>
      <w:ind w:firstLine="420"/>
    </w:pPr>
  </w:style>
  <w:style w:type="character" w:styleId="af2">
    <w:name w:val="Emphasis"/>
    <w:basedOn w:val="a0"/>
    <w:uiPriority w:val="20"/>
    <w:qFormat/>
    <w:rsid w:val="00FA00EA"/>
    <w:rPr>
      <w:i/>
      <w:iCs/>
    </w:rPr>
  </w:style>
  <w:style w:type="paragraph" w:customStyle="1" w:styleId="af3">
    <w:name w:val="公式编号"/>
    <w:basedOn w:val="a"/>
    <w:qFormat/>
    <w:rsid w:val="002000E6"/>
    <w:pPr>
      <w:tabs>
        <w:tab w:val="center" w:pos="4150"/>
        <w:tab w:val="right" w:pos="8301"/>
      </w:tabs>
      <w:spacing w:line="360" w:lineRule="auto"/>
      <w:textAlignment w:val="center"/>
    </w:pPr>
    <w:rPr>
      <w:rFonts w:eastAsia="宋体"/>
    </w:rPr>
  </w:style>
  <w:style w:type="table" w:customStyle="1" w:styleId="11">
    <w:name w:val="网格型1"/>
    <w:basedOn w:val="a1"/>
    <w:uiPriority w:val="39"/>
    <w:rsid w:val="00392965"/>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annotation reference"/>
    <w:basedOn w:val="a0"/>
    <w:uiPriority w:val="99"/>
    <w:semiHidden/>
    <w:unhideWhenUsed/>
    <w:rsid w:val="00CD1F0B"/>
    <w:rPr>
      <w:sz w:val="21"/>
      <w:szCs w:val="21"/>
    </w:rPr>
  </w:style>
  <w:style w:type="paragraph" w:styleId="af5">
    <w:name w:val="annotation text"/>
    <w:basedOn w:val="a"/>
    <w:link w:val="af6"/>
    <w:uiPriority w:val="99"/>
    <w:unhideWhenUsed/>
    <w:rsid w:val="00CD1F0B"/>
  </w:style>
  <w:style w:type="character" w:customStyle="1" w:styleId="af6">
    <w:name w:val="批注文字 字符"/>
    <w:basedOn w:val="a0"/>
    <w:link w:val="af5"/>
    <w:uiPriority w:val="99"/>
    <w:rsid w:val="00CD1F0B"/>
  </w:style>
  <w:style w:type="paragraph" w:styleId="af7">
    <w:name w:val="annotation subject"/>
    <w:basedOn w:val="af5"/>
    <w:next w:val="af5"/>
    <w:link w:val="af8"/>
    <w:uiPriority w:val="99"/>
    <w:semiHidden/>
    <w:unhideWhenUsed/>
    <w:rsid w:val="00CD1F0B"/>
    <w:rPr>
      <w:b/>
      <w:bCs/>
    </w:rPr>
  </w:style>
  <w:style w:type="character" w:customStyle="1" w:styleId="af8">
    <w:name w:val="批注主题 字符"/>
    <w:basedOn w:val="af6"/>
    <w:link w:val="af7"/>
    <w:uiPriority w:val="99"/>
    <w:semiHidden/>
    <w:rsid w:val="00CD1F0B"/>
    <w:rPr>
      <w:b/>
      <w:bCs/>
    </w:rPr>
  </w:style>
  <w:style w:type="paragraph" w:styleId="af9">
    <w:name w:val="Normal (Web)"/>
    <w:basedOn w:val="a"/>
    <w:uiPriority w:val="99"/>
    <w:semiHidden/>
    <w:unhideWhenUsed/>
    <w:rsid w:val="000E3275"/>
    <w:rPr>
      <w:rFonts w:cs="Times New Roman"/>
      <w:szCs w:val="24"/>
    </w:rPr>
  </w:style>
  <w:style w:type="paragraph" w:styleId="afa">
    <w:name w:val="Revision"/>
    <w:hidden/>
    <w:uiPriority w:val="99"/>
    <w:semiHidden/>
    <w:rsid w:val="00F7225F"/>
    <w:rPr>
      <w:rFonts w:ascii="Times New Roman" w:eastAsia="Times New Roman" w:hAnsi="Times New Roman"/>
      <w:sz w:val="24"/>
    </w:rPr>
  </w:style>
  <w:style w:type="paragraph" w:styleId="TOC">
    <w:name w:val="TOC Heading"/>
    <w:basedOn w:val="1"/>
    <w:next w:val="a"/>
    <w:uiPriority w:val="39"/>
    <w:unhideWhenUsed/>
    <w:qFormat/>
    <w:rsid w:val="001B458F"/>
    <w:pPr>
      <w:widowControl/>
      <w:spacing w:before="240" w:afterLines="0" w:after="0" w:line="259" w:lineRule="auto"/>
      <w:ind w:firstLineChars="0" w:firstLine="0"/>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2">
    <w:name w:val="toc 2"/>
    <w:basedOn w:val="a"/>
    <w:next w:val="a"/>
    <w:autoRedefine/>
    <w:uiPriority w:val="39"/>
    <w:unhideWhenUsed/>
    <w:rsid w:val="001B458F"/>
    <w:pPr>
      <w:ind w:leftChars="200" w:left="420"/>
    </w:pPr>
  </w:style>
  <w:style w:type="paragraph" w:styleId="TOC3">
    <w:name w:val="toc 3"/>
    <w:basedOn w:val="a"/>
    <w:next w:val="a"/>
    <w:autoRedefine/>
    <w:uiPriority w:val="39"/>
    <w:unhideWhenUsed/>
    <w:rsid w:val="001B458F"/>
    <w:pPr>
      <w:ind w:leftChars="400" w:left="840"/>
    </w:pPr>
  </w:style>
  <w:style w:type="character" w:styleId="afb">
    <w:name w:val="Unresolved Mention"/>
    <w:basedOn w:val="a0"/>
    <w:uiPriority w:val="99"/>
    <w:semiHidden/>
    <w:unhideWhenUsed/>
    <w:rsid w:val="001B458F"/>
    <w:rPr>
      <w:color w:val="605E5C"/>
      <w:shd w:val="clear" w:color="auto" w:fill="E1DFDD"/>
    </w:rPr>
  </w:style>
  <w:style w:type="paragraph" w:styleId="afc">
    <w:name w:val="Bibliography"/>
    <w:basedOn w:val="a"/>
    <w:next w:val="a"/>
    <w:uiPriority w:val="37"/>
    <w:unhideWhenUsed/>
    <w:rsid w:val="004C5C25"/>
    <w:pPr>
      <w:tabs>
        <w:tab w:val="left" w:pos="264"/>
      </w:tabs>
      <w:spacing w:after="0" w:line="480" w:lineRule="auto"/>
      <w:ind w:left="264" w:hanging="264"/>
    </w:pPr>
  </w:style>
  <w:style w:type="paragraph" w:styleId="afd">
    <w:name w:val="Quote"/>
    <w:basedOn w:val="a"/>
    <w:next w:val="a"/>
    <w:link w:val="afe"/>
    <w:uiPriority w:val="29"/>
    <w:qFormat/>
    <w:rsid w:val="00D84474"/>
    <w:pPr>
      <w:spacing w:before="200" w:after="160"/>
      <w:ind w:left="864" w:right="864"/>
      <w:jc w:val="center"/>
    </w:pPr>
    <w:rPr>
      <w:i/>
      <w:iCs/>
      <w:color w:val="404040" w:themeColor="text1" w:themeTint="BF"/>
    </w:rPr>
  </w:style>
  <w:style w:type="character" w:customStyle="1" w:styleId="afe">
    <w:name w:val="引用 字符"/>
    <w:basedOn w:val="a0"/>
    <w:link w:val="afd"/>
    <w:uiPriority w:val="29"/>
    <w:rsid w:val="00D84474"/>
    <w:rPr>
      <w:rFonts w:ascii="Times New Roman" w:eastAsia="Times New Roman" w:hAnsi="Times New Roman"/>
      <w:i/>
      <w:iCs/>
      <w:color w:val="404040" w:themeColor="text1" w:themeTint="BF"/>
      <w:sz w:val="24"/>
    </w:rPr>
  </w:style>
  <w:style w:type="paragraph" w:customStyle="1" w:styleId="aff">
    <w:name w:val="图"/>
    <w:basedOn w:val="ab"/>
    <w:link w:val="aff0"/>
    <w:qFormat/>
    <w:rsid w:val="005B4CD7"/>
    <w:pPr>
      <w:jc w:val="center"/>
    </w:pPr>
    <w:rPr>
      <w:noProof/>
    </w:rPr>
  </w:style>
  <w:style w:type="character" w:customStyle="1" w:styleId="ac">
    <w:name w:val="无间隔 字符"/>
    <w:aliases w:val="图注 字符"/>
    <w:basedOn w:val="a0"/>
    <w:link w:val="ab"/>
    <w:uiPriority w:val="1"/>
    <w:rsid w:val="005B4CD7"/>
    <w:rPr>
      <w:rFonts w:ascii="Times New Roman" w:eastAsia="Times New Roman" w:hAnsi="Times New Roman"/>
    </w:rPr>
  </w:style>
  <w:style w:type="character" w:customStyle="1" w:styleId="aff0">
    <w:name w:val="图 字符"/>
    <w:basedOn w:val="ac"/>
    <w:link w:val="aff"/>
    <w:rsid w:val="005B4CD7"/>
    <w:rPr>
      <w:rFonts w:ascii="Times New Roman" w:eastAsia="Times New Roman" w:hAnsi="Times New Roman"/>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0686713">
      <w:bodyDiv w:val="1"/>
      <w:marLeft w:val="0"/>
      <w:marRight w:val="0"/>
      <w:marTop w:val="0"/>
      <w:marBottom w:val="0"/>
      <w:divBdr>
        <w:top w:val="none" w:sz="0" w:space="0" w:color="auto"/>
        <w:left w:val="none" w:sz="0" w:space="0" w:color="auto"/>
        <w:bottom w:val="none" w:sz="0" w:space="0" w:color="auto"/>
        <w:right w:val="none" w:sz="0" w:space="0" w:color="auto"/>
      </w:divBdr>
    </w:div>
    <w:div w:id="145711164">
      <w:bodyDiv w:val="1"/>
      <w:marLeft w:val="0"/>
      <w:marRight w:val="0"/>
      <w:marTop w:val="0"/>
      <w:marBottom w:val="0"/>
      <w:divBdr>
        <w:top w:val="none" w:sz="0" w:space="0" w:color="auto"/>
        <w:left w:val="none" w:sz="0" w:space="0" w:color="auto"/>
        <w:bottom w:val="none" w:sz="0" w:space="0" w:color="auto"/>
        <w:right w:val="none" w:sz="0" w:space="0" w:color="auto"/>
      </w:divBdr>
    </w:div>
    <w:div w:id="148642464">
      <w:bodyDiv w:val="1"/>
      <w:marLeft w:val="0"/>
      <w:marRight w:val="0"/>
      <w:marTop w:val="0"/>
      <w:marBottom w:val="0"/>
      <w:divBdr>
        <w:top w:val="none" w:sz="0" w:space="0" w:color="auto"/>
        <w:left w:val="none" w:sz="0" w:space="0" w:color="auto"/>
        <w:bottom w:val="none" w:sz="0" w:space="0" w:color="auto"/>
        <w:right w:val="none" w:sz="0" w:space="0" w:color="auto"/>
      </w:divBdr>
    </w:div>
    <w:div w:id="293800524">
      <w:bodyDiv w:val="1"/>
      <w:marLeft w:val="0"/>
      <w:marRight w:val="0"/>
      <w:marTop w:val="0"/>
      <w:marBottom w:val="0"/>
      <w:divBdr>
        <w:top w:val="none" w:sz="0" w:space="0" w:color="auto"/>
        <w:left w:val="none" w:sz="0" w:space="0" w:color="auto"/>
        <w:bottom w:val="none" w:sz="0" w:space="0" w:color="auto"/>
        <w:right w:val="none" w:sz="0" w:space="0" w:color="auto"/>
      </w:divBdr>
    </w:div>
    <w:div w:id="633678242">
      <w:bodyDiv w:val="1"/>
      <w:marLeft w:val="0"/>
      <w:marRight w:val="0"/>
      <w:marTop w:val="0"/>
      <w:marBottom w:val="0"/>
      <w:divBdr>
        <w:top w:val="none" w:sz="0" w:space="0" w:color="auto"/>
        <w:left w:val="none" w:sz="0" w:space="0" w:color="auto"/>
        <w:bottom w:val="none" w:sz="0" w:space="0" w:color="auto"/>
        <w:right w:val="none" w:sz="0" w:space="0" w:color="auto"/>
      </w:divBdr>
    </w:div>
    <w:div w:id="643244204">
      <w:bodyDiv w:val="1"/>
      <w:marLeft w:val="0"/>
      <w:marRight w:val="0"/>
      <w:marTop w:val="0"/>
      <w:marBottom w:val="0"/>
      <w:divBdr>
        <w:top w:val="none" w:sz="0" w:space="0" w:color="auto"/>
        <w:left w:val="none" w:sz="0" w:space="0" w:color="auto"/>
        <w:bottom w:val="none" w:sz="0" w:space="0" w:color="auto"/>
        <w:right w:val="none" w:sz="0" w:space="0" w:color="auto"/>
      </w:divBdr>
    </w:div>
    <w:div w:id="764692793">
      <w:bodyDiv w:val="1"/>
      <w:marLeft w:val="0"/>
      <w:marRight w:val="0"/>
      <w:marTop w:val="0"/>
      <w:marBottom w:val="0"/>
      <w:divBdr>
        <w:top w:val="none" w:sz="0" w:space="0" w:color="auto"/>
        <w:left w:val="none" w:sz="0" w:space="0" w:color="auto"/>
        <w:bottom w:val="none" w:sz="0" w:space="0" w:color="auto"/>
        <w:right w:val="none" w:sz="0" w:space="0" w:color="auto"/>
      </w:divBdr>
    </w:div>
    <w:div w:id="799960182">
      <w:bodyDiv w:val="1"/>
      <w:marLeft w:val="0"/>
      <w:marRight w:val="0"/>
      <w:marTop w:val="0"/>
      <w:marBottom w:val="0"/>
      <w:divBdr>
        <w:top w:val="none" w:sz="0" w:space="0" w:color="auto"/>
        <w:left w:val="none" w:sz="0" w:space="0" w:color="auto"/>
        <w:bottom w:val="none" w:sz="0" w:space="0" w:color="auto"/>
        <w:right w:val="none" w:sz="0" w:space="0" w:color="auto"/>
      </w:divBdr>
    </w:div>
    <w:div w:id="909846318">
      <w:bodyDiv w:val="1"/>
      <w:marLeft w:val="0"/>
      <w:marRight w:val="0"/>
      <w:marTop w:val="0"/>
      <w:marBottom w:val="0"/>
      <w:divBdr>
        <w:top w:val="none" w:sz="0" w:space="0" w:color="auto"/>
        <w:left w:val="none" w:sz="0" w:space="0" w:color="auto"/>
        <w:bottom w:val="none" w:sz="0" w:space="0" w:color="auto"/>
        <w:right w:val="none" w:sz="0" w:space="0" w:color="auto"/>
      </w:divBdr>
    </w:div>
    <w:div w:id="1042286391">
      <w:bodyDiv w:val="1"/>
      <w:marLeft w:val="0"/>
      <w:marRight w:val="0"/>
      <w:marTop w:val="0"/>
      <w:marBottom w:val="0"/>
      <w:divBdr>
        <w:top w:val="none" w:sz="0" w:space="0" w:color="auto"/>
        <w:left w:val="none" w:sz="0" w:space="0" w:color="auto"/>
        <w:bottom w:val="none" w:sz="0" w:space="0" w:color="auto"/>
        <w:right w:val="none" w:sz="0" w:space="0" w:color="auto"/>
      </w:divBdr>
    </w:div>
    <w:div w:id="1091319388">
      <w:bodyDiv w:val="1"/>
      <w:marLeft w:val="0"/>
      <w:marRight w:val="0"/>
      <w:marTop w:val="0"/>
      <w:marBottom w:val="0"/>
      <w:divBdr>
        <w:top w:val="none" w:sz="0" w:space="0" w:color="auto"/>
        <w:left w:val="none" w:sz="0" w:space="0" w:color="auto"/>
        <w:bottom w:val="none" w:sz="0" w:space="0" w:color="auto"/>
        <w:right w:val="none" w:sz="0" w:space="0" w:color="auto"/>
      </w:divBdr>
    </w:div>
    <w:div w:id="1108545583">
      <w:bodyDiv w:val="1"/>
      <w:marLeft w:val="0"/>
      <w:marRight w:val="0"/>
      <w:marTop w:val="0"/>
      <w:marBottom w:val="0"/>
      <w:divBdr>
        <w:top w:val="none" w:sz="0" w:space="0" w:color="auto"/>
        <w:left w:val="none" w:sz="0" w:space="0" w:color="auto"/>
        <w:bottom w:val="none" w:sz="0" w:space="0" w:color="auto"/>
        <w:right w:val="none" w:sz="0" w:space="0" w:color="auto"/>
      </w:divBdr>
    </w:div>
    <w:div w:id="1313369470">
      <w:bodyDiv w:val="1"/>
      <w:marLeft w:val="0"/>
      <w:marRight w:val="0"/>
      <w:marTop w:val="0"/>
      <w:marBottom w:val="0"/>
      <w:divBdr>
        <w:top w:val="none" w:sz="0" w:space="0" w:color="auto"/>
        <w:left w:val="none" w:sz="0" w:space="0" w:color="auto"/>
        <w:bottom w:val="none" w:sz="0" w:space="0" w:color="auto"/>
        <w:right w:val="none" w:sz="0" w:space="0" w:color="auto"/>
      </w:divBdr>
    </w:div>
    <w:div w:id="1323578281">
      <w:bodyDiv w:val="1"/>
      <w:marLeft w:val="0"/>
      <w:marRight w:val="0"/>
      <w:marTop w:val="0"/>
      <w:marBottom w:val="0"/>
      <w:divBdr>
        <w:top w:val="none" w:sz="0" w:space="0" w:color="auto"/>
        <w:left w:val="none" w:sz="0" w:space="0" w:color="auto"/>
        <w:bottom w:val="none" w:sz="0" w:space="0" w:color="auto"/>
        <w:right w:val="none" w:sz="0" w:space="0" w:color="auto"/>
      </w:divBdr>
    </w:div>
    <w:div w:id="1650211588">
      <w:bodyDiv w:val="1"/>
      <w:marLeft w:val="0"/>
      <w:marRight w:val="0"/>
      <w:marTop w:val="0"/>
      <w:marBottom w:val="0"/>
      <w:divBdr>
        <w:top w:val="none" w:sz="0" w:space="0" w:color="auto"/>
        <w:left w:val="none" w:sz="0" w:space="0" w:color="auto"/>
        <w:bottom w:val="none" w:sz="0" w:space="0" w:color="auto"/>
        <w:right w:val="none" w:sz="0" w:space="0" w:color="auto"/>
      </w:divBdr>
    </w:div>
    <w:div w:id="16503572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emf"/><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emf"/><Relationship Id="rId55"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mailto:lbw@lzu.edu.cn" TargetMode="External"/><Relationship Id="rId14" Type="http://schemas.openxmlformats.org/officeDocument/2006/relationships/image" Target="media/image5.tiff"/><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emf"/><Relationship Id="rId56" Type="http://schemas.openxmlformats.org/officeDocument/2006/relationships/footer" Target="footer3.xml"/><Relationship Id="rId8" Type="http://schemas.openxmlformats.org/officeDocument/2006/relationships/hyperlink" Target="mailto:junyi@xmu.edu.cn" TargetMode="External"/><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0" Type="http://schemas.openxmlformats.org/officeDocument/2006/relationships/image" Target="media/image11.emf"/><Relationship Id="rId41" Type="http://schemas.openxmlformats.org/officeDocument/2006/relationships/image" Target="media/image32.pn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emf"/><Relationship Id="rId57" Type="http://schemas.openxmlformats.org/officeDocument/2006/relationships/fontTable" Target="fontTable.xml"/><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header" Target="head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2513691-89BD-4C2E-88CC-331DBBEF5C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36</Pages>
  <Words>9129</Words>
  <Characters>52038</Characters>
  <Application>Microsoft Office Word</Application>
  <DocSecurity>0</DocSecurity>
  <Lines>433</Lines>
  <Paragraphs>122</Paragraphs>
  <ScaleCrop>false</ScaleCrop>
  <Company/>
  <LinksUpToDate>false</LinksUpToDate>
  <CharactersWithSpaces>61045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Peng Sun</dc:creator>
  <cp:keywords/>
  <dc:description/>
  <cp:lastModifiedBy>Jun Yi</cp:lastModifiedBy>
  <cp:revision>6</cp:revision>
  <cp:lastPrinted>2026-01-08T03:22:00Z</cp:lastPrinted>
  <dcterms:created xsi:type="dcterms:W3CDTF">2026-01-14T09:11:00Z</dcterms:created>
  <dcterms:modified xsi:type="dcterms:W3CDTF">2026-01-14T15:37:00Z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zotero-version="7.0.30"&gt;&lt;session id="ynQ6jafX"/&gt;&lt;style id="http://www.zotero.org/styles/nature-nanotechnology" hasBibliography="1" bibliographyStyleHasBeenSet="1"/&gt;&lt;prefs&gt;&lt;pref name="fieldType" value="Field"/&gt;&lt;/prefs&gt;&lt;/data&gt;</vt:lpwstr>
  </property>
</Properties>
</file>