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B6129" w:rsidRDefault="008B6129" w:rsidP="008B6129">
      <w:pPr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Supplementary Information</w:t>
      </w:r>
    </w:p>
    <w:p w:rsidR="008B6129" w:rsidRDefault="008B6129" w:rsidP="008B6129">
      <w:pPr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 w:hint="eastAsia"/>
          <w:b/>
          <w:sz w:val="22"/>
          <w:szCs w:val="22"/>
        </w:rPr>
        <w:t>Supplementary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 w:hint="eastAsia"/>
          <w:b/>
          <w:sz w:val="22"/>
          <w:szCs w:val="22"/>
        </w:rPr>
        <w:t>Figure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 w:hint="eastAsia"/>
          <w:b/>
          <w:sz w:val="22"/>
          <w:szCs w:val="22"/>
        </w:rPr>
        <w:t>Legends</w:t>
      </w:r>
    </w:p>
    <w:p w:rsidR="008B6129" w:rsidRDefault="008B6129" w:rsidP="008B6129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b/>
          <w:bCs/>
          <w:sz w:val="22"/>
          <w:szCs w:val="22"/>
        </w:rPr>
        <w:t>Figure</w:t>
      </w:r>
      <w:r>
        <w:rPr>
          <w:rFonts w:ascii="Arial" w:hAnsi="Arial" w:cs="Arial"/>
          <w:b/>
          <w:bCs/>
          <w:sz w:val="22"/>
          <w:szCs w:val="22"/>
        </w:rPr>
        <w:t xml:space="preserve"> S1. </w:t>
      </w:r>
      <w:r>
        <w:rPr>
          <w:rFonts w:ascii="Arial" w:hAnsi="Arial" w:cs="Arial" w:hint="eastAsia"/>
          <w:b/>
          <w:bCs/>
          <w:sz w:val="22"/>
          <w:szCs w:val="22"/>
        </w:rPr>
        <w:t xml:space="preserve">The long-term MEKi-resistant models </w:t>
      </w:r>
      <w:r>
        <w:rPr>
          <w:rFonts w:ascii="Arial" w:hAnsi="Arial" w:cs="Arial" w:hint="eastAsia"/>
          <w:b/>
          <w:bCs/>
          <w:i/>
          <w:sz w:val="22"/>
          <w:szCs w:val="22"/>
        </w:rPr>
        <w:t>in vitro</w:t>
      </w:r>
      <w:r>
        <w:rPr>
          <w:rFonts w:ascii="Arial" w:hAnsi="Arial" w:cs="Arial" w:hint="eastAsia"/>
          <w:b/>
          <w:bCs/>
          <w:sz w:val="22"/>
          <w:szCs w:val="22"/>
        </w:rPr>
        <w:t xml:space="preserve"> were verified</w:t>
      </w:r>
      <w:r>
        <w:rPr>
          <w:rFonts w:ascii="宋体" w:hAnsi="宋体" w:cs="宋体" w:hint="eastAsia"/>
          <w:b/>
          <w:bCs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 w:hint="eastAsia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) </w:t>
      </w:r>
      <w:r>
        <w:rPr>
          <w:rFonts w:ascii="Arial" w:hAnsi="Arial" w:cs="Arial" w:hint="eastAsia"/>
          <w:sz w:val="22"/>
          <w:szCs w:val="22"/>
        </w:rPr>
        <w:t xml:space="preserve">Parental </w:t>
      </w:r>
      <w:r>
        <w:rPr>
          <w:rFonts w:ascii="Arial" w:hAnsi="Arial" w:cs="Arial"/>
          <w:sz w:val="22"/>
          <w:szCs w:val="22"/>
        </w:rPr>
        <w:t xml:space="preserve">(red lines) BCPAP and TPC-1 cells and selumetinib resistant (blue lines) BCPAP-R and TPC-1-R cells were treated in triplicate with as indicated concentrations of selumetinib for 6 days. </w:t>
      </w:r>
      <w:bookmarkStart w:id="0" w:name="OLE_LINK53"/>
      <w:bookmarkStart w:id="1" w:name="OLE_LINK54"/>
      <w:r>
        <w:rPr>
          <w:rFonts w:ascii="Arial" w:hAnsi="Arial" w:cs="Arial"/>
          <w:sz w:val="22"/>
          <w:szCs w:val="22"/>
        </w:rPr>
        <w:t>Viable cell titer was relative to untreat</w:t>
      </w:r>
      <w:r>
        <w:rPr>
          <w:rFonts w:ascii="Arial" w:hAnsi="Arial" w:cs="Arial" w:hint="eastAsia"/>
          <w:sz w:val="22"/>
          <w:szCs w:val="22"/>
        </w:rPr>
        <w:t>ed</w:t>
      </w:r>
      <w:r>
        <w:rPr>
          <w:rFonts w:ascii="Arial" w:hAnsi="Arial" w:cs="Arial"/>
          <w:sz w:val="22"/>
          <w:szCs w:val="22"/>
        </w:rPr>
        <w:t xml:space="preserve"> controls for each cell line.</w:t>
      </w:r>
      <w:bookmarkEnd w:id="0"/>
      <w:bookmarkEnd w:id="1"/>
      <w:r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 w:hint="eastAsia"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) The colony formation assays verified the resistance of </w:t>
      </w:r>
      <w:bookmarkStart w:id="2" w:name="OLE_LINK69"/>
      <w:bookmarkStart w:id="3" w:name="OLE_LINK70"/>
      <w:r>
        <w:rPr>
          <w:rFonts w:ascii="Arial" w:hAnsi="Arial" w:cs="Arial"/>
          <w:sz w:val="22"/>
          <w:szCs w:val="22"/>
        </w:rPr>
        <w:t>the long-term MEKi-resistant models</w:t>
      </w:r>
      <w:bookmarkEnd w:id="2"/>
      <w:bookmarkEnd w:id="3"/>
      <w:r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 w:hint="eastAsia"/>
          <w:sz w:val="22"/>
          <w:szCs w:val="22"/>
        </w:rPr>
        <w:t xml:space="preserve"> *</w:t>
      </w:r>
      <w:r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&lt;0.05,</w:t>
      </w:r>
      <w:r>
        <w:rPr>
          <w:rFonts w:ascii="Arial" w:hAnsi="Arial" w:cs="Arial" w:hint="eastAsia"/>
          <w:sz w:val="22"/>
          <w:szCs w:val="22"/>
        </w:rPr>
        <w:t xml:space="preserve"> **</w:t>
      </w:r>
      <w:r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&lt;0.01,</w:t>
      </w:r>
      <w:r>
        <w:rPr>
          <w:rFonts w:ascii="Arial" w:hAnsi="Arial" w:cs="Arial" w:hint="eastAsia"/>
          <w:sz w:val="22"/>
          <w:szCs w:val="22"/>
        </w:rPr>
        <w:t xml:space="preserve"> ***</w:t>
      </w:r>
      <w:r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 xml:space="preserve">&lt;0.001, two-tailed t-test. </w:t>
      </w:r>
      <w:r>
        <w:rPr>
          <w:rFonts w:ascii="Arial" w:hAnsi="Arial" w:cs="Arial" w:hint="eastAsia"/>
          <w:sz w:val="22"/>
          <w:szCs w:val="22"/>
        </w:rPr>
        <w:t>All</w:t>
      </w:r>
      <w:r>
        <w:rPr>
          <w:rFonts w:ascii="Arial" w:hAnsi="Arial" w:cs="Arial"/>
          <w:sz w:val="22"/>
          <w:szCs w:val="22"/>
        </w:rPr>
        <w:t xml:space="preserve"> data were represented as </w:t>
      </w:r>
      <w:proofErr w:type="spellStart"/>
      <w:r>
        <w:rPr>
          <w:rFonts w:ascii="Arial" w:hAnsi="Arial" w:cs="Arial" w:hint="eastAsia"/>
          <w:sz w:val="22"/>
          <w:szCs w:val="22"/>
        </w:rPr>
        <w:t>mean</w:t>
      </w:r>
      <w:r>
        <w:rPr>
          <w:rFonts w:ascii="Arial" w:hAnsi="Arial" w:cs="Arial"/>
          <w:sz w:val="22"/>
          <w:szCs w:val="22"/>
        </w:rPr>
        <w:t>±SD</w:t>
      </w:r>
      <w:proofErr w:type="spellEnd"/>
      <w:r>
        <w:rPr>
          <w:rFonts w:ascii="Arial" w:hAnsi="Arial" w:cs="Arial"/>
          <w:sz w:val="22"/>
          <w:szCs w:val="22"/>
        </w:rPr>
        <w:t xml:space="preserve"> of three independent experiments.</w:t>
      </w:r>
    </w:p>
    <w:p w:rsidR="008B6129" w:rsidRDefault="008B6129" w:rsidP="008B6129">
      <w:pPr>
        <w:spacing w:line="480" w:lineRule="auto"/>
        <w:rPr>
          <w:rFonts w:ascii="Arial" w:hAnsi="Arial" w:cs="Arial"/>
          <w:sz w:val="22"/>
          <w:szCs w:val="22"/>
        </w:rPr>
      </w:pPr>
      <w:r w:rsidRPr="008650E1">
        <w:rPr>
          <w:rFonts w:ascii="Arial" w:hAnsi="Arial" w:cs="Arial"/>
          <w:b/>
          <w:bCs/>
          <w:sz w:val="22"/>
          <w:szCs w:val="22"/>
        </w:rPr>
        <w:t>Figure S2. RNA-seq of the long-term MEKi-resistant model and its parental line.</w:t>
      </w:r>
      <w:r w:rsidRPr="00E461E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(a)</w:t>
      </w:r>
      <w:r>
        <w:rPr>
          <w:rFonts w:ascii="Arial" w:hAnsi="Arial" w:cs="Arial" w:hint="eastAsia"/>
          <w:sz w:val="22"/>
          <w:szCs w:val="22"/>
        </w:rPr>
        <w:t xml:space="preserve"> The long-term MEKi-resistant model (BCPAP-R) and parental line were analyzed by RNA-seq. </w:t>
      </w:r>
      <w:r>
        <w:rPr>
          <w:rFonts w:ascii="Arial" w:eastAsia="宋体" w:hAnsi="Arial" w:cs="Arial"/>
          <w:sz w:val="22"/>
          <w:szCs w:val="22"/>
          <w:lang w:bidi="ar"/>
        </w:rPr>
        <w:t>A Volcano plot highlight</w:t>
      </w:r>
      <w:r>
        <w:rPr>
          <w:rFonts w:ascii="Arial" w:eastAsia="宋体" w:hAnsi="Arial" w:cs="Arial" w:hint="eastAsia"/>
          <w:sz w:val="22"/>
          <w:szCs w:val="22"/>
          <w:lang w:bidi="ar"/>
        </w:rPr>
        <w:t>s</w:t>
      </w:r>
      <w:r>
        <w:rPr>
          <w:rFonts w:ascii="Arial" w:eastAsia="宋体" w:hAnsi="Arial" w:cs="Arial"/>
          <w:sz w:val="22"/>
          <w:szCs w:val="22"/>
          <w:lang w:bidi="ar"/>
        </w:rPr>
        <w:t xml:space="preserve"> differentially expressed </w:t>
      </w:r>
      <w:r>
        <w:rPr>
          <w:rFonts w:ascii="Arial" w:eastAsia="宋体" w:hAnsi="Arial" w:cs="Arial" w:hint="eastAsia"/>
          <w:sz w:val="22"/>
          <w:szCs w:val="22"/>
          <w:lang w:bidi="ar"/>
        </w:rPr>
        <w:t>mRNAs</w:t>
      </w:r>
      <w:r>
        <w:rPr>
          <w:rFonts w:ascii="Arial" w:eastAsia="宋体" w:hAnsi="Arial" w:cs="Arial"/>
          <w:sz w:val="22"/>
          <w:szCs w:val="22"/>
          <w:lang w:bidi="ar"/>
        </w:rPr>
        <w:t>. 4,</w:t>
      </w:r>
      <w:r>
        <w:rPr>
          <w:rFonts w:ascii="Arial" w:eastAsia="宋体" w:hAnsi="Arial" w:cs="Arial" w:hint="eastAsia"/>
          <w:sz w:val="22"/>
          <w:szCs w:val="22"/>
          <w:lang w:bidi="ar"/>
        </w:rPr>
        <w:t>270</w:t>
      </w:r>
      <w:r>
        <w:rPr>
          <w:rFonts w:ascii="Arial" w:eastAsia="宋体" w:hAnsi="Arial" w:cs="Arial"/>
          <w:sz w:val="22"/>
          <w:szCs w:val="22"/>
          <w:lang w:bidi="ar"/>
        </w:rPr>
        <w:t xml:space="preserve"> </w:t>
      </w:r>
      <w:r>
        <w:rPr>
          <w:rFonts w:ascii="Arial" w:eastAsia="宋体" w:hAnsi="Arial" w:cs="Arial" w:hint="eastAsia"/>
          <w:sz w:val="22"/>
          <w:szCs w:val="22"/>
          <w:lang w:bidi="ar"/>
        </w:rPr>
        <w:t>mRNAs</w:t>
      </w:r>
      <w:r>
        <w:rPr>
          <w:rFonts w:ascii="Arial" w:eastAsia="宋体" w:hAnsi="Arial" w:cs="Arial"/>
          <w:sz w:val="22"/>
          <w:szCs w:val="22"/>
          <w:lang w:bidi="ar"/>
        </w:rPr>
        <w:t xml:space="preserve"> were identified with</w:t>
      </w:r>
      <w:r>
        <w:rPr>
          <w:rFonts w:ascii="Arial" w:eastAsia="宋体" w:hAnsi="Arial" w:cs="Arial" w:hint="eastAsia"/>
          <w:sz w:val="22"/>
          <w:szCs w:val="22"/>
          <w:lang w:bidi="ar"/>
        </w:rPr>
        <w:t xml:space="preserve"> significant</w:t>
      </w:r>
      <w:r>
        <w:rPr>
          <w:rFonts w:ascii="Arial" w:eastAsia="宋体" w:hAnsi="Arial" w:cs="Arial"/>
          <w:sz w:val="22"/>
          <w:szCs w:val="22"/>
          <w:lang w:bidi="ar"/>
        </w:rPr>
        <w:t xml:space="preserve"> change in </w:t>
      </w:r>
      <w:r>
        <w:rPr>
          <w:rFonts w:ascii="Arial" w:eastAsia="宋体" w:hAnsi="Arial" w:cs="Arial" w:hint="eastAsia"/>
          <w:sz w:val="22"/>
          <w:szCs w:val="22"/>
          <w:lang w:bidi="ar"/>
        </w:rPr>
        <w:t>BCPAP-R</w:t>
      </w:r>
      <w:r>
        <w:rPr>
          <w:rFonts w:ascii="Arial" w:eastAsia="宋体" w:hAnsi="Arial" w:cs="Arial"/>
          <w:sz w:val="22"/>
          <w:szCs w:val="22"/>
          <w:lang w:bidi="ar"/>
        </w:rPr>
        <w:t xml:space="preserve"> relative to </w:t>
      </w:r>
      <w:r>
        <w:rPr>
          <w:rFonts w:ascii="Arial" w:eastAsia="宋体" w:hAnsi="Arial" w:cs="Arial" w:hint="eastAsia"/>
          <w:sz w:val="22"/>
          <w:szCs w:val="22"/>
          <w:lang w:bidi="ar"/>
        </w:rPr>
        <w:t>BCPAP</w:t>
      </w:r>
      <w:r>
        <w:rPr>
          <w:rFonts w:ascii="Arial" w:eastAsia="宋体" w:hAnsi="Arial" w:cs="Arial"/>
          <w:sz w:val="22"/>
          <w:szCs w:val="22"/>
          <w:lang w:bidi="ar"/>
        </w:rPr>
        <w:t xml:space="preserve"> and plotted as </w:t>
      </w:r>
      <w:r>
        <w:rPr>
          <w:rFonts w:ascii="Arial" w:eastAsia="宋体" w:hAnsi="Arial" w:cs="Arial" w:hint="eastAsia"/>
          <w:sz w:val="22"/>
          <w:szCs w:val="22"/>
          <w:lang w:bidi="ar"/>
        </w:rPr>
        <w:t>blue</w:t>
      </w:r>
      <w:r>
        <w:rPr>
          <w:rFonts w:ascii="Arial" w:eastAsia="宋体" w:hAnsi="Arial" w:cs="Arial"/>
          <w:sz w:val="22"/>
          <w:szCs w:val="22"/>
          <w:lang w:bidi="ar"/>
        </w:rPr>
        <w:t xml:space="preserve"> (down-regulation) or </w:t>
      </w:r>
      <w:r>
        <w:rPr>
          <w:rFonts w:ascii="Arial" w:eastAsia="宋体" w:hAnsi="Arial" w:cs="Arial" w:hint="eastAsia"/>
          <w:sz w:val="22"/>
          <w:szCs w:val="22"/>
          <w:lang w:bidi="ar"/>
        </w:rPr>
        <w:t>red</w:t>
      </w:r>
      <w:r>
        <w:rPr>
          <w:rFonts w:ascii="Arial" w:eastAsia="宋体" w:hAnsi="Arial" w:cs="Arial"/>
          <w:sz w:val="22"/>
          <w:szCs w:val="22"/>
          <w:lang w:bidi="ar"/>
        </w:rPr>
        <w:t xml:space="preserve"> (up-regulation), respectively.</w:t>
      </w:r>
      <w:r>
        <w:rPr>
          <w:rFonts w:ascii="Arial" w:eastAsia="宋体" w:hAnsi="Arial" w:cs="Arial" w:hint="eastAsia"/>
          <w:sz w:val="22"/>
          <w:szCs w:val="22"/>
          <w:lang w:bidi="ar"/>
        </w:rPr>
        <w:t xml:space="preserve"> (</w:t>
      </w:r>
      <w:r>
        <w:rPr>
          <w:rFonts w:ascii="Arial" w:eastAsia="宋体" w:hAnsi="Arial" w:cs="Arial"/>
          <w:sz w:val="22"/>
          <w:szCs w:val="22"/>
          <w:lang w:bidi="ar"/>
        </w:rPr>
        <w:t>b</w:t>
      </w:r>
      <w:r>
        <w:rPr>
          <w:rFonts w:ascii="Arial" w:eastAsia="宋体" w:hAnsi="Arial" w:cs="Arial" w:hint="eastAsia"/>
          <w:sz w:val="22"/>
          <w:szCs w:val="22"/>
          <w:lang w:bidi="ar"/>
        </w:rPr>
        <w:t>) mRNAs</w:t>
      </w:r>
      <w:r>
        <w:rPr>
          <w:rFonts w:ascii="Arial" w:eastAsia="宋体" w:hAnsi="Arial" w:cs="Arial"/>
          <w:sz w:val="22"/>
          <w:szCs w:val="22"/>
          <w:lang w:bidi="ar"/>
        </w:rPr>
        <w:t xml:space="preserve"> with significant expression changes were plotted in the heatmap.</w:t>
      </w:r>
    </w:p>
    <w:p w:rsidR="008B6129" w:rsidRDefault="008B6129" w:rsidP="008B6129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b/>
          <w:bCs/>
          <w:sz w:val="22"/>
          <w:szCs w:val="22"/>
        </w:rPr>
        <w:t>Figure</w:t>
      </w:r>
      <w:r>
        <w:rPr>
          <w:rFonts w:ascii="Arial" w:hAnsi="Arial" w:cs="Arial"/>
          <w:b/>
          <w:bCs/>
          <w:sz w:val="22"/>
          <w:szCs w:val="22"/>
        </w:rPr>
        <w:t xml:space="preserve"> S3. </w:t>
      </w:r>
      <w:bookmarkStart w:id="4" w:name="OLE_LINK89"/>
      <w:bookmarkStart w:id="5" w:name="OLE_LINK90"/>
      <w:bookmarkStart w:id="6" w:name="OLE_LINK55"/>
      <w:bookmarkStart w:id="7" w:name="OLE_LINK101"/>
      <w:bookmarkStart w:id="8" w:name="OLE_LINK72"/>
      <w:r>
        <w:rPr>
          <w:rFonts w:ascii="Arial" w:hAnsi="Arial" w:cs="Arial"/>
          <w:b/>
          <w:bCs/>
          <w:sz w:val="22"/>
          <w:szCs w:val="22"/>
        </w:rPr>
        <w:t>The growth curve for the K1 xenografts treated with selumetinib for 15 or 40 days, respectively.</w:t>
      </w:r>
      <w:r>
        <w:rPr>
          <w:rFonts w:ascii="Arial" w:hAnsi="Arial" w:cs="Arial"/>
          <w:sz w:val="22"/>
          <w:szCs w:val="22"/>
        </w:rPr>
        <w:t xml:space="preserve"> </w:t>
      </w:r>
      <w:bookmarkStart w:id="9" w:name="OLE_LINK56"/>
      <w:bookmarkStart w:id="10" w:name="OLE_LINK57"/>
      <w:bookmarkEnd w:id="4"/>
      <w:bookmarkEnd w:id="5"/>
      <w:bookmarkEnd w:id="6"/>
      <w:r>
        <w:rPr>
          <w:rFonts w:ascii="Arial" w:hAnsi="Arial" w:cs="Arial"/>
          <w:sz w:val="22"/>
          <w:szCs w:val="22"/>
        </w:rPr>
        <w:t xml:space="preserve">The tumor growth rate was significantly accelerated after 25 days of selumetinib treatment. Representative xenografts were picked for </w:t>
      </w:r>
      <w:r>
        <w:rPr>
          <w:rFonts w:ascii="Arial" w:eastAsia="Times-Roman" w:hAnsi="Arial" w:cs="Arial"/>
          <w:sz w:val="22"/>
          <w:szCs w:val="22"/>
        </w:rPr>
        <w:t>human phospho-RTK arrays</w:t>
      </w:r>
      <w:r>
        <w:rPr>
          <w:rFonts w:ascii="Arial" w:hAnsi="Arial" w:cs="Arial"/>
          <w:sz w:val="22"/>
          <w:szCs w:val="22"/>
        </w:rPr>
        <w:t>, and their growth curve was marked in red.</w:t>
      </w:r>
      <w:bookmarkStart w:id="11" w:name="OLE_LINK25"/>
      <w:bookmarkStart w:id="12" w:name="OLE_LINK24"/>
      <w:bookmarkEnd w:id="7"/>
      <w:bookmarkEnd w:id="8"/>
      <w:bookmarkEnd w:id="9"/>
      <w:bookmarkEnd w:id="10"/>
    </w:p>
    <w:p w:rsidR="008B6129" w:rsidRPr="00E461E3" w:rsidRDefault="008B6129" w:rsidP="008B6129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b/>
          <w:bCs/>
          <w:sz w:val="22"/>
          <w:szCs w:val="22"/>
        </w:rPr>
        <w:t>Figure</w:t>
      </w:r>
      <w:r>
        <w:rPr>
          <w:rFonts w:ascii="Arial" w:hAnsi="Arial" w:cs="Arial"/>
          <w:b/>
          <w:bCs/>
          <w:sz w:val="22"/>
          <w:szCs w:val="22"/>
        </w:rPr>
        <w:t xml:space="preserve"> S4. Weight curves of long-term MEKi-treated murine models. </w:t>
      </w:r>
    </w:p>
    <w:p w:rsidR="008B6129" w:rsidRDefault="008B6129" w:rsidP="008B6129">
      <w:pPr>
        <w:spacing w:line="480" w:lineRule="auto"/>
        <w:rPr>
          <w:rFonts w:ascii="Arial" w:hAnsi="Arial" w:cs="Arial"/>
          <w:sz w:val="22"/>
          <w:szCs w:val="22"/>
        </w:rPr>
      </w:pPr>
      <w:bookmarkStart w:id="13" w:name="OLE_LINK246"/>
      <w:bookmarkStart w:id="14" w:name="OLE_LINK247"/>
      <w:r>
        <w:rPr>
          <w:rFonts w:ascii="Arial" w:hAnsi="Arial" w:cs="Arial" w:hint="eastAsia"/>
          <w:b/>
          <w:bCs/>
          <w:sz w:val="22"/>
          <w:szCs w:val="22"/>
        </w:rPr>
        <w:lastRenderedPageBreak/>
        <w:t>Figure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bookmarkEnd w:id="11"/>
      <w:bookmarkEnd w:id="12"/>
      <w:r>
        <w:rPr>
          <w:rFonts w:ascii="Arial" w:hAnsi="Arial" w:cs="Arial"/>
          <w:b/>
          <w:bCs/>
          <w:sz w:val="22"/>
          <w:szCs w:val="22"/>
        </w:rPr>
        <w:t xml:space="preserve">S5. </w:t>
      </w:r>
      <w:bookmarkStart w:id="15" w:name="OLE_LINK42"/>
      <w:bookmarkStart w:id="16" w:name="OLE_LINK43"/>
      <w:bookmarkStart w:id="17" w:name="OLE_LINK85"/>
      <w:bookmarkStart w:id="18" w:name="OLE_LINK86"/>
      <w:r>
        <w:rPr>
          <w:rFonts w:ascii="Arial" w:hAnsi="Arial" w:cs="Arial"/>
          <w:b/>
          <w:bCs/>
          <w:sz w:val="22"/>
          <w:szCs w:val="22"/>
        </w:rPr>
        <w:t xml:space="preserve">Weight curves of mice carrying </w:t>
      </w:r>
      <w:r>
        <w:rPr>
          <w:rFonts w:ascii="Arial" w:eastAsia="Times-Roman" w:hAnsi="Arial" w:cs="Arial"/>
          <w:b/>
          <w:bCs/>
          <w:sz w:val="22"/>
          <w:szCs w:val="22"/>
        </w:rPr>
        <w:t>xenografts</w:t>
      </w:r>
      <w:r>
        <w:rPr>
          <w:rFonts w:ascii="宋体" w:hAnsi="宋体" w:cs="宋体" w:hint="eastAsia"/>
          <w:b/>
          <w:bCs/>
          <w:sz w:val="22"/>
          <w:szCs w:val="22"/>
        </w:rPr>
        <w:t>.</w:t>
      </w:r>
      <w:bookmarkEnd w:id="15"/>
      <w:bookmarkEnd w:id="16"/>
      <w:r>
        <w:rPr>
          <w:rFonts w:ascii="Arial" w:hAnsi="Arial" w:cs="Arial"/>
          <w:sz w:val="22"/>
          <w:szCs w:val="22"/>
        </w:rPr>
        <w:t xml:space="preserve"> (a) </w:t>
      </w:r>
      <w:bookmarkStart w:id="19" w:name="_Hlk35556428"/>
      <w:bookmarkStart w:id="20" w:name="OLE_LINK27"/>
      <w:bookmarkStart w:id="21" w:name="OLE_LINK26"/>
      <w:r>
        <w:rPr>
          <w:rFonts w:ascii="Arial" w:hAnsi="Arial" w:cs="Arial"/>
          <w:sz w:val="22"/>
          <w:szCs w:val="22"/>
        </w:rPr>
        <w:t>Weight curves of mice</w:t>
      </w:r>
      <w:bookmarkEnd w:id="19"/>
      <w:r>
        <w:rPr>
          <w:rFonts w:ascii="Arial" w:hAnsi="Arial" w:cs="Arial"/>
          <w:sz w:val="22"/>
          <w:szCs w:val="22"/>
        </w:rPr>
        <w:t xml:space="preserve"> carrying K1 </w:t>
      </w:r>
      <w:r>
        <w:rPr>
          <w:rFonts w:ascii="Arial" w:eastAsia="Times-Roman" w:hAnsi="Arial" w:cs="Arial"/>
          <w:sz w:val="22"/>
          <w:szCs w:val="22"/>
        </w:rPr>
        <w:t>xenografts</w:t>
      </w:r>
      <w:bookmarkEnd w:id="20"/>
      <w:bookmarkEnd w:id="21"/>
      <w:r>
        <w:rPr>
          <w:rFonts w:ascii="Arial" w:hAnsi="Arial" w:cs="Arial"/>
          <w:sz w:val="22"/>
          <w:szCs w:val="22"/>
        </w:rPr>
        <w:t xml:space="preserve">. (b) Weight curves of mice carrying TPC-1 </w:t>
      </w:r>
      <w:r>
        <w:rPr>
          <w:rFonts w:ascii="Arial" w:eastAsia="Times-Roman" w:hAnsi="Arial" w:cs="Arial"/>
          <w:sz w:val="22"/>
          <w:szCs w:val="22"/>
        </w:rPr>
        <w:t>xenografts</w:t>
      </w:r>
      <w:r>
        <w:rPr>
          <w:rFonts w:ascii="Arial" w:hAnsi="Arial" w:cs="Arial"/>
          <w:sz w:val="22"/>
          <w:szCs w:val="22"/>
        </w:rPr>
        <w:t xml:space="preserve">. </w:t>
      </w:r>
      <w:bookmarkEnd w:id="17"/>
      <w:bookmarkEnd w:id="18"/>
    </w:p>
    <w:bookmarkEnd w:id="13"/>
    <w:bookmarkEnd w:id="14"/>
    <w:p w:rsidR="008B6129" w:rsidRDefault="008B6129" w:rsidP="008B6129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b/>
          <w:bCs/>
          <w:sz w:val="22"/>
          <w:szCs w:val="22"/>
        </w:rPr>
        <w:t>Figure</w:t>
      </w:r>
      <w:r>
        <w:rPr>
          <w:rFonts w:ascii="Arial" w:hAnsi="Arial" w:cs="Arial"/>
          <w:b/>
          <w:bCs/>
          <w:sz w:val="22"/>
          <w:szCs w:val="22"/>
        </w:rPr>
        <w:t xml:space="preserve"> S6. The mechanism of the SHP099/selumetinib combination strategy in PTC.</w:t>
      </w:r>
      <w:r>
        <w:rPr>
          <w:rFonts w:ascii="Arial" w:hAnsi="Arial" w:cs="Arial"/>
          <w:sz w:val="22"/>
          <w:szCs w:val="22"/>
        </w:rPr>
        <w:t xml:space="preserve"> SHP099 abolished the RTK-induced ERK rebound</w:t>
      </w:r>
      <w:r>
        <w:rPr>
          <w:rFonts w:ascii="Arial" w:hAnsi="Arial" w:cs="Arial" w:hint="eastAsia"/>
          <w:sz w:val="22"/>
          <w:szCs w:val="22"/>
        </w:rPr>
        <w:t xml:space="preserve"> after MEKi treatment</w:t>
      </w:r>
      <w:r>
        <w:rPr>
          <w:rFonts w:ascii="Arial" w:hAnsi="Arial" w:cs="Arial"/>
          <w:sz w:val="22"/>
          <w:szCs w:val="22"/>
        </w:rPr>
        <w:t>, resulting in</w:t>
      </w:r>
      <w:r>
        <w:rPr>
          <w:rFonts w:ascii="Arial" w:hAnsi="Arial" w:cs="Arial" w:hint="eastAsia"/>
          <w:sz w:val="22"/>
          <w:szCs w:val="22"/>
        </w:rPr>
        <w:t xml:space="preserve"> persistent </w:t>
      </w:r>
      <w:r>
        <w:rPr>
          <w:rFonts w:ascii="Arial" w:hAnsi="Arial" w:cs="Arial"/>
          <w:sz w:val="22"/>
          <w:szCs w:val="22"/>
        </w:rPr>
        <w:t xml:space="preserve">growth inhibition and </w:t>
      </w:r>
      <w:r>
        <w:rPr>
          <w:rFonts w:ascii="Arial" w:hAnsi="Arial" w:cs="Arial" w:hint="eastAsia"/>
          <w:sz w:val="22"/>
          <w:szCs w:val="22"/>
        </w:rPr>
        <w:t xml:space="preserve">increasing </w:t>
      </w:r>
      <w:r>
        <w:rPr>
          <w:rFonts w:ascii="Arial" w:hAnsi="Arial" w:cs="Arial"/>
          <w:sz w:val="22"/>
          <w:szCs w:val="22"/>
        </w:rPr>
        <w:t xml:space="preserve">NIS </w:t>
      </w:r>
      <w:r>
        <w:rPr>
          <w:rFonts w:ascii="Arial" w:hAnsi="Arial" w:cs="Arial" w:hint="eastAsia"/>
          <w:sz w:val="22"/>
          <w:szCs w:val="22"/>
        </w:rPr>
        <w:t>expression</w:t>
      </w:r>
      <w:r>
        <w:rPr>
          <w:rFonts w:ascii="Arial" w:hAnsi="Arial" w:cs="Arial"/>
          <w:sz w:val="22"/>
          <w:szCs w:val="22"/>
        </w:rPr>
        <w:t xml:space="preserve"> in PTC harboring different genetic backgrounds and long-term MEKi-resistant models.</w:t>
      </w:r>
    </w:p>
    <w:p w:rsidR="00C340D2" w:rsidRPr="008B6129" w:rsidRDefault="008B6129" w:rsidP="008B6129">
      <w:pPr>
        <w:spacing w:line="480" w:lineRule="auto"/>
        <w:rPr>
          <w:rFonts w:hint="eastAsia"/>
        </w:rPr>
      </w:pPr>
      <w:r>
        <w:rPr>
          <w:rFonts w:ascii="Arial" w:hAnsi="Arial" w:cs="Arial" w:hint="eastAsia"/>
          <w:b/>
          <w:bCs/>
          <w:sz w:val="22"/>
          <w:szCs w:val="22"/>
        </w:rPr>
        <w:t>Figure</w:t>
      </w:r>
      <w:r>
        <w:rPr>
          <w:rFonts w:ascii="Arial" w:hAnsi="Arial" w:cs="Arial"/>
          <w:b/>
          <w:bCs/>
          <w:sz w:val="22"/>
          <w:szCs w:val="22"/>
        </w:rPr>
        <w:t xml:space="preserve"> S7. </w:t>
      </w:r>
      <w:r>
        <w:rPr>
          <w:rFonts w:ascii="Arial" w:hAnsi="Arial" w:cs="Arial" w:hint="eastAsia"/>
          <w:b/>
          <w:bCs/>
          <w:sz w:val="22"/>
          <w:szCs w:val="22"/>
        </w:rPr>
        <w:t>The combination of SHP099 and selumetinib inhibit cell proliferation in TT cell line</w:t>
      </w:r>
      <w:r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The colony formation (</w:t>
      </w:r>
      <w:r>
        <w:rPr>
          <w:rFonts w:ascii="Arial" w:hAnsi="Arial" w:cs="Arial" w:hint="eastAsia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) and cell viability (</w:t>
      </w:r>
      <w:r>
        <w:rPr>
          <w:rFonts w:ascii="Arial" w:hAnsi="Arial" w:cs="Arial" w:hint="eastAsia"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) assays were assessed at 10 and </w:t>
      </w:r>
      <w:r>
        <w:rPr>
          <w:rFonts w:ascii="Arial" w:hAnsi="Arial" w:cs="Arial" w:hint="eastAsia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-8 days, respectively. </w:t>
      </w:r>
      <w:r>
        <w:rPr>
          <w:rFonts w:ascii="Arial" w:hAnsi="Arial" w:cs="Arial" w:hint="eastAsia"/>
          <w:sz w:val="22"/>
          <w:szCs w:val="22"/>
        </w:rPr>
        <w:t>*</w:t>
      </w:r>
      <w:r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&lt;0.05,</w:t>
      </w:r>
      <w:r>
        <w:rPr>
          <w:rFonts w:ascii="Arial" w:hAnsi="Arial" w:cs="Arial" w:hint="eastAsia"/>
          <w:sz w:val="22"/>
          <w:szCs w:val="22"/>
        </w:rPr>
        <w:t xml:space="preserve"> **</w:t>
      </w:r>
      <w:r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&lt;0.01,</w:t>
      </w:r>
      <w:r>
        <w:rPr>
          <w:rFonts w:ascii="Arial" w:hAnsi="Arial" w:cs="Arial" w:hint="eastAsia"/>
          <w:sz w:val="22"/>
          <w:szCs w:val="22"/>
        </w:rPr>
        <w:t xml:space="preserve"> ***</w:t>
      </w:r>
      <w:r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&lt;0.001,</w:t>
      </w:r>
      <w:r>
        <w:rPr>
          <w:rFonts w:ascii="Arial" w:hAnsi="Arial" w:cs="Arial" w:hint="eastAsia"/>
          <w:sz w:val="22"/>
          <w:szCs w:val="22"/>
        </w:rPr>
        <w:t xml:space="preserve"> compared with Ctrl,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  <w:vertAlign w:val="superscript"/>
        </w:rPr>
        <w:t>@</w:t>
      </w:r>
      <w:r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 xml:space="preserve">&lt;0.05, </w:t>
      </w:r>
      <w:r>
        <w:rPr>
          <w:rFonts w:ascii="Arial" w:hAnsi="Arial" w:cs="Arial" w:hint="eastAsia"/>
          <w:sz w:val="22"/>
          <w:szCs w:val="22"/>
          <w:vertAlign w:val="superscript"/>
        </w:rPr>
        <w:t>@@</w:t>
      </w:r>
      <w:r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&lt;0.01,</w:t>
      </w:r>
      <w:r>
        <w:rPr>
          <w:rFonts w:ascii="Arial" w:hAnsi="Arial" w:cs="Arial" w:hint="eastAsia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  <w:vertAlign w:val="superscript"/>
        </w:rPr>
        <w:t>@@@</w:t>
      </w:r>
      <w:r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>&lt;0.001,</w:t>
      </w:r>
      <w:r>
        <w:rPr>
          <w:rFonts w:ascii="Arial" w:hAnsi="Arial" w:cs="Arial" w:hint="eastAsia"/>
          <w:sz w:val="22"/>
          <w:szCs w:val="22"/>
        </w:rPr>
        <w:t xml:space="preserve"> compared with Comb,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</w:rPr>
        <w:t>ANOVA</w:t>
      </w:r>
      <w:r>
        <w:rPr>
          <w:rFonts w:ascii="Arial" w:hAnsi="Arial" w:cs="Arial"/>
          <w:sz w:val="22"/>
          <w:szCs w:val="22"/>
        </w:rPr>
        <w:t xml:space="preserve">-test. </w:t>
      </w:r>
      <w:r>
        <w:rPr>
          <w:rFonts w:ascii="Arial" w:hAnsi="Arial" w:cs="Arial" w:hint="eastAsia"/>
          <w:sz w:val="22"/>
          <w:szCs w:val="22"/>
        </w:rPr>
        <w:t>All</w:t>
      </w:r>
      <w:r>
        <w:rPr>
          <w:rFonts w:ascii="Arial" w:hAnsi="Arial" w:cs="Arial"/>
          <w:sz w:val="22"/>
          <w:szCs w:val="22"/>
        </w:rPr>
        <w:t xml:space="preserve"> data were represented as </w:t>
      </w:r>
      <w:proofErr w:type="spellStart"/>
      <w:r>
        <w:rPr>
          <w:rFonts w:ascii="Arial" w:hAnsi="Arial" w:cs="Arial" w:hint="eastAsia"/>
          <w:sz w:val="22"/>
          <w:szCs w:val="22"/>
        </w:rPr>
        <w:t>mean</w:t>
      </w:r>
      <w:r>
        <w:rPr>
          <w:rFonts w:ascii="Arial" w:hAnsi="Arial" w:cs="Arial"/>
          <w:sz w:val="22"/>
          <w:szCs w:val="22"/>
        </w:rPr>
        <w:t>±SD</w:t>
      </w:r>
      <w:proofErr w:type="spellEnd"/>
      <w:r>
        <w:rPr>
          <w:rFonts w:ascii="Arial" w:hAnsi="Arial" w:cs="Arial"/>
          <w:sz w:val="22"/>
          <w:szCs w:val="22"/>
        </w:rPr>
        <w:t xml:space="preserve"> of three independent experiments. </w:t>
      </w:r>
      <w:bookmarkStart w:id="22" w:name="_GoBack"/>
      <w:bookmarkEnd w:id="22"/>
    </w:p>
    <w:sectPr w:rsidR="00C340D2" w:rsidRPr="008B61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500000000020000"/>
    <w:charset w:val="00"/>
    <w:family w:val="auto"/>
    <w:pitch w:val="default"/>
    <w:sig w:usb0="00000000" w:usb1="00000000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129"/>
    <w:rsid w:val="008B6129"/>
    <w:rsid w:val="00C1198C"/>
    <w:rsid w:val="00C3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B891AA"/>
  <w15:chartTrackingRefBased/>
  <w15:docId w15:val="{8924A7A2-C0AB-D34E-8785-A763DE25E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6129"/>
    <w:pPr>
      <w:spacing w:after="160" w:line="259" w:lineRule="auto"/>
      <w:jc w:val="both"/>
    </w:pPr>
    <w:rPr>
      <w:rFonts w:ascii="Times New Roman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6129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B6129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Jiao Yu</dc:creator>
  <cp:keywords/>
  <dc:description/>
  <cp:lastModifiedBy>Yi Jiao Yu</cp:lastModifiedBy>
  <cp:revision>1</cp:revision>
  <dcterms:created xsi:type="dcterms:W3CDTF">2020-07-17T02:05:00Z</dcterms:created>
  <dcterms:modified xsi:type="dcterms:W3CDTF">2020-07-17T02:09:00Z</dcterms:modified>
</cp:coreProperties>
</file>