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FCD" w14:textId="77777777" w:rsidR="00C31EC3" w:rsidRPr="00C31EC3" w:rsidRDefault="00C31EC3" w:rsidP="00C31EC3">
      <w:pPr>
        <w:spacing w:line="48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C31EC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Plitidepsin</w:t>
      </w:r>
      <w:proofErr w:type="spellEnd"/>
      <w:r w:rsidRPr="00C31EC3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/Aplidin® resistance is associated with defective cardiolipin remodeling in human cervical cancer cells</w:t>
      </w:r>
    </w:p>
    <w:p w14:paraId="1F26835F" w14:textId="77777777" w:rsidR="005F1AB7" w:rsidRPr="00BE1FAE" w:rsidRDefault="005F1AB7" w:rsidP="005F1AB7">
      <w:pPr>
        <w:spacing w:line="480" w:lineRule="auto"/>
        <w:jc w:val="both"/>
        <w:rPr>
          <w:rFonts w:cstheme="minorHAnsi"/>
        </w:rPr>
      </w:pPr>
      <w:r w:rsidRPr="006B0901">
        <w:rPr>
          <w:rFonts w:cstheme="minorHAnsi"/>
          <w:color w:val="000000" w:themeColor="text1"/>
        </w:rPr>
        <w:t>Aline Mathey</w:t>
      </w:r>
      <w:proofErr w:type="gramStart"/>
      <w:r w:rsidRPr="006B0901">
        <w:rPr>
          <w:rFonts w:cstheme="minorHAnsi"/>
          <w:color w:val="000000" w:themeColor="text1"/>
          <w:vertAlign w:val="superscript"/>
        </w:rPr>
        <w:t>1</w:t>
      </w:r>
      <w:r>
        <w:rPr>
          <w:rFonts w:cstheme="minorHAnsi"/>
          <w:color w:val="000000" w:themeColor="text1"/>
          <w:vertAlign w:val="superscript"/>
        </w:rPr>
        <w:t>,#</w:t>
      </w:r>
      <w:proofErr w:type="gramEnd"/>
      <w:r w:rsidRPr="006B0901">
        <w:rPr>
          <w:rFonts w:cstheme="minorHAnsi"/>
          <w:color w:val="000000" w:themeColor="text1"/>
        </w:rPr>
        <w:t>, Aurélie Mialhe</w:t>
      </w:r>
      <w:r w:rsidRPr="006B0901">
        <w:rPr>
          <w:rFonts w:cstheme="minorHAnsi"/>
          <w:color w:val="000000" w:themeColor="text1"/>
          <w:vertAlign w:val="superscript"/>
        </w:rPr>
        <w:t>1</w:t>
      </w:r>
      <w:r>
        <w:rPr>
          <w:rFonts w:cstheme="minorHAnsi"/>
          <w:color w:val="000000" w:themeColor="text1"/>
          <w:vertAlign w:val="superscript"/>
        </w:rPr>
        <w:t>,#</w:t>
      </w:r>
      <w:r w:rsidRPr="006B0901"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Randa</w:t>
      </w:r>
      <w:proofErr w:type="spellEnd"/>
      <w:r>
        <w:rPr>
          <w:rFonts w:cstheme="minorHAnsi"/>
          <w:color w:val="000000" w:themeColor="text1"/>
        </w:rPr>
        <w:t xml:space="preserve"> Sgahier</w:t>
      </w:r>
      <w:r w:rsidRPr="006B0901">
        <w:rPr>
          <w:rFonts w:cstheme="minorHAnsi"/>
          <w:color w:val="000000" w:themeColor="text1"/>
          <w:vertAlign w:val="superscript"/>
        </w:rPr>
        <w:t>1</w:t>
      </w:r>
      <w:r w:rsidRPr="006B0901">
        <w:rPr>
          <w:rFonts w:cstheme="minorHAnsi"/>
          <w:color w:val="000000" w:themeColor="text1"/>
        </w:rPr>
        <w:t>, Jean-Paul Pais de Barros</w:t>
      </w:r>
      <w:r w:rsidRPr="006B0901">
        <w:rPr>
          <w:rFonts w:cstheme="minorHAnsi"/>
          <w:color w:val="000000" w:themeColor="text1"/>
          <w:vertAlign w:val="superscript"/>
        </w:rPr>
        <w:t>2</w:t>
      </w:r>
      <w:r w:rsidRPr="006B0901">
        <w:rPr>
          <w:rFonts w:cstheme="minorHAnsi"/>
          <w:color w:val="000000" w:themeColor="text1"/>
        </w:rPr>
        <w:t xml:space="preserve">, </w:t>
      </w:r>
      <w:proofErr w:type="spellStart"/>
      <w:r w:rsidRPr="000E1C7A">
        <w:rPr>
          <w:rFonts w:cstheme="minorHAnsi"/>
          <w:color w:val="000000" w:themeColor="text1"/>
        </w:rPr>
        <w:t>Zandile</w:t>
      </w:r>
      <w:proofErr w:type="spellEnd"/>
      <w:r>
        <w:rPr>
          <w:rFonts w:cstheme="minorHAnsi"/>
          <w:color w:val="000000" w:themeColor="text1"/>
        </w:rPr>
        <w:t xml:space="preserve"> Mlamla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, </w:t>
      </w:r>
      <w:r w:rsidRPr="006B0901">
        <w:rPr>
          <w:rFonts w:cstheme="minorHAnsi"/>
          <w:color w:val="000000" w:themeColor="text1"/>
        </w:rPr>
        <w:t>François Hermetet</w:t>
      </w:r>
      <w:r w:rsidRPr="006B0901">
        <w:rPr>
          <w:rFonts w:cstheme="minorHAnsi"/>
          <w:color w:val="000000" w:themeColor="text1"/>
          <w:vertAlign w:val="superscript"/>
        </w:rPr>
        <w:t>1</w:t>
      </w:r>
      <w:r w:rsidRPr="006B0901">
        <w:rPr>
          <w:rFonts w:cstheme="minorHAnsi"/>
          <w:color w:val="000000" w:themeColor="text1"/>
        </w:rPr>
        <w:t>, François Ghiringhelli</w:t>
      </w:r>
      <w:r>
        <w:rPr>
          <w:rFonts w:cstheme="minorHAnsi"/>
          <w:color w:val="000000" w:themeColor="text1"/>
          <w:vertAlign w:val="superscript"/>
        </w:rPr>
        <w:t>3,4</w:t>
      </w:r>
      <w:r w:rsidRPr="006B0901">
        <w:rPr>
          <w:rFonts w:cstheme="minorHAnsi"/>
          <w:color w:val="000000" w:themeColor="text1"/>
        </w:rPr>
        <w:t xml:space="preserve">, </w:t>
      </w:r>
      <w:r w:rsidRPr="00C016B1">
        <w:rPr>
          <w:rFonts w:cstheme="minorHAnsi"/>
          <w:color w:val="000000" w:themeColor="text1"/>
        </w:rPr>
        <w:t>Virginie Aires</w:t>
      </w:r>
      <w:r w:rsidRPr="00C016B1">
        <w:rPr>
          <w:rFonts w:cstheme="minorHAnsi"/>
          <w:color w:val="000000" w:themeColor="text1"/>
          <w:vertAlign w:val="superscript"/>
        </w:rPr>
        <w:t>1,2,</w:t>
      </w:r>
      <w:r w:rsidRPr="00C016B1">
        <w:rPr>
          <w:rFonts w:cstheme="minorHAnsi"/>
          <w:vertAlign w:val="superscript"/>
        </w:rPr>
        <w:t xml:space="preserve"> ≠ </w:t>
      </w:r>
      <w:r w:rsidRPr="00C016B1">
        <w:rPr>
          <w:rFonts w:cstheme="minorHAnsi"/>
          <w:color w:val="000000" w:themeColor="text1"/>
        </w:rPr>
        <w:t>&amp; Dominique Delmas</w:t>
      </w:r>
      <w:r>
        <w:rPr>
          <w:rFonts w:cstheme="minorHAnsi"/>
          <w:color w:val="000000" w:themeColor="text1"/>
          <w:vertAlign w:val="superscript"/>
        </w:rPr>
        <w:t>5,6</w:t>
      </w:r>
      <w:r w:rsidRPr="00C016B1">
        <w:rPr>
          <w:rFonts w:cstheme="minorHAnsi"/>
          <w:vertAlign w:val="superscript"/>
        </w:rPr>
        <w:t xml:space="preserve"> ≠,</w:t>
      </w:r>
      <w:r w:rsidRPr="00C016B1">
        <w:rPr>
          <w:rFonts w:cstheme="minorHAnsi"/>
          <w:color w:val="000000" w:themeColor="text1"/>
          <w:vertAlign w:val="superscript"/>
        </w:rPr>
        <w:t>*</w:t>
      </w:r>
      <w:r w:rsidRPr="00C016B1">
        <w:rPr>
          <w:rFonts w:cstheme="minorHAnsi"/>
        </w:rPr>
        <w:t>.</w:t>
      </w:r>
    </w:p>
    <w:p w14:paraId="781B9E7E" w14:textId="77777777" w:rsidR="00C31EC3" w:rsidRPr="00C31EC3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cstheme="minorHAnsi"/>
          <w:lang w:val="en-US"/>
        </w:rPr>
      </w:pPr>
      <w:bookmarkStart w:id="0" w:name="_GoBack"/>
      <w:bookmarkEnd w:id="0"/>
      <w:r w:rsidRPr="00C31EC3">
        <w:rPr>
          <w:rFonts w:cstheme="minorHAnsi"/>
          <w:lang w:val="en-US"/>
        </w:rPr>
        <w:t xml:space="preserve">1 - </w:t>
      </w:r>
      <w:proofErr w:type="spellStart"/>
      <w:r w:rsidRPr="00C31EC3">
        <w:rPr>
          <w:rFonts w:eastAsia="Times New Roman" w:cstheme="minorHAnsi"/>
          <w:color w:val="000000"/>
          <w:lang w:val="en-US" w:eastAsia="de-DE" w:bidi="en-US"/>
        </w:rPr>
        <w:t>Université</w:t>
      </w:r>
      <w:proofErr w:type="spellEnd"/>
      <w:r w:rsidRPr="00C31EC3">
        <w:rPr>
          <w:rFonts w:eastAsia="Times New Roman" w:cstheme="minorHAnsi"/>
          <w:color w:val="000000"/>
          <w:lang w:val="en-US" w:eastAsia="de-DE" w:bidi="en-US"/>
        </w:rPr>
        <w:t xml:space="preserve"> Bourgogne Europe, INSERM, CTM UMR 1231, </w:t>
      </w:r>
      <w:r w:rsidRPr="00C31EC3">
        <w:rPr>
          <w:rFonts w:eastAsia="Times New Roman" w:cstheme="minorHAnsi"/>
          <w:iCs/>
          <w:color w:val="000000"/>
          <w:lang w:val="en-US" w:eastAsia="de-DE" w:bidi="en-US"/>
        </w:rPr>
        <w:t>TIRECS team (</w:t>
      </w:r>
      <w:r w:rsidRPr="00C31EC3">
        <w:rPr>
          <w:rFonts w:eastAsia="Times New Roman" w:cstheme="minorHAnsi"/>
          <w:color w:val="000000"/>
          <w:lang w:val="en-US" w:eastAsia="de-DE" w:bidi="en-US"/>
        </w:rPr>
        <w:t>Bioactive Molecules and Health Research Group), 21000 Dijon, France</w:t>
      </w:r>
      <w:r w:rsidRPr="00C31EC3">
        <w:rPr>
          <w:rFonts w:cstheme="minorHAnsi"/>
          <w:lang w:val="en-US"/>
        </w:rPr>
        <w:t>;</w:t>
      </w:r>
    </w:p>
    <w:p w14:paraId="569C4F9E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cstheme="minorHAnsi"/>
        </w:rPr>
        <w:t xml:space="preserve">2 -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Institut Agro, CHU Dijon Bourgogne, INSERM,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BioSanD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US 58 (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Divi</w:t>
      </w:r>
      <w:r>
        <w:rPr>
          <w:rFonts w:eastAsia="Times New Roman" w:cstheme="minorHAnsi"/>
          <w:color w:val="000000"/>
          <w:lang w:eastAsia="de-DE" w:bidi="en-US"/>
        </w:rPr>
        <w:t>O</w:t>
      </w:r>
      <w:r w:rsidRPr="008B19B6">
        <w:rPr>
          <w:rFonts w:eastAsia="Times New Roman" w:cstheme="minorHAnsi"/>
          <w:color w:val="000000"/>
          <w:lang w:eastAsia="de-DE" w:bidi="en-US"/>
        </w:rPr>
        <w:t>mics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Platform), 21000 Dijon, France</w:t>
      </w:r>
    </w:p>
    <w:p w14:paraId="45A74660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cstheme="minorHAnsi"/>
        </w:rPr>
        <w:t xml:space="preserve">3 -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INSERM, CTM UMR 1231, </w:t>
      </w:r>
      <w:r w:rsidRPr="008B19B6">
        <w:rPr>
          <w:rFonts w:eastAsia="Times New Roman" w:cstheme="minorHAnsi"/>
          <w:iCs/>
          <w:color w:val="000000"/>
          <w:lang w:eastAsia="de-DE" w:bidi="en-US"/>
        </w:rPr>
        <w:t xml:space="preserve">TIRECS Team, </w:t>
      </w:r>
      <w:r w:rsidRPr="008B19B6">
        <w:rPr>
          <w:rFonts w:eastAsia="Times New Roman" w:cstheme="minorHAnsi"/>
          <w:color w:val="000000"/>
          <w:lang w:eastAsia="de-DE" w:bidi="en-US"/>
        </w:rPr>
        <w:t>21000 Dijon, France</w:t>
      </w:r>
    </w:p>
    <w:p w14:paraId="3D43B2E2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eastAsia="Times New Roman" w:cstheme="minorHAnsi"/>
          <w:color w:val="000000"/>
          <w:lang w:eastAsia="de-DE" w:bidi="en-US"/>
        </w:rPr>
        <w:t>4 -</w:t>
      </w:r>
      <w:r w:rsidRPr="008B19B6">
        <w:rPr>
          <w:rFonts w:eastAsia="Times New Roman" w:cstheme="minorHAnsi"/>
          <w:color w:val="000000"/>
          <w:vertAlign w:val="superscript"/>
          <w:lang w:eastAsia="de-DE" w:bidi="en-US"/>
        </w:rPr>
        <w:t xml:space="preserve">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Institut Agro, CHU Dijon Bourgogne, INSERM,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BioSanD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US 58 (PTBC </w:t>
      </w:r>
      <w:r>
        <w:rPr>
          <w:rFonts w:eastAsia="Times New Roman" w:cstheme="minorHAnsi"/>
          <w:color w:val="000000"/>
          <w:lang w:eastAsia="de-DE" w:bidi="en-US"/>
        </w:rPr>
        <w:t>P</w:t>
      </w:r>
      <w:r w:rsidRPr="008B19B6">
        <w:rPr>
          <w:rFonts w:eastAsia="Times New Roman" w:cstheme="minorHAnsi"/>
          <w:color w:val="000000"/>
          <w:lang w:eastAsia="de-DE" w:bidi="en-US"/>
        </w:rPr>
        <w:t>latform)</w:t>
      </w:r>
      <w:r w:rsidRPr="008B19B6">
        <w:rPr>
          <w:rFonts w:eastAsia="Times New Roman" w:cstheme="minorHAnsi"/>
          <w:iCs/>
          <w:color w:val="000000"/>
          <w:lang w:eastAsia="de-DE" w:bidi="en-US"/>
        </w:rPr>
        <w:t xml:space="preserve">, </w:t>
      </w:r>
      <w:r w:rsidRPr="008B19B6">
        <w:rPr>
          <w:rFonts w:eastAsia="Times New Roman" w:cstheme="minorHAnsi"/>
          <w:color w:val="000000"/>
          <w:lang w:eastAsia="de-DE" w:bidi="en-US"/>
        </w:rPr>
        <w:t>21000 Dijon, France</w:t>
      </w:r>
    </w:p>
    <w:p w14:paraId="6932520E" w14:textId="77777777" w:rsidR="00C31EC3" w:rsidRPr="008B19B6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eastAsia="Times New Roman" w:cstheme="minorHAnsi"/>
          <w:color w:val="000000"/>
          <w:lang w:eastAsia="de-DE" w:bidi="en-US"/>
        </w:rPr>
        <w:t xml:space="preserve">5 - Université Bourgogne Europe, Centre de Lutte Contre le Cancer G.-F. Leclerc, INSERM, CTM UMR 1231, </w:t>
      </w:r>
      <w:r w:rsidRPr="008B19B6">
        <w:rPr>
          <w:rFonts w:eastAsia="Times New Roman" w:cstheme="minorHAnsi"/>
          <w:iCs/>
          <w:color w:val="000000"/>
          <w:lang w:eastAsia="de-DE" w:bidi="en-US"/>
        </w:rPr>
        <w:t>TIRECS Team (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Bioactive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Molecules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and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Health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Research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Group), 21000 Dijon, France</w:t>
      </w:r>
    </w:p>
    <w:p w14:paraId="4A82C7A4" w14:textId="1653DCF2" w:rsidR="00C31EC3" w:rsidRDefault="00C31EC3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  <w:r w:rsidRPr="008B19B6">
        <w:rPr>
          <w:rFonts w:eastAsia="Times New Roman" w:cstheme="minorHAnsi"/>
          <w:color w:val="000000"/>
          <w:lang w:eastAsia="de-DE" w:bidi="en-US"/>
        </w:rPr>
        <w:t>6 -</w:t>
      </w:r>
      <w:r w:rsidRPr="008B19B6">
        <w:rPr>
          <w:rFonts w:eastAsia="Times New Roman" w:cstheme="minorHAnsi"/>
          <w:color w:val="000000"/>
          <w:vertAlign w:val="superscript"/>
          <w:lang w:eastAsia="de-DE" w:bidi="en-US"/>
        </w:rPr>
        <w:t xml:space="preserve"> </w:t>
      </w:r>
      <w:r w:rsidRPr="008B19B6">
        <w:rPr>
          <w:rFonts w:eastAsia="Times New Roman" w:cstheme="minorHAnsi"/>
          <w:color w:val="000000"/>
          <w:lang w:eastAsia="de-DE" w:bidi="en-US"/>
        </w:rPr>
        <w:t xml:space="preserve">Université Bourgogne Europe, Centre de Lutte Contre le Cancer G.-F. Leclerc, Institut Agro, CHU Dijon Bourgogne, INSERM, </w:t>
      </w:r>
      <w:proofErr w:type="spellStart"/>
      <w:r w:rsidRPr="008B19B6">
        <w:rPr>
          <w:rFonts w:eastAsia="Times New Roman" w:cstheme="minorHAnsi"/>
          <w:color w:val="000000"/>
          <w:lang w:eastAsia="de-DE" w:bidi="en-US"/>
        </w:rPr>
        <w:t>BioSanD</w:t>
      </w:r>
      <w:proofErr w:type="spellEnd"/>
      <w:r w:rsidRPr="008B19B6">
        <w:rPr>
          <w:rFonts w:eastAsia="Times New Roman" w:cstheme="minorHAnsi"/>
          <w:color w:val="000000"/>
          <w:lang w:eastAsia="de-DE" w:bidi="en-US"/>
        </w:rPr>
        <w:t xml:space="preserve"> US 58, 21000 Dijon, </w:t>
      </w:r>
      <w:r w:rsidR="004E7154">
        <w:rPr>
          <w:rFonts w:eastAsia="Times New Roman" w:cstheme="minorHAnsi"/>
          <w:color w:val="000000"/>
          <w:lang w:eastAsia="de-DE" w:bidi="en-US"/>
        </w:rPr>
        <w:t>France</w:t>
      </w:r>
    </w:p>
    <w:p w14:paraId="22FAB582" w14:textId="77777777" w:rsidR="004E7154" w:rsidRDefault="004E7154" w:rsidP="00C31EC3">
      <w:pPr>
        <w:adjustRightInd w:val="0"/>
        <w:snapToGrid w:val="0"/>
        <w:spacing w:after="0" w:line="360" w:lineRule="auto"/>
        <w:ind w:right="-426"/>
        <w:jc w:val="both"/>
        <w:rPr>
          <w:rFonts w:eastAsia="Times New Roman" w:cstheme="minorHAnsi"/>
          <w:color w:val="000000"/>
          <w:lang w:eastAsia="de-DE" w:bidi="en-US"/>
        </w:rPr>
      </w:pPr>
    </w:p>
    <w:p w14:paraId="2D118DD4" w14:textId="77777777" w:rsidR="002C1947" w:rsidRPr="002C1947" w:rsidRDefault="002C1947" w:rsidP="002C1947">
      <w:pPr>
        <w:spacing w:line="360" w:lineRule="auto"/>
        <w:jc w:val="both"/>
        <w:rPr>
          <w:rFonts w:cstheme="minorHAnsi"/>
          <w:lang w:val="en-US"/>
        </w:rPr>
      </w:pPr>
      <w:r w:rsidRPr="002C1947">
        <w:rPr>
          <w:rFonts w:cstheme="minorHAnsi"/>
          <w:lang w:val="en-US"/>
        </w:rPr>
        <w:t># These authors contributed equally of this work</w:t>
      </w:r>
    </w:p>
    <w:p w14:paraId="157ACC52" w14:textId="77777777" w:rsidR="002C1947" w:rsidRPr="002C1947" w:rsidRDefault="002C1947" w:rsidP="002C1947">
      <w:pPr>
        <w:spacing w:line="360" w:lineRule="auto"/>
        <w:jc w:val="both"/>
        <w:rPr>
          <w:rFonts w:cstheme="minorHAnsi"/>
          <w:color w:val="FF0000"/>
          <w:lang w:val="en-US"/>
        </w:rPr>
      </w:pPr>
      <w:r w:rsidRPr="002C1947">
        <w:rPr>
          <w:rFonts w:cstheme="minorHAnsi"/>
          <w:lang w:val="en-US"/>
        </w:rPr>
        <w:t xml:space="preserve">≠ Senior author </w:t>
      </w:r>
      <w:proofErr w:type="spellStart"/>
      <w:r w:rsidRPr="002C1947">
        <w:rPr>
          <w:rFonts w:cstheme="minorHAnsi"/>
          <w:lang w:val="en-US"/>
        </w:rPr>
        <w:t>coshared</w:t>
      </w:r>
      <w:proofErr w:type="spellEnd"/>
      <w:r w:rsidRPr="002C1947">
        <w:rPr>
          <w:rFonts w:cstheme="minorHAnsi"/>
          <w:lang w:val="en-US"/>
        </w:rPr>
        <w:t xml:space="preserve"> this work</w:t>
      </w:r>
    </w:p>
    <w:p w14:paraId="22FD1226" w14:textId="77777777" w:rsidR="002C1947" w:rsidRPr="002C1947" w:rsidRDefault="002C1947" w:rsidP="002C1947">
      <w:pPr>
        <w:pStyle w:val="En-tte"/>
        <w:tabs>
          <w:tab w:val="left" w:pos="708"/>
        </w:tabs>
        <w:spacing w:line="480" w:lineRule="auto"/>
        <w:jc w:val="both"/>
        <w:rPr>
          <w:rFonts w:cstheme="minorHAnsi"/>
          <w:b/>
          <w:lang w:val="en-US"/>
        </w:rPr>
      </w:pPr>
      <w:r w:rsidRPr="002C1947">
        <w:rPr>
          <w:rFonts w:cstheme="minorHAnsi"/>
          <w:b/>
          <w:lang w:val="en-US"/>
        </w:rPr>
        <w:t xml:space="preserve">*To whom all correspondence should be addressed: </w:t>
      </w:r>
    </w:p>
    <w:p w14:paraId="61AE03A9" w14:textId="77777777" w:rsidR="002C1947" w:rsidRPr="002426CA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2426CA">
        <w:rPr>
          <w:rFonts w:asciiTheme="minorHAnsi" w:hAnsiTheme="minorHAnsi" w:cstheme="minorHAnsi"/>
          <w:sz w:val="22"/>
          <w:szCs w:val="22"/>
          <w:lang w:val="fr-FR"/>
        </w:rPr>
        <w:t>Pr. Dominique Delmas</w:t>
      </w:r>
    </w:p>
    <w:p w14:paraId="6BCF4BA6" w14:textId="77777777" w:rsidR="002C1947" w:rsidRPr="002426CA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2426CA">
        <w:rPr>
          <w:rFonts w:asciiTheme="minorHAnsi" w:hAnsiTheme="minorHAnsi" w:cstheme="minorHAnsi"/>
          <w:sz w:val="22"/>
          <w:szCs w:val="22"/>
          <w:lang w:val="fr-FR"/>
        </w:rPr>
        <w:t xml:space="preserve">Centre de Recherche Inserm U1231 "Center for </w:t>
      </w:r>
      <w:proofErr w:type="spellStart"/>
      <w:r w:rsidRPr="002426CA">
        <w:rPr>
          <w:rFonts w:asciiTheme="minorHAnsi" w:hAnsiTheme="minorHAnsi" w:cstheme="minorHAnsi"/>
          <w:sz w:val="22"/>
          <w:szCs w:val="22"/>
          <w:lang w:val="fr-FR"/>
        </w:rPr>
        <w:t>Translational</w:t>
      </w:r>
      <w:proofErr w:type="spellEnd"/>
      <w:r w:rsidRPr="002426CA">
        <w:rPr>
          <w:rFonts w:asciiTheme="minorHAnsi" w:hAnsiTheme="minorHAnsi" w:cstheme="minorHAnsi"/>
          <w:sz w:val="22"/>
          <w:szCs w:val="22"/>
          <w:lang w:val="fr-FR"/>
        </w:rPr>
        <w:t xml:space="preserve"> and </w:t>
      </w:r>
      <w:proofErr w:type="spellStart"/>
      <w:r w:rsidRPr="002426CA">
        <w:rPr>
          <w:rFonts w:asciiTheme="minorHAnsi" w:hAnsiTheme="minorHAnsi" w:cstheme="minorHAnsi"/>
          <w:sz w:val="22"/>
          <w:szCs w:val="22"/>
          <w:lang w:val="fr-FR"/>
        </w:rPr>
        <w:t>Molecular</w:t>
      </w:r>
      <w:proofErr w:type="spellEnd"/>
      <w:r w:rsidRPr="002426C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2426CA">
        <w:rPr>
          <w:rFonts w:asciiTheme="minorHAnsi" w:hAnsiTheme="minorHAnsi" w:cstheme="minorHAnsi"/>
          <w:sz w:val="22"/>
          <w:szCs w:val="22"/>
          <w:lang w:val="fr-FR"/>
        </w:rPr>
        <w:t>Medicine</w:t>
      </w:r>
      <w:proofErr w:type="spellEnd"/>
      <w:r w:rsidRPr="002426CA">
        <w:rPr>
          <w:rFonts w:asciiTheme="minorHAnsi" w:hAnsiTheme="minorHAnsi" w:cstheme="minorHAnsi"/>
          <w:sz w:val="22"/>
          <w:szCs w:val="22"/>
          <w:lang w:val="fr-FR"/>
        </w:rPr>
        <w:t>"</w:t>
      </w:r>
    </w:p>
    <w:p w14:paraId="0A9616AB" w14:textId="77777777" w:rsidR="002C1947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6B0901">
        <w:rPr>
          <w:rFonts w:asciiTheme="minorHAnsi" w:hAnsiTheme="minorHAnsi" w:cstheme="minorHAnsi"/>
          <w:sz w:val="22"/>
          <w:szCs w:val="22"/>
          <w:lang w:val="fr-FR"/>
        </w:rPr>
        <w:t>Faculté des Sciences de Santé</w:t>
      </w:r>
    </w:p>
    <w:p w14:paraId="3AF05F3C" w14:textId="77777777" w:rsidR="002C1947" w:rsidRPr="002426CA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6B0901">
        <w:rPr>
          <w:rFonts w:asciiTheme="minorHAnsi" w:hAnsiTheme="minorHAnsi" w:cstheme="minorHAnsi"/>
          <w:sz w:val="22"/>
          <w:szCs w:val="22"/>
          <w:lang w:val="fr-FR"/>
        </w:rPr>
        <w:t>7, Bd Jeanne d’Arc,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2426CA">
        <w:rPr>
          <w:rFonts w:asciiTheme="minorHAnsi" w:hAnsiTheme="minorHAnsi" w:cstheme="minorHAnsi"/>
          <w:sz w:val="22"/>
          <w:szCs w:val="22"/>
          <w:lang w:val="fr-FR"/>
        </w:rPr>
        <w:t>21000 Dijon, France</w:t>
      </w:r>
    </w:p>
    <w:p w14:paraId="328254B8" w14:textId="77777777" w:rsidR="002C1947" w:rsidRPr="005F1AB7" w:rsidRDefault="002C1947" w:rsidP="002C1947">
      <w:pPr>
        <w:pStyle w:val="Corpsdetexte"/>
        <w:spacing w:line="36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5F1AB7">
        <w:rPr>
          <w:rFonts w:asciiTheme="minorHAnsi" w:hAnsiTheme="minorHAnsi" w:cstheme="minorHAnsi"/>
          <w:sz w:val="22"/>
          <w:szCs w:val="22"/>
          <w:lang w:val="fr-FR"/>
        </w:rPr>
        <w:t>Phone number: +33-380-39-32-26 </w:t>
      </w:r>
    </w:p>
    <w:p w14:paraId="4CF8DB1A" w14:textId="77777777" w:rsidR="002C1947" w:rsidRPr="002D3D6F" w:rsidRDefault="002C1947" w:rsidP="002C1947">
      <w:pPr>
        <w:pStyle w:val="Corpsdetexte"/>
        <w:spacing w:line="360" w:lineRule="auto"/>
        <w:rPr>
          <w:rStyle w:val="Lienhypertexte"/>
          <w:rFonts w:asciiTheme="minorHAnsi" w:hAnsiTheme="minorHAnsi" w:cstheme="minorHAnsi"/>
          <w:sz w:val="22"/>
          <w:szCs w:val="22"/>
        </w:rPr>
      </w:pPr>
      <w:r w:rsidRPr="002D3D6F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6" w:history="1">
        <w:r w:rsidRPr="002D3D6F">
          <w:rPr>
            <w:rStyle w:val="Lienhypertexte"/>
            <w:rFonts w:asciiTheme="minorHAnsi" w:hAnsiTheme="minorHAnsi" w:cstheme="minorHAnsi"/>
            <w:sz w:val="22"/>
            <w:szCs w:val="22"/>
          </w:rPr>
          <w:t>dominique.delmas@u-bourgogne.fr</w:t>
        </w:r>
      </w:hyperlink>
    </w:p>
    <w:p w14:paraId="00930F08" w14:textId="7BED09A1" w:rsidR="007D1FD1" w:rsidRPr="002D3D6F" w:rsidRDefault="007D1FD1" w:rsidP="00DB1B7D">
      <w:pPr>
        <w:spacing w:line="480" w:lineRule="auto"/>
        <w:jc w:val="both"/>
        <w:rPr>
          <w:b/>
          <w:bCs/>
          <w:lang w:val="en-US"/>
        </w:rPr>
      </w:pPr>
    </w:p>
    <w:p w14:paraId="4F975C2D" w14:textId="2BA896B3" w:rsidR="002C1947" w:rsidRPr="002D3D6F" w:rsidRDefault="002C1947" w:rsidP="00DB1B7D">
      <w:pPr>
        <w:spacing w:line="480" w:lineRule="auto"/>
        <w:jc w:val="both"/>
        <w:rPr>
          <w:b/>
          <w:bCs/>
          <w:lang w:val="en-US"/>
        </w:rPr>
      </w:pPr>
    </w:p>
    <w:p w14:paraId="33112CAD" w14:textId="5531A915" w:rsidR="002C1947" w:rsidRPr="002D3D6F" w:rsidRDefault="002C1947" w:rsidP="00DB1B7D">
      <w:pPr>
        <w:spacing w:line="480" w:lineRule="auto"/>
        <w:jc w:val="both"/>
        <w:rPr>
          <w:b/>
          <w:bCs/>
          <w:lang w:val="en-US"/>
        </w:rPr>
      </w:pPr>
    </w:p>
    <w:p w14:paraId="12DDBCA4" w14:textId="6C0D4D68" w:rsidR="007D1FD1" w:rsidRDefault="007D1FD1" w:rsidP="007D1FD1">
      <w:pPr>
        <w:spacing w:line="360" w:lineRule="auto"/>
        <w:rPr>
          <w:b/>
          <w:bCs/>
          <w:lang w:val="en-US"/>
        </w:rPr>
      </w:pPr>
      <w:bookmarkStart w:id="1" w:name="_Hlk215493920"/>
      <w:bookmarkStart w:id="2" w:name="_Hlk215493900"/>
      <w:r w:rsidRPr="007D1FD1">
        <w:rPr>
          <w:b/>
          <w:bCs/>
          <w:lang w:val="en-US"/>
        </w:rPr>
        <w:lastRenderedPageBreak/>
        <w:t xml:space="preserve">Supplementary </w:t>
      </w:r>
      <w:r w:rsidRPr="00585EF3">
        <w:rPr>
          <w:b/>
          <w:bCs/>
          <w:lang w:val="en-US"/>
        </w:rPr>
        <w:t>figures S1-S</w:t>
      </w:r>
      <w:r w:rsidR="00585EF3" w:rsidRPr="00585EF3">
        <w:rPr>
          <w:b/>
          <w:bCs/>
          <w:lang w:val="en-US"/>
        </w:rPr>
        <w:t>7</w:t>
      </w:r>
    </w:p>
    <w:p w14:paraId="555F70DD" w14:textId="77777777" w:rsidR="00D450C0" w:rsidRPr="007D1FD1" w:rsidRDefault="00D450C0" w:rsidP="007D1FD1">
      <w:pPr>
        <w:spacing w:line="360" w:lineRule="auto"/>
        <w:rPr>
          <w:b/>
          <w:bCs/>
          <w:lang w:val="en-US"/>
        </w:rPr>
      </w:pPr>
    </w:p>
    <w:p w14:paraId="6FFD05AE" w14:textId="0F6D5401" w:rsidR="00B52100" w:rsidRPr="00AB29E7" w:rsidRDefault="00D450C0" w:rsidP="00B52100">
      <w:pPr>
        <w:spacing w:line="480" w:lineRule="auto"/>
        <w:jc w:val="both"/>
        <w:rPr>
          <w:lang w:val="en-US"/>
        </w:rPr>
      </w:pPr>
      <w:bookmarkStart w:id="3" w:name="_Hlk215493947"/>
      <w:bookmarkEnd w:id="1"/>
      <w:bookmarkEnd w:id="2"/>
      <w:r>
        <w:rPr>
          <w:b/>
          <w:bCs/>
          <w:lang w:val="en-US"/>
        </w:rPr>
        <w:t>S</w:t>
      </w:r>
      <w:r w:rsidR="00B52100" w:rsidRPr="00B52100">
        <w:rPr>
          <w:b/>
          <w:bCs/>
          <w:lang w:val="en-US"/>
        </w:rPr>
        <w:t xml:space="preserve">upplementary Figure S1. Differential sensitivity of HeLa WT and APLR cells to Aplidin® (APL). A) </w:t>
      </w:r>
      <w:r w:rsidR="00B52100" w:rsidRPr="00B52100">
        <w:rPr>
          <w:lang w:val="en-US"/>
        </w:rPr>
        <w:t xml:space="preserve">Growth inhibition of HeLa WT and APLR cells after 48 and 72h of exposure to increasing APL concentrations (0-10 000 </w:t>
      </w:r>
      <w:proofErr w:type="spellStart"/>
      <w:r w:rsidR="00B52100" w:rsidRPr="00B52100">
        <w:rPr>
          <w:lang w:val="en-US"/>
        </w:rPr>
        <w:t>nM</w:t>
      </w:r>
      <w:proofErr w:type="spellEnd"/>
      <w:r w:rsidR="00B52100" w:rsidRPr="00B52100">
        <w:rPr>
          <w:lang w:val="en-US"/>
        </w:rPr>
        <w:t xml:space="preserve">). Results are expressed as mean percentage of control growth ± </w:t>
      </w:r>
      <w:proofErr w:type="spellStart"/>
      <w:r w:rsidR="00B52100" w:rsidRPr="00B52100">
        <w:rPr>
          <w:lang w:val="en-US"/>
        </w:rPr>
        <w:t>s.d.</w:t>
      </w:r>
      <w:proofErr w:type="spellEnd"/>
      <w:r w:rsidR="00B52100" w:rsidRPr="00B52100">
        <w:rPr>
          <w:lang w:val="en-US"/>
        </w:rPr>
        <w:t xml:space="preserve"> of three independent experiments (with </w:t>
      </w:r>
      <w:r w:rsidR="00B52100" w:rsidRPr="00B52100">
        <w:rPr>
          <w:i/>
          <w:iCs/>
          <w:lang w:val="en-US"/>
        </w:rPr>
        <w:t>n</w:t>
      </w:r>
      <w:r w:rsidR="00B52100" w:rsidRPr="00B52100">
        <w:rPr>
          <w:lang w:val="en-US"/>
        </w:rPr>
        <w:t xml:space="preserve">≥3). </w:t>
      </w:r>
      <w:r w:rsidR="00B52100" w:rsidRPr="00B52100">
        <w:rPr>
          <w:b/>
          <w:bCs/>
          <w:lang w:val="en-US"/>
        </w:rPr>
        <w:t xml:space="preserve">B) </w:t>
      </w:r>
      <w:r w:rsidR="00B52100" w:rsidRPr="00B52100">
        <w:rPr>
          <w:lang w:val="en-US"/>
        </w:rPr>
        <w:t xml:space="preserve">Densitometric quantification of western blot obtained in </w:t>
      </w:r>
      <w:r w:rsidR="00B52100" w:rsidRPr="00B52100">
        <w:rPr>
          <w:b/>
          <w:bCs/>
          <w:lang w:val="en-US"/>
        </w:rPr>
        <w:t>Figure 1E)</w:t>
      </w:r>
      <w:r w:rsidR="00B52100" w:rsidRPr="00B52100">
        <w:rPr>
          <w:lang w:val="en-US"/>
        </w:rPr>
        <w:t xml:space="preserve">. </w:t>
      </w:r>
      <w:r w:rsidR="00B52100" w:rsidRPr="00B52100">
        <w:rPr>
          <w:b/>
          <w:bCs/>
          <w:lang w:val="en-US"/>
        </w:rPr>
        <w:t>C)</w:t>
      </w:r>
      <w:r w:rsidR="00B52100" w:rsidRPr="00B52100">
        <w:rPr>
          <w:lang w:val="en-US"/>
        </w:rPr>
        <w:t xml:space="preserve"> After treatment of HeLa WT and APLR cells with vehicle (Co) or 450 </w:t>
      </w:r>
      <w:proofErr w:type="spellStart"/>
      <w:r w:rsidR="00B52100" w:rsidRPr="00B52100">
        <w:rPr>
          <w:lang w:val="en-US"/>
        </w:rPr>
        <w:t>nM</w:t>
      </w:r>
      <w:proofErr w:type="spellEnd"/>
      <w:r w:rsidR="00B52100" w:rsidRPr="00B52100">
        <w:rPr>
          <w:lang w:val="en-US"/>
        </w:rPr>
        <w:t xml:space="preserve"> APL for 3. 6. 18 and 24h. protein expressions of pro and cleaved forms of Caspase 3 and PARP were analyzed by immunoblotting. HSC-70 was used as the loading control. </w:t>
      </w:r>
      <w:r w:rsidR="00B52100" w:rsidRPr="00B52100">
        <w:rPr>
          <w:b/>
          <w:bCs/>
          <w:lang w:val="en-US"/>
        </w:rPr>
        <w:t xml:space="preserve">D) </w:t>
      </w:r>
      <w:r w:rsidR="00B52100" w:rsidRPr="00B52100">
        <w:rPr>
          <w:lang w:val="en-US"/>
        </w:rPr>
        <w:t xml:space="preserve">Heatmap representing densitometric quantification of western blot obtained in </w:t>
      </w:r>
      <w:r w:rsidR="00B52100" w:rsidRPr="00B52100">
        <w:rPr>
          <w:b/>
          <w:bCs/>
          <w:lang w:val="en-US"/>
        </w:rPr>
        <w:t>C)</w:t>
      </w:r>
      <w:r w:rsidR="00B52100" w:rsidRPr="00B52100">
        <w:rPr>
          <w:lang w:val="en-US"/>
        </w:rPr>
        <w:t xml:space="preserve">. Data are expressed as mean fold induction of three independent experiments in </w:t>
      </w:r>
      <w:r w:rsidR="00B52100" w:rsidRPr="00B52100">
        <w:rPr>
          <w:b/>
          <w:bCs/>
          <w:lang w:val="en-US"/>
        </w:rPr>
        <w:t>B)</w:t>
      </w:r>
      <w:r w:rsidR="00B52100" w:rsidRPr="00B52100">
        <w:rPr>
          <w:lang w:val="en-US"/>
        </w:rPr>
        <w:t xml:space="preserve"> and </w:t>
      </w:r>
      <w:r w:rsidR="00B52100" w:rsidRPr="00B52100">
        <w:rPr>
          <w:b/>
          <w:bCs/>
          <w:lang w:val="en-US"/>
        </w:rPr>
        <w:t>D)</w:t>
      </w:r>
      <w:r w:rsidR="00B52100" w:rsidRPr="00B52100">
        <w:rPr>
          <w:lang w:val="en-US"/>
        </w:rPr>
        <w:t xml:space="preserve">. Significance was determined by a two-way ANOVA followed by Tukey’s multiple comparison test in </w:t>
      </w:r>
      <w:r w:rsidR="00B52100" w:rsidRPr="00B52100">
        <w:rPr>
          <w:b/>
          <w:bCs/>
          <w:lang w:val="en-US"/>
        </w:rPr>
        <w:t>B)</w:t>
      </w:r>
      <w:r w:rsidR="00B52100" w:rsidRPr="00B52100">
        <w:rPr>
          <w:lang w:val="en-US"/>
        </w:rPr>
        <w:t xml:space="preserve"> and a one-way ANOVA followed by Tukey’s multiple comparison test in </w:t>
      </w:r>
      <w:r w:rsidR="00B52100" w:rsidRPr="00B52100">
        <w:rPr>
          <w:b/>
          <w:bCs/>
          <w:lang w:val="en-US"/>
        </w:rPr>
        <w:t>D)</w:t>
      </w:r>
      <w:r w:rsidR="00B52100" w:rsidRPr="00B52100">
        <w:rPr>
          <w:lang w:val="en-US"/>
        </w:rPr>
        <w:t>. ns. not significant; *</w:t>
      </w:r>
      <w:r w:rsidR="00B52100" w:rsidRPr="00B52100">
        <w:rPr>
          <w:i/>
          <w:iCs/>
          <w:lang w:val="en-US"/>
        </w:rPr>
        <w:t>p</w:t>
      </w:r>
      <w:r w:rsidR="00B52100" w:rsidRPr="00B52100">
        <w:rPr>
          <w:lang w:val="en-US"/>
        </w:rPr>
        <w:t>&lt;0.05; **</w:t>
      </w:r>
      <w:r w:rsidR="00B52100" w:rsidRPr="00B52100">
        <w:rPr>
          <w:i/>
          <w:iCs/>
          <w:lang w:val="en-US"/>
        </w:rPr>
        <w:t>p</w:t>
      </w:r>
      <w:r w:rsidR="00B52100" w:rsidRPr="00B52100">
        <w:rPr>
          <w:lang w:val="en-US"/>
        </w:rPr>
        <w:t>&lt;0.01; ***</w:t>
      </w:r>
      <w:r w:rsidR="00B52100" w:rsidRPr="00B52100">
        <w:rPr>
          <w:i/>
          <w:iCs/>
          <w:lang w:val="en-US"/>
        </w:rPr>
        <w:t>p</w:t>
      </w:r>
      <w:r w:rsidR="00B52100" w:rsidRPr="00B52100">
        <w:rPr>
          <w:lang w:val="en-US"/>
        </w:rPr>
        <w:t>&lt;0.001 and ****</w:t>
      </w:r>
      <w:r w:rsidR="00B52100" w:rsidRPr="00B52100">
        <w:rPr>
          <w:i/>
          <w:iCs/>
          <w:lang w:val="en-US"/>
        </w:rPr>
        <w:t>p</w:t>
      </w:r>
      <w:r w:rsidR="00B52100" w:rsidRPr="00B52100">
        <w:rPr>
          <w:lang w:val="en-US"/>
        </w:rPr>
        <w:t xml:space="preserve">&lt;0.0001. </w:t>
      </w:r>
    </w:p>
    <w:p w14:paraId="35B53502" w14:textId="77777777" w:rsidR="00AB29E7" w:rsidRDefault="00AB29E7" w:rsidP="002467F8">
      <w:pPr>
        <w:spacing w:line="480" w:lineRule="auto"/>
        <w:jc w:val="both"/>
        <w:rPr>
          <w:b/>
          <w:bCs/>
          <w:lang w:val="en-US"/>
        </w:rPr>
      </w:pPr>
    </w:p>
    <w:p w14:paraId="2FAB2AB8" w14:textId="65EC4F90" w:rsidR="002467F8" w:rsidRPr="00AB29E7" w:rsidRDefault="00865C19" w:rsidP="002467F8">
      <w:pPr>
        <w:spacing w:line="480" w:lineRule="auto"/>
        <w:jc w:val="both"/>
        <w:rPr>
          <w:lang w:val="en-US"/>
        </w:rPr>
      </w:pPr>
      <w:r w:rsidRPr="00D86724">
        <w:rPr>
          <w:b/>
          <w:bCs/>
          <w:lang w:val="en-US"/>
        </w:rPr>
        <w:t>S</w:t>
      </w:r>
      <w:r w:rsidR="002467F8" w:rsidRPr="00D86724">
        <w:rPr>
          <w:b/>
          <w:bCs/>
          <w:lang w:val="en-US"/>
        </w:rPr>
        <w:t xml:space="preserve">upplementary Figure S2. Quantification of the protein expressions of the key players of apoptosis in HeLa WT and APLR cells after a 24h Aplidin® (APL) treatment. </w:t>
      </w:r>
      <w:r w:rsidR="00D86724" w:rsidRPr="00AB29E7">
        <w:rPr>
          <w:b/>
          <w:bCs/>
          <w:lang w:val="en-US"/>
        </w:rPr>
        <w:t>A–B)</w:t>
      </w:r>
      <w:r w:rsidR="00D86724" w:rsidRPr="00AB29E7">
        <w:rPr>
          <w:lang w:val="en-US"/>
        </w:rPr>
        <w:t xml:space="preserve"> Densitometric quantification of western blot shown in </w:t>
      </w:r>
      <w:r w:rsidR="00D86724" w:rsidRPr="00AB29E7">
        <w:rPr>
          <w:b/>
          <w:bCs/>
          <w:lang w:val="en-US"/>
        </w:rPr>
        <w:t>Figure 1I</w:t>
      </w:r>
      <w:r w:rsidR="005C7246" w:rsidRPr="00AB29E7">
        <w:rPr>
          <w:b/>
          <w:bCs/>
          <w:lang w:val="en-US"/>
        </w:rPr>
        <w:t>)</w:t>
      </w:r>
      <w:r w:rsidR="00D86724" w:rsidRPr="00AB29E7">
        <w:rPr>
          <w:lang w:val="en-US"/>
        </w:rPr>
        <w:t xml:space="preserve">. Panel A reports the expression levels of Bid, </w:t>
      </w:r>
      <w:proofErr w:type="spellStart"/>
      <w:r w:rsidR="00D86724" w:rsidRPr="00AB29E7">
        <w:rPr>
          <w:lang w:val="en-US"/>
        </w:rPr>
        <w:t>tBid</w:t>
      </w:r>
      <w:proofErr w:type="spellEnd"/>
      <w:r w:rsidR="00D86724" w:rsidRPr="00AB29E7">
        <w:rPr>
          <w:lang w:val="en-US"/>
        </w:rPr>
        <w:t xml:space="preserve">, </w:t>
      </w:r>
      <w:proofErr w:type="spellStart"/>
      <w:r w:rsidR="00D86724" w:rsidRPr="00AB29E7">
        <w:rPr>
          <w:lang w:val="en-US"/>
        </w:rPr>
        <w:t>Bax</w:t>
      </w:r>
      <w:proofErr w:type="spellEnd"/>
      <w:r w:rsidR="005C7246" w:rsidRPr="00AB29E7">
        <w:rPr>
          <w:lang w:val="en-US"/>
        </w:rPr>
        <w:t xml:space="preserve"> </w:t>
      </w:r>
      <w:r w:rsidR="00D86724" w:rsidRPr="00AB29E7">
        <w:rPr>
          <w:lang w:val="en-US"/>
        </w:rPr>
        <w:t xml:space="preserve">and </w:t>
      </w:r>
      <w:proofErr w:type="spellStart"/>
      <w:r w:rsidR="00D86724" w:rsidRPr="00AB29E7">
        <w:rPr>
          <w:lang w:val="en-US"/>
        </w:rPr>
        <w:t>Bak</w:t>
      </w:r>
      <w:proofErr w:type="spellEnd"/>
      <w:r w:rsidR="00D86724" w:rsidRPr="00AB29E7">
        <w:rPr>
          <w:lang w:val="en-US"/>
        </w:rPr>
        <w:t xml:space="preserve">. Panel B shows the corresponding ratios </w:t>
      </w:r>
      <w:proofErr w:type="spellStart"/>
      <w:r w:rsidR="00D86724" w:rsidRPr="00AB29E7">
        <w:rPr>
          <w:lang w:val="en-US"/>
        </w:rPr>
        <w:t>Bax</w:t>
      </w:r>
      <w:proofErr w:type="spellEnd"/>
      <w:r w:rsidR="00D86724" w:rsidRPr="00AB29E7">
        <w:rPr>
          <w:lang w:val="en-US"/>
        </w:rPr>
        <w:t xml:space="preserve">/Bcl-2, </w:t>
      </w:r>
      <w:proofErr w:type="spellStart"/>
      <w:r w:rsidR="00D86724" w:rsidRPr="00AB29E7">
        <w:rPr>
          <w:lang w:val="en-US"/>
        </w:rPr>
        <w:t>Bax</w:t>
      </w:r>
      <w:proofErr w:type="spellEnd"/>
      <w:r w:rsidR="00D86724" w:rsidRPr="00AB29E7">
        <w:rPr>
          <w:lang w:val="en-US"/>
        </w:rPr>
        <w:t>/</w:t>
      </w:r>
      <w:proofErr w:type="spellStart"/>
      <w:r w:rsidR="00D86724" w:rsidRPr="00AB29E7">
        <w:rPr>
          <w:lang w:val="en-US"/>
        </w:rPr>
        <w:t>Bcl-</w:t>
      </w:r>
      <w:r w:rsidR="005C7246" w:rsidRPr="00AB29E7">
        <w:rPr>
          <w:lang w:val="en-US"/>
        </w:rPr>
        <w:t>x</w:t>
      </w:r>
      <w:r w:rsidR="00D86724" w:rsidRPr="00AB29E7">
        <w:rPr>
          <w:lang w:val="en-US"/>
        </w:rPr>
        <w:t>L</w:t>
      </w:r>
      <w:proofErr w:type="spellEnd"/>
      <w:r w:rsidR="00D86724" w:rsidRPr="00AB29E7">
        <w:rPr>
          <w:lang w:val="en-US"/>
        </w:rPr>
        <w:t xml:space="preserve">, </w:t>
      </w:r>
      <w:proofErr w:type="spellStart"/>
      <w:r w:rsidR="00D86724" w:rsidRPr="00AB29E7">
        <w:rPr>
          <w:lang w:val="en-US"/>
        </w:rPr>
        <w:t>Bak</w:t>
      </w:r>
      <w:proofErr w:type="spellEnd"/>
      <w:r w:rsidR="00D86724" w:rsidRPr="00AB29E7">
        <w:rPr>
          <w:lang w:val="en-US"/>
        </w:rPr>
        <w:t xml:space="preserve">/Bcl-2, and </w:t>
      </w:r>
      <w:proofErr w:type="spellStart"/>
      <w:r w:rsidR="00D86724" w:rsidRPr="00AB29E7">
        <w:rPr>
          <w:lang w:val="en-US"/>
        </w:rPr>
        <w:t>Bak</w:t>
      </w:r>
      <w:proofErr w:type="spellEnd"/>
      <w:r w:rsidR="00D86724" w:rsidRPr="00AB29E7">
        <w:rPr>
          <w:lang w:val="en-US"/>
        </w:rPr>
        <w:t>/</w:t>
      </w:r>
      <w:proofErr w:type="spellStart"/>
      <w:r w:rsidR="00D86724" w:rsidRPr="00AB29E7">
        <w:rPr>
          <w:lang w:val="en-US"/>
        </w:rPr>
        <w:t>Bcl-</w:t>
      </w:r>
      <w:r w:rsidR="005C7246" w:rsidRPr="00AB29E7">
        <w:rPr>
          <w:lang w:val="en-US"/>
        </w:rPr>
        <w:t>x</w:t>
      </w:r>
      <w:r w:rsidR="00D86724" w:rsidRPr="00AB29E7">
        <w:rPr>
          <w:lang w:val="en-US"/>
        </w:rPr>
        <w:t>L</w:t>
      </w:r>
      <w:proofErr w:type="spellEnd"/>
      <w:r w:rsidR="00D86724" w:rsidRPr="00AB29E7">
        <w:rPr>
          <w:lang w:val="en-US"/>
        </w:rPr>
        <w:t>.</w:t>
      </w:r>
      <w:r w:rsidR="005C7246" w:rsidRPr="005C7246">
        <w:rPr>
          <w:b/>
          <w:bCs/>
          <w:lang w:val="en-US"/>
        </w:rPr>
        <w:t xml:space="preserve"> </w:t>
      </w:r>
      <w:r w:rsidR="00D86724" w:rsidRPr="00D86724">
        <w:rPr>
          <w:b/>
          <w:bCs/>
          <w:lang w:val="en-US"/>
        </w:rPr>
        <w:t>C)</w:t>
      </w:r>
      <w:r w:rsidR="00D86724" w:rsidRPr="00D86724">
        <w:rPr>
          <w:lang w:val="en-US"/>
        </w:rPr>
        <w:t xml:space="preserve"> </w:t>
      </w:r>
      <w:r w:rsidR="00D86724" w:rsidRPr="00AB29E7">
        <w:rPr>
          <w:lang w:val="en-US"/>
        </w:rPr>
        <w:t xml:space="preserve">Densitometric quantification of the western blot shown in </w:t>
      </w:r>
      <w:r w:rsidR="00D86724" w:rsidRPr="00AB29E7">
        <w:rPr>
          <w:b/>
          <w:bCs/>
          <w:lang w:val="en-US"/>
        </w:rPr>
        <w:t>Figure 1J)</w:t>
      </w:r>
      <w:r w:rsidR="00D86724" w:rsidRPr="00AB29E7">
        <w:rPr>
          <w:lang w:val="en-US"/>
        </w:rPr>
        <w:t>, following cytosolic and mitochondrial fractionation.</w:t>
      </w:r>
      <w:r w:rsidR="005C7246" w:rsidRPr="00AB29E7">
        <w:rPr>
          <w:lang w:val="en-US"/>
        </w:rPr>
        <w:t xml:space="preserve"> </w:t>
      </w:r>
      <w:r w:rsidR="002467F8" w:rsidRPr="00D86724">
        <w:rPr>
          <w:lang w:val="en-US"/>
        </w:rPr>
        <w:t>Data are expressed as mean fold induction of three independent experiments. Significance was determined by a two-way ANOVA followed by Tukey’s multiple comparison test. ns. not significant; *</w:t>
      </w:r>
      <w:r w:rsidR="002467F8" w:rsidRPr="00D86724">
        <w:rPr>
          <w:i/>
          <w:iCs/>
          <w:lang w:val="en-US"/>
        </w:rPr>
        <w:t>p</w:t>
      </w:r>
      <w:r w:rsidR="002467F8" w:rsidRPr="00D86724">
        <w:rPr>
          <w:lang w:val="en-US"/>
        </w:rPr>
        <w:t>&lt;0.05; **</w:t>
      </w:r>
      <w:r w:rsidR="002467F8" w:rsidRPr="00D86724">
        <w:rPr>
          <w:i/>
          <w:iCs/>
          <w:lang w:val="en-US"/>
        </w:rPr>
        <w:t>p</w:t>
      </w:r>
      <w:r w:rsidR="002467F8" w:rsidRPr="00D86724">
        <w:rPr>
          <w:lang w:val="en-US"/>
        </w:rPr>
        <w:t>&lt;0.01 and ***</w:t>
      </w:r>
      <w:r w:rsidR="002467F8" w:rsidRPr="00D86724">
        <w:rPr>
          <w:i/>
          <w:iCs/>
          <w:lang w:val="en-US"/>
        </w:rPr>
        <w:t>p</w:t>
      </w:r>
      <w:r w:rsidR="002467F8" w:rsidRPr="00D86724">
        <w:rPr>
          <w:lang w:val="en-US"/>
        </w:rPr>
        <w:t xml:space="preserve">&lt;0.001. </w:t>
      </w:r>
    </w:p>
    <w:p w14:paraId="5B9DD498" w14:textId="316FC290" w:rsidR="00865C19" w:rsidRDefault="00865C19" w:rsidP="00DB1B7D">
      <w:pPr>
        <w:spacing w:line="480" w:lineRule="auto"/>
        <w:jc w:val="both"/>
        <w:rPr>
          <w:lang w:val="en-US"/>
        </w:rPr>
      </w:pPr>
    </w:p>
    <w:p w14:paraId="54D88301" w14:textId="3AE9B39F" w:rsidR="00743073" w:rsidRPr="00AB29E7" w:rsidRDefault="00743073" w:rsidP="00743073">
      <w:pPr>
        <w:spacing w:line="480" w:lineRule="auto"/>
        <w:jc w:val="both"/>
        <w:rPr>
          <w:lang w:val="en-US"/>
        </w:rPr>
      </w:pPr>
      <w:r w:rsidRPr="00743073">
        <w:rPr>
          <w:b/>
          <w:bCs/>
          <w:lang w:val="en-US"/>
        </w:rPr>
        <w:t xml:space="preserve">Supplementary Figure S3.  Extended profiling of CL remodeling intermediates (MLCL. DLCL) and derived ratios in WT and APLR cells in response to APL. A) </w:t>
      </w:r>
      <w:r w:rsidRPr="00743073">
        <w:rPr>
          <w:lang w:val="en-US"/>
        </w:rPr>
        <w:t xml:space="preserve">Violin plots showing total tetra-acylated </w:t>
      </w:r>
      <w:r w:rsidRPr="00743073">
        <w:rPr>
          <w:lang w:val="en-US"/>
        </w:rPr>
        <w:lastRenderedPageBreak/>
        <w:t xml:space="preserve">CL. total MLCL and DLCL content. DLCL to tetra-acylated CL ratio and total DLCL and MLCL to total pool of CL ratio in HeLa WT and APLR cells after 24 h of treatment with vehicle (Co) or 450 </w:t>
      </w:r>
      <w:proofErr w:type="spellStart"/>
      <w:r w:rsidRPr="00743073">
        <w:rPr>
          <w:lang w:val="en-US"/>
        </w:rPr>
        <w:t>nM</w:t>
      </w:r>
      <w:proofErr w:type="spellEnd"/>
      <w:r w:rsidRPr="00743073">
        <w:rPr>
          <w:lang w:val="en-US"/>
        </w:rPr>
        <w:t xml:space="preserve"> Aplidin (APL). Values correspond to log₂-transformed lipid quantities (</w:t>
      </w:r>
      <w:proofErr w:type="spellStart"/>
      <w:r w:rsidRPr="00743073">
        <w:rPr>
          <w:lang w:val="en-US"/>
        </w:rPr>
        <w:t>pmol</w:t>
      </w:r>
      <w:proofErr w:type="spellEnd"/>
      <w:r w:rsidRPr="00743073">
        <w:rPr>
          <w:lang w:val="en-US"/>
        </w:rPr>
        <w:t xml:space="preserve">/mg of proteins) determined by HPLC–MS/MS. </w:t>
      </w:r>
      <w:r w:rsidRPr="00743073">
        <w:rPr>
          <w:b/>
          <w:bCs/>
          <w:lang w:val="en-US"/>
        </w:rPr>
        <w:t>B)</w:t>
      </w:r>
      <w:r w:rsidRPr="00743073">
        <w:rPr>
          <w:lang w:val="en-US"/>
        </w:rPr>
        <w:t xml:space="preserve"> Volcano plots showing differential abundance of individual cardiolipin (CL) species between Aplidin-treated and control APLR cells. Log</w:t>
      </w:r>
      <w:proofErr w:type="gramStart"/>
      <w:r w:rsidRPr="00743073">
        <w:rPr>
          <w:lang w:val="en-US"/>
        </w:rPr>
        <w:t>₂(</w:t>
      </w:r>
      <w:proofErr w:type="gramEnd"/>
      <w:r w:rsidRPr="00743073">
        <w:rPr>
          <w:lang w:val="en-US"/>
        </w:rPr>
        <w:t xml:space="preserve">fold change) is plotted against –log₁₀(adjusted p-value). with significantly increased and decreased species highlighted in red and blue. respectively. and non-significant species shown in grey. Data are from three independent experiments with </w:t>
      </w:r>
      <w:r w:rsidR="008602F6">
        <w:rPr>
          <w:lang w:val="en-US"/>
        </w:rPr>
        <w:t>n</w:t>
      </w:r>
      <w:r w:rsidRPr="00743073">
        <w:rPr>
          <w:lang w:val="en-US"/>
        </w:rPr>
        <w:t xml:space="preserve">=3. Significance was determined by a two-way ANOVA followed by Tukey’s multiple comparison test in </w:t>
      </w:r>
      <w:r w:rsidRPr="00743073">
        <w:rPr>
          <w:b/>
          <w:bCs/>
          <w:lang w:val="en-US"/>
        </w:rPr>
        <w:t xml:space="preserve">A). </w:t>
      </w:r>
      <w:r w:rsidRPr="00743073">
        <w:rPr>
          <w:lang w:val="en-US"/>
        </w:rPr>
        <w:t xml:space="preserve">and a two-tailed Student’s t-test followed by </w:t>
      </w:r>
      <w:proofErr w:type="spellStart"/>
      <w:r w:rsidRPr="00743073">
        <w:rPr>
          <w:lang w:val="en-US"/>
        </w:rPr>
        <w:t>Benjamini</w:t>
      </w:r>
      <w:proofErr w:type="spellEnd"/>
      <w:r w:rsidRPr="00743073">
        <w:rPr>
          <w:lang w:val="en-US"/>
        </w:rPr>
        <w:t xml:space="preserve">–Hochberg FDR correction in </w:t>
      </w:r>
      <w:r w:rsidRPr="00743073">
        <w:rPr>
          <w:b/>
          <w:bCs/>
          <w:lang w:val="en-US"/>
        </w:rPr>
        <w:t xml:space="preserve">B). </w:t>
      </w:r>
      <w:r w:rsidRPr="00743073">
        <w:rPr>
          <w:lang w:val="en-US"/>
        </w:rPr>
        <w:t>ns. not significant; *</w:t>
      </w:r>
      <w:r w:rsidRPr="00743073">
        <w:rPr>
          <w:i/>
          <w:iCs/>
          <w:lang w:val="en-US"/>
        </w:rPr>
        <w:t>p</w:t>
      </w:r>
      <w:r w:rsidRPr="00743073">
        <w:rPr>
          <w:lang w:val="en-US"/>
        </w:rPr>
        <w:t>&lt;0.05; **</w:t>
      </w:r>
      <w:r w:rsidRPr="00743073">
        <w:rPr>
          <w:i/>
          <w:iCs/>
          <w:lang w:val="en-US"/>
        </w:rPr>
        <w:t>p</w:t>
      </w:r>
      <w:r w:rsidRPr="00743073">
        <w:rPr>
          <w:lang w:val="en-US"/>
        </w:rPr>
        <w:t>&lt;0.01 and ****</w:t>
      </w:r>
      <w:r w:rsidRPr="00743073">
        <w:rPr>
          <w:i/>
          <w:iCs/>
          <w:lang w:val="en-US"/>
        </w:rPr>
        <w:t>p</w:t>
      </w:r>
      <w:r w:rsidRPr="00743073">
        <w:rPr>
          <w:lang w:val="en-US"/>
        </w:rPr>
        <w:t xml:space="preserve">&lt;0.0001. </w:t>
      </w:r>
    </w:p>
    <w:p w14:paraId="5BE78751" w14:textId="77777777" w:rsidR="00C5198D" w:rsidRDefault="00C5198D" w:rsidP="00A0126B">
      <w:pPr>
        <w:spacing w:line="480" w:lineRule="auto"/>
        <w:jc w:val="both"/>
        <w:rPr>
          <w:b/>
          <w:bCs/>
          <w:lang w:val="en-US"/>
        </w:rPr>
      </w:pPr>
    </w:p>
    <w:p w14:paraId="1DEDD785" w14:textId="1A4B7581" w:rsidR="00585EF3" w:rsidRPr="00AB29E7" w:rsidRDefault="008602F6" w:rsidP="00A0126B">
      <w:pPr>
        <w:spacing w:line="480" w:lineRule="auto"/>
        <w:jc w:val="both"/>
        <w:rPr>
          <w:lang w:val="en-US"/>
        </w:rPr>
      </w:pPr>
      <w:r w:rsidRPr="00A0126B">
        <w:rPr>
          <w:b/>
          <w:bCs/>
          <w:lang w:val="en-US"/>
        </w:rPr>
        <w:t xml:space="preserve">Supplementary Figure S4. </w:t>
      </w:r>
      <w:r w:rsidR="00A0126B" w:rsidRPr="00AB29E7">
        <w:rPr>
          <w:b/>
          <w:bCs/>
          <w:lang w:val="en-US"/>
        </w:rPr>
        <w:t>Phospholipid (PL) remodeling and cardiolipin (CL)-associated changes in HeLa WT and APLR cells upon Aplidin treatment.</w:t>
      </w:r>
      <w:r w:rsidRPr="008602F6">
        <w:rPr>
          <w:b/>
          <w:bCs/>
          <w:color w:val="FF0000"/>
          <w:lang w:val="en-US"/>
        </w:rPr>
        <w:t xml:space="preserve"> </w:t>
      </w:r>
      <w:r w:rsidRPr="00865C19">
        <w:rPr>
          <w:b/>
          <w:bCs/>
          <w:color w:val="FF0000"/>
          <w:lang w:val="en-US"/>
        </w:rPr>
        <w:t xml:space="preserve"> </w:t>
      </w:r>
      <w:r w:rsidRPr="00A0126B">
        <w:rPr>
          <w:lang w:val="en-US"/>
        </w:rPr>
        <w:t xml:space="preserve">Total lipids were extracted from HeLa WT and APLR cells after 24h of treatment with vehicle (Co) or 450 </w:t>
      </w:r>
      <w:proofErr w:type="spellStart"/>
      <w:r w:rsidRPr="00A0126B">
        <w:rPr>
          <w:lang w:val="en-US"/>
        </w:rPr>
        <w:t>nM</w:t>
      </w:r>
      <w:proofErr w:type="spellEnd"/>
      <w:r w:rsidRPr="00A0126B">
        <w:rPr>
          <w:lang w:val="en-US"/>
        </w:rPr>
        <w:t xml:space="preserve"> APL and CL</w:t>
      </w:r>
      <w:r w:rsidR="00A0126B" w:rsidRPr="00A0126B">
        <w:rPr>
          <w:lang w:val="en-US"/>
        </w:rPr>
        <w:t>,</w:t>
      </w:r>
      <w:r w:rsidRPr="00A0126B">
        <w:rPr>
          <w:lang w:val="en-US"/>
        </w:rPr>
        <w:t xml:space="preserve"> PL and plasmalogens (</w:t>
      </w:r>
      <w:r w:rsidRPr="00A0126B">
        <w:rPr>
          <w:i/>
          <w:iCs/>
          <w:lang w:val="en-US"/>
        </w:rPr>
        <w:t xml:space="preserve">i.e. </w:t>
      </w:r>
      <w:r w:rsidRPr="00A0126B">
        <w:rPr>
          <w:lang w:val="en-US"/>
        </w:rPr>
        <w:t>pPC</w:t>
      </w:r>
      <w:r w:rsidR="00A0126B" w:rsidRPr="00A0126B">
        <w:rPr>
          <w:lang w:val="en-US"/>
        </w:rPr>
        <w:t xml:space="preserve">, </w:t>
      </w:r>
      <w:r w:rsidRPr="00A0126B">
        <w:rPr>
          <w:lang w:val="en-US"/>
        </w:rPr>
        <w:t xml:space="preserve">pPE) were quantified by HPLC-MS/MS. </w:t>
      </w:r>
      <w:r w:rsidRPr="00A0126B">
        <w:rPr>
          <w:b/>
          <w:bCs/>
          <w:lang w:val="en-US"/>
        </w:rPr>
        <w:t>A)</w:t>
      </w:r>
      <w:r w:rsidRPr="00A0126B">
        <w:rPr>
          <w:lang w:val="en-US"/>
        </w:rPr>
        <w:t xml:space="preserve"> Violin plots showing total PC</w:t>
      </w:r>
      <w:r w:rsidR="00A0126B" w:rsidRPr="00A0126B">
        <w:rPr>
          <w:lang w:val="en-US"/>
        </w:rPr>
        <w:t>,</w:t>
      </w:r>
      <w:r w:rsidRPr="00A0126B">
        <w:rPr>
          <w:lang w:val="en-US"/>
        </w:rPr>
        <w:t xml:space="preserve"> PE</w:t>
      </w:r>
      <w:r w:rsidR="00A0126B" w:rsidRPr="00A0126B">
        <w:rPr>
          <w:lang w:val="en-US"/>
        </w:rPr>
        <w:t>,</w:t>
      </w:r>
      <w:r w:rsidRPr="00A0126B">
        <w:rPr>
          <w:lang w:val="en-US"/>
        </w:rPr>
        <w:t xml:space="preserve"> pPC and pPE to total CL ratio in HeLa WT and APLR cells after 24 h of treatment with vehicle (Co) or 450 </w:t>
      </w:r>
      <w:proofErr w:type="spellStart"/>
      <w:r w:rsidRPr="00A0126B">
        <w:rPr>
          <w:lang w:val="en-US"/>
        </w:rPr>
        <w:t>nM</w:t>
      </w:r>
      <w:proofErr w:type="spellEnd"/>
      <w:r w:rsidRPr="00A0126B">
        <w:rPr>
          <w:lang w:val="en-US"/>
        </w:rPr>
        <w:t xml:space="preserve"> Aplidin (APL). Values correspond to log₂-transformed lipid quantities (</w:t>
      </w:r>
      <w:proofErr w:type="spellStart"/>
      <w:r w:rsidRPr="00A0126B">
        <w:rPr>
          <w:lang w:val="en-US"/>
        </w:rPr>
        <w:t>pmol</w:t>
      </w:r>
      <w:proofErr w:type="spellEnd"/>
      <w:r w:rsidRPr="00A0126B">
        <w:rPr>
          <w:lang w:val="en-US"/>
        </w:rPr>
        <w:t xml:space="preserve">/mg of proteins) from three independent experiments with </w:t>
      </w:r>
      <w:r w:rsidRPr="00A0126B">
        <w:rPr>
          <w:i/>
          <w:iCs/>
          <w:lang w:val="en-US"/>
        </w:rPr>
        <w:t>n</w:t>
      </w:r>
      <w:r w:rsidRPr="00A0126B">
        <w:rPr>
          <w:lang w:val="en-US"/>
        </w:rPr>
        <w:t xml:space="preserve">=3. </w:t>
      </w:r>
      <w:r w:rsidR="00585EF3" w:rsidRPr="00A0126B">
        <w:rPr>
          <w:b/>
          <w:bCs/>
          <w:lang w:val="en-US"/>
        </w:rPr>
        <w:t>B)</w:t>
      </w:r>
      <w:r w:rsidR="00585EF3" w:rsidRPr="00A0126B">
        <w:rPr>
          <w:lang w:val="en-US"/>
        </w:rPr>
        <w:t xml:space="preserve"> Volcano plots showing differential abundance of individual PL (</w:t>
      </w:r>
      <w:r w:rsidR="00585EF3" w:rsidRPr="00A0126B">
        <w:rPr>
          <w:i/>
          <w:iCs/>
          <w:lang w:val="en-US"/>
        </w:rPr>
        <w:t xml:space="preserve">i.e. </w:t>
      </w:r>
      <w:r w:rsidR="00585EF3" w:rsidRPr="00A0126B">
        <w:rPr>
          <w:lang w:val="en-US"/>
        </w:rPr>
        <w:t>PC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LPC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PE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LPE) and plasmalogens (</w:t>
      </w:r>
      <w:r w:rsidR="00585EF3" w:rsidRPr="00A0126B">
        <w:rPr>
          <w:i/>
          <w:iCs/>
          <w:lang w:val="en-US"/>
        </w:rPr>
        <w:t xml:space="preserve">i.e. </w:t>
      </w:r>
      <w:r w:rsidR="00585EF3" w:rsidRPr="00A0126B">
        <w:rPr>
          <w:lang w:val="en-US"/>
        </w:rPr>
        <w:t>pPC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pPE) species between APLR and WT cells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Aplidin-treated vs control WT cells</w:t>
      </w:r>
      <w:r w:rsidR="00A0126B" w:rsidRPr="00A0126B">
        <w:rPr>
          <w:lang w:val="en-US"/>
        </w:rPr>
        <w:t xml:space="preserve"> </w:t>
      </w:r>
      <w:r w:rsidR="00585EF3" w:rsidRPr="00A0126B">
        <w:rPr>
          <w:lang w:val="en-US"/>
        </w:rPr>
        <w:t>and Aplidin-treated vs control APLR cells. Log</w:t>
      </w:r>
      <w:proofErr w:type="gramStart"/>
      <w:r w:rsidR="00585EF3" w:rsidRPr="00A0126B">
        <w:rPr>
          <w:lang w:val="en-US"/>
        </w:rPr>
        <w:t>₂(</w:t>
      </w:r>
      <w:proofErr w:type="gramEnd"/>
      <w:r w:rsidR="00585EF3" w:rsidRPr="00A0126B">
        <w:rPr>
          <w:lang w:val="en-US"/>
        </w:rPr>
        <w:t>fold change) is plotted against –log₁₀(adjusted p-value)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with significantly increased and decreased species highlighted in red and blue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respectively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and non-significant species shown in grey. </w:t>
      </w:r>
      <w:r w:rsidR="00A0126B" w:rsidRPr="00A0126B">
        <w:rPr>
          <w:lang w:val="en-US"/>
        </w:rPr>
        <w:t xml:space="preserve">Data are from three independent experiments with </w:t>
      </w:r>
      <w:r w:rsidR="00A0126B" w:rsidRPr="00A0126B">
        <w:rPr>
          <w:i/>
          <w:iCs/>
          <w:lang w:val="en-US"/>
        </w:rPr>
        <w:t>n</w:t>
      </w:r>
      <w:r w:rsidR="00A0126B" w:rsidRPr="00A0126B">
        <w:rPr>
          <w:lang w:val="en-US"/>
        </w:rPr>
        <w:t xml:space="preserve">=3. Significance was determined by a two-way ANOVA followed by Tukey’s multiple comparison test in </w:t>
      </w:r>
      <w:r w:rsidR="00A0126B" w:rsidRPr="00A0126B">
        <w:rPr>
          <w:b/>
          <w:bCs/>
          <w:lang w:val="en-US"/>
        </w:rPr>
        <w:t xml:space="preserve">A) </w:t>
      </w:r>
      <w:r w:rsidR="00A0126B" w:rsidRPr="00A0126B">
        <w:rPr>
          <w:lang w:val="en-US"/>
        </w:rPr>
        <w:t>and</w:t>
      </w:r>
      <w:r w:rsidR="00A0126B" w:rsidRPr="00A0126B">
        <w:rPr>
          <w:b/>
          <w:bCs/>
          <w:lang w:val="en-US"/>
        </w:rPr>
        <w:t xml:space="preserve"> </w:t>
      </w:r>
      <w:r w:rsidR="00A0126B" w:rsidRPr="00A0126B">
        <w:rPr>
          <w:lang w:val="en-US"/>
        </w:rPr>
        <w:t xml:space="preserve">a two-tailed Student’s t-test followed by </w:t>
      </w:r>
      <w:proofErr w:type="spellStart"/>
      <w:r w:rsidR="00A0126B" w:rsidRPr="00A0126B">
        <w:rPr>
          <w:lang w:val="en-US"/>
        </w:rPr>
        <w:t>Benjamini</w:t>
      </w:r>
      <w:proofErr w:type="spellEnd"/>
      <w:r w:rsidR="00A0126B" w:rsidRPr="00A0126B">
        <w:rPr>
          <w:lang w:val="en-US"/>
        </w:rPr>
        <w:t xml:space="preserve">–Hochberg FDR correction in </w:t>
      </w:r>
      <w:r w:rsidR="00A0126B" w:rsidRPr="00A0126B">
        <w:rPr>
          <w:b/>
          <w:bCs/>
          <w:lang w:val="en-US"/>
        </w:rPr>
        <w:t>B)</w:t>
      </w:r>
      <w:r w:rsidR="00A0126B" w:rsidRPr="00A0126B">
        <w:rPr>
          <w:lang w:val="en-US"/>
        </w:rPr>
        <w:t>. ns. not significant; *</w:t>
      </w:r>
      <w:r w:rsidR="00A0126B" w:rsidRPr="00A0126B">
        <w:rPr>
          <w:i/>
          <w:iCs/>
          <w:lang w:val="en-US"/>
        </w:rPr>
        <w:t>p</w:t>
      </w:r>
      <w:r w:rsidR="00A0126B" w:rsidRPr="00A0126B">
        <w:rPr>
          <w:lang w:val="en-US"/>
        </w:rPr>
        <w:t>&lt;0.05; **</w:t>
      </w:r>
      <w:r w:rsidR="00A0126B" w:rsidRPr="00A0126B">
        <w:rPr>
          <w:i/>
          <w:iCs/>
          <w:lang w:val="en-US"/>
        </w:rPr>
        <w:t>p</w:t>
      </w:r>
      <w:r w:rsidR="00A0126B" w:rsidRPr="00A0126B">
        <w:rPr>
          <w:lang w:val="en-US"/>
        </w:rPr>
        <w:t>&lt;0.01; ***</w:t>
      </w:r>
      <w:r w:rsidR="00A0126B" w:rsidRPr="00A0126B">
        <w:rPr>
          <w:i/>
          <w:iCs/>
          <w:lang w:val="en-US"/>
        </w:rPr>
        <w:t>p</w:t>
      </w:r>
      <w:r w:rsidR="00A0126B" w:rsidRPr="00A0126B">
        <w:rPr>
          <w:lang w:val="en-US"/>
        </w:rPr>
        <w:t>&lt;0.001 and ****</w:t>
      </w:r>
      <w:r w:rsidR="00A0126B" w:rsidRPr="00A0126B">
        <w:rPr>
          <w:i/>
          <w:iCs/>
          <w:lang w:val="en-US"/>
        </w:rPr>
        <w:t>p</w:t>
      </w:r>
      <w:r w:rsidR="00A0126B" w:rsidRPr="00A0126B">
        <w:rPr>
          <w:lang w:val="en-US"/>
        </w:rPr>
        <w:t xml:space="preserve">&lt;0.0001. </w:t>
      </w:r>
      <w:r w:rsidR="00585EF3" w:rsidRPr="00A0126B">
        <w:rPr>
          <w:b/>
          <w:bCs/>
          <w:lang w:val="en-US"/>
        </w:rPr>
        <w:t>C)</w:t>
      </w:r>
      <w:r w:rsidR="00585EF3" w:rsidRPr="00A0126B">
        <w:rPr>
          <w:lang w:val="en-US"/>
        </w:rPr>
        <w:t xml:space="preserve"> Correlation between cardiolipin (CL) </w:t>
      </w:r>
      <w:r w:rsidR="00585EF3" w:rsidRPr="00A0126B">
        <w:rPr>
          <w:lang w:val="en-US"/>
        </w:rPr>
        <w:lastRenderedPageBreak/>
        <w:t>species and major phospholipid (PL) classes.</w:t>
      </w:r>
      <w:r w:rsidR="00585EF3" w:rsidRPr="00A0126B">
        <w:rPr>
          <w:b/>
          <w:bCs/>
          <w:lang w:val="en-US"/>
        </w:rPr>
        <w:t xml:space="preserve"> </w:t>
      </w:r>
      <w:r w:rsidR="00585EF3" w:rsidRPr="00A0126B">
        <w:rPr>
          <w:lang w:val="en-US"/>
        </w:rPr>
        <w:t>Heatmap showing the correlation coefficients (r) between significantly modulated CL species and phospholipid classes (PC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pPE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pPC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LPC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PE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LPE). Each cell represents the Pearson correlation value between a given CL species (rows) and a PL class (columns)</w:t>
      </w:r>
      <w:r w:rsidR="00A0126B" w:rsidRPr="00A0126B">
        <w:rPr>
          <w:lang w:val="en-US"/>
        </w:rPr>
        <w:t>,</w:t>
      </w:r>
      <w:r w:rsidR="00585EF3" w:rsidRPr="00A0126B">
        <w:rPr>
          <w:lang w:val="en-US"/>
        </w:rPr>
        <w:t xml:space="preserve"> as indicated by the color scale (red: positive correlation; blue: negative correlation). Hierarchical clustering of both CL species and PL classes highlights distinct correlation patterns suggesting coordinated remodeling of mitochondrial and membrane phospholipids.</w:t>
      </w:r>
    </w:p>
    <w:p w14:paraId="2C4187AE" w14:textId="77777777" w:rsidR="00691EB4" w:rsidRDefault="00691EB4" w:rsidP="008602F6">
      <w:pPr>
        <w:spacing w:line="480" w:lineRule="auto"/>
        <w:jc w:val="both"/>
        <w:rPr>
          <w:b/>
          <w:bCs/>
          <w:lang w:val="en-US"/>
        </w:rPr>
      </w:pPr>
    </w:p>
    <w:p w14:paraId="3556CCC9" w14:textId="6D611123" w:rsidR="008602F6" w:rsidRPr="00AB29E7" w:rsidRDefault="008602F6" w:rsidP="008602F6">
      <w:pPr>
        <w:spacing w:line="480" w:lineRule="auto"/>
        <w:jc w:val="both"/>
        <w:rPr>
          <w:lang w:val="en-US"/>
        </w:rPr>
      </w:pPr>
      <w:r w:rsidRPr="008602F6">
        <w:rPr>
          <w:b/>
          <w:bCs/>
          <w:lang w:val="en-US"/>
        </w:rPr>
        <w:t xml:space="preserve">Supplementary Figure </w:t>
      </w:r>
      <w:r w:rsidRPr="00A0126B">
        <w:rPr>
          <w:b/>
          <w:bCs/>
          <w:lang w:val="en-US"/>
        </w:rPr>
        <w:t xml:space="preserve">S5. </w:t>
      </w:r>
      <w:r w:rsidR="00A0126B" w:rsidRPr="00AB29E7">
        <w:rPr>
          <w:b/>
          <w:bCs/>
          <w:lang w:val="en-US"/>
        </w:rPr>
        <w:t xml:space="preserve">Analysis of </w:t>
      </w:r>
      <w:proofErr w:type="spellStart"/>
      <w:r w:rsidR="00A0126B" w:rsidRPr="00AB29E7">
        <w:rPr>
          <w:b/>
          <w:bCs/>
          <w:lang w:val="en-US"/>
        </w:rPr>
        <w:t>mitophagic</w:t>
      </w:r>
      <w:proofErr w:type="spellEnd"/>
      <w:r w:rsidR="00A0126B" w:rsidRPr="00AB29E7">
        <w:rPr>
          <w:b/>
          <w:bCs/>
          <w:lang w:val="en-US"/>
        </w:rPr>
        <w:t xml:space="preserve"> flux and autophagy markers in HeLa WT and APLR cells. A</w:t>
      </w:r>
      <w:r w:rsidRPr="008602F6">
        <w:rPr>
          <w:b/>
          <w:bCs/>
          <w:lang w:val="en-US"/>
        </w:rPr>
        <w:t xml:space="preserve">) </w:t>
      </w:r>
      <w:r w:rsidRPr="008602F6">
        <w:rPr>
          <w:lang w:val="en-US"/>
        </w:rPr>
        <w:t xml:space="preserve">Flow cytometry analysis of the pH-dependent spectral shift of </w:t>
      </w:r>
      <w:proofErr w:type="spellStart"/>
      <w:r w:rsidRPr="008602F6">
        <w:rPr>
          <w:lang w:val="en-US"/>
        </w:rPr>
        <w:t>mt-mKeima</w:t>
      </w:r>
      <w:proofErr w:type="spellEnd"/>
      <w:r w:rsidRPr="008602F6">
        <w:rPr>
          <w:lang w:val="en-US"/>
        </w:rPr>
        <w:t xml:space="preserve"> Red Parkin2.</w:t>
      </w:r>
      <w:r w:rsidRPr="008602F6">
        <w:rPr>
          <w:b/>
          <w:bCs/>
          <w:lang w:val="en-US"/>
        </w:rPr>
        <w:t xml:space="preserve"> </w:t>
      </w:r>
      <w:r w:rsidRPr="008602F6">
        <w:rPr>
          <w:lang w:val="en-US"/>
        </w:rPr>
        <w:t xml:space="preserve">After 24h. </w:t>
      </w:r>
      <w:proofErr w:type="spellStart"/>
      <w:r w:rsidRPr="008602F6">
        <w:rPr>
          <w:lang w:val="en-US"/>
        </w:rPr>
        <w:t>mt-mKeima</w:t>
      </w:r>
      <w:proofErr w:type="spellEnd"/>
      <w:r w:rsidRPr="008602F6">
        <w:rPr>
          <w:lang w:val="en-US"/>
        </w:rPr>
        <w:t xml:space="preserve"> Red Parkin2 plasmid-transfected HeLa WT and APLR cells were treated with vehicle. 10 µM FCCP or 450 </w:t>
      </w:r>
      <w:proofErr w:type="spellStart"/>
      <w:r w:rsidRPr="008602F6">
        <w:rPr>
          <w:lang w:val="en-US"/>
        </w:rPr>
        <w:t>nM</w:t>
      </w:r>
      <w:proofErr w:type="spellEnd"/>
      <w:r w:rsidRPr="008602F6">
        <w:rPr>
          <w:lang w:val="en-US"/>
        </w:rPr>
        <w:t xml:space="preserve"> APL with or without co-treatment with 100 </w:t>
      </w:r>
      <w:proofErr w:type="spellStart"/>
      <w:r w:rsidRPr="008602F6">
        <w:rPr>
          <w:lang w:val="en-US"/>
        </w:rPr>
        <w:t>nM</w:t>
      </w:r>
      <w:proofErr w:type="spellEnd"/>
      <w:r w:rsidRPr="008602F6">
        <w:rPr>
          <w:lang w:val="en-US"/>
        </w:rPr>
        <w:t xml:space="preserve"> </w:t>
      </w:r>
      <w:proofErr w:type="spellStart"/>
      <w:r w:rsidRPr="008602F6">
        <w:rPr>
          <w:lang w:val="en-US"/>
        </w:rPr>
        <w:t>Bafilomycin</w:t>
      </w:r>
      <w:proofErr w:type="spellEnd"/>
      <w:r w:rsidRPr="008602F6">
        <w:rPr>
          <w:lang w:val="en-US"/>
        </w:rPr>
        <w:t xml:space="preserve"> A1 (BafA1) for 3h. 6h and 24h. </w:t>
      </w:r>
      <w:proofErr w:type="spellStart"/>
      <w:r w:rsidRPr="008602F6">
        <w:rPr>
          <w:lang w:val="en-US"/>
        </w:rPr>
        <w:t>Mitophagic</w:t>
      </w:r>
      <w:proofErr w:type="spellEnd"/>
      <w:r w:rsidRPr="008602F6">
        <w:rPr>
          <w:lang w:val="en-US"/>
        </w:rPr>
        <w:t xml:space="preserve"> flux was assessed by flow cytometry. Values shown in the upper gate indicate the percentage of cells with high levels of mitophagy.</w:t>
      </w:r>
      <w:r>
        <w:rPr>
          <w:lang w:val="en-US"/>
        </w:rPr>
        <w:t xml:space="preserve"> </w:t>
      </w:r>
      <w:r w:rsidRPr="008602F6">
        <w:rPr>
          <w:b/>
          <w:bCs/>
          <w:lang w:val="en-US"/>
        </w:rPr>
        <w:t xml:space="preserve">B) </w:t>
      </w:r>
      <w:r w:rsidRPr="008602F6">
        <w:rPr>
          <w:lang w:val="en-US"/>
        </w:rPr>
        <w:t xml:space="preserve">Quantification of the protein expressions of the key players of autophagy in HeLa WT and APLR cells. Densitometric quantification of western blot obtained in </w:t>
      </w:r>
      <w:r w:rsidRPr="008602F6">
        <w:rPr>
          <w:b/>
          <w:bCs/>
          <w:lang w:val="en-US"/>
        </w:rPr>
        <w:t>Figure 5C)</w:t>
      </w:r>
      <w:r w:rsidRPr="008602F6">
        <w:rPr>
          <w:lang w:val="en-US"/>
        </w:rPr>
        <w:t>. Data are expressed as mean fold induction of three independent experiments. Significance was determined by a one-way ANOVA followed by Tukey’s multiple comparison test. ns. not significant; 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>&lt;0.05; **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>&lt;0.01 and ***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 xml:space="preserve">&lt;0.001. </w:t>
      </w:r>
    </w:p>
    <w:p w14:paraId="17528DD3" w14:textId="7CD5B71E" w:rsidR="00865C19" w:rsidRDefault="00865C19" w:rsidP="00DB1B7D">
      <w:pPr>
        <w:spacing w:line="480" w:lineRule="auto"/>
        <w:jc w:val="both"/>
        <w:rPr>
          <w:lang w:val="en-US"/>
        </w:rPr>
      </w:pPr>
    </w:p>
    <w:p w14:paraId="6F0A95D3" w14:textId="2A0319D8" w:rsidR="008602F6" w:rsidRDefault="008602F6" w:rsidP="008602F6">
      <w:pPr>
        <w:spacing w:line="480" w:lineRule="auto"/>
        <w:jc w:val="both"/>
        <w:rPr>
          <w:lang w:val="en-US"/>
        </w:rPr>
      </w:pPr>
      <w:r w:rsidRPr="008602F6">
        <w:rPr>
          <w:b/>
          <w:bCs/>
          <w:lang w:val="en-US"/>
        </w:rPr>
        <w:t xml:space="preserve">Supplementary Figure S6. </w:t>
      </w:r>
      <w:r w:rsidRPr="008602F6">
        <w:rPr>
          <w:lang w:val="en-US"/>
        </w:rPr>
        <w:t xml:space="preserve">Densitometric quantification of western blot obtained in </w:t>
      </w:r>
      <w:r w:rsidRPr="008602F6">
        <w:rPr>
          <w:b/>
          <w:bCs/>
          <w:lang w:val="en-US"/>
        </w:rPr>
        <w:t xml:space="preserve">Figure 6E). </w:t>
      </w:r>
      <w:r w:rsidRPr="008602F6">
        <w:rPr>
          <w:lang w:val="en-US"/>
        </w:rPr>
        <w:t>Data are expressed as mean fold induction from three independent experiments. Significance was determined by a two-way ANOVA followed by Tukey’s multiple comparison test. ns. not significant; 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>&lt;0.05; **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>&lt;0.01; and ****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 xml:space="preserve">&lt;0.0001. </w:t>
      </w:r>
    </w:p>
    <w:p w14:paraId="334F15AA" w14:textId="77777777" w:rsidR="00AB29E7" w:rsidRPr="00AB29E7" w:rsidRDefault="00AB29E7" w:rsidP="008602F6">
      <w:pPr>
        <w:spacing w:line="480" w:lineRule="auto"/>
        <w:jc w:val="both"/>
        <w:rPr>
          <w:lang w:val="en-US"/>
        </w:rPr>
      </w:pPr>
    </w:p>
    <w:p w14:paraId="25CFE587" w14:textId="40C198B9" w:rsidR="008602F6" w:rsidRPr="00AB29E7" w:rsidRDefault="008602F6" w:rsidP="008602F6">
      <w:pPr>
        <w:spacing w:line="480" w:lineRule="auto"/>
        <w:jc w:val="both"/>
        <w:rPr>
          <w:lang w:val="en-US"/>
        </w:rPr>
      </w:pPr>
      <w:r w:rsidRPr="008602F6">
        <w:rPr>
          <w:b/>
          <w:bCs/>
          <w:lang w:val="en-US"/>
        </w:rPr>
        <w:lastRenderedPageBreak/>
        <w:t xml:space="preserve">Supplementary Figure S7. </w:t>
      </w:r>
      <w:r w:rsidRPr="008602F6">
        <w:rPr>
          <w:lang w:val="en-US"/>
        </w:rPr>
        <w:t xml:space="preserve">Densitometric quantification of western blot obtained in </w:t>
      </w:r>
      <w:r w:rsidRPr="008602F6">
        <w:rPr>
          <w:b/>
          <w:bCs/>
          <w:lang w:val="en-US"/>
        </w:rPr>
        <w:t xml:space="preserve">Figure 7F). </w:t>
      </w:r>
      <w:r w:rsidRPr="008602F6">
        <w:rPr>
          <w:lang w:val="en-US"/>
        </w:rPr>
        <w:t>Data are expressed as mean fold induction from n=10 sample per group. Significance was determined by a two-way ANOVA followed by Tukey’s multiple comparison test. ns. not significant; 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>&lt;0.05; **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>&lt;0.01; and ****</w:t>
      </w:r>
      <w:r w:rsidRPr="008602F6">
        <w:rPr>
          <w:i/>
          <w:iCs/>
          <w:lang w:val="en-US"/>
        </w:rPr>
        <w:t>p</w:t>
      </w:r>
      <w:r w:rsidRPr="008602F6">
        <w:rPr>
          <w:lang w:val="en-US"/>
        </w:rPr>
        <w:t xml:space="preserve">&lt;0.0001. </w:t>
      </w:r>
    </w:p>
    <w:p w14:paraId="4B01CEEA" w14:textId="1F21A462" w:rsidR="00B52100" w:rsidRDefault="00B52100" w:rsidP="00DB1B7D">
      <w:pPr>
        <w:spacing w:line="480" w:lineRule="auto"/>
        <w:jc w:val="both"/>
        <w:rPr>
          <w:lang w:val="en-US"/>
        </w:rPr>
      </w:pPr>
    </w:p>
    <w:p w14:paraId="68AC0D67" w14:textId="4FFA674A" w:rsidR="00C5198D" w:rsidRDefault="00C5198D" w:rsidP="00DB1B7D">
      <w:pPr>
        <w:spacing w:line="480" w:lineRule="auto"/>
        <w:jc w:val="both"/>
        <w:rPr>
          <w:lang w:val="en-US"/>
        </w:rPr>
      </w:pPr>
    </w:p>
    <w:p w14:paraId="54596D2E" w14:textId="6B9CF729" w:rsidR="00C5198D" w:rsidRDefault="00C5198D" w:rsidP="00DB1B7D">
      <w:pPr>
        <w:spacing w:line="480" w:lineRule="auto"/>
        <w:jc w:val="both"/>
        <w:rPr>
          <w:lang w:val="en-US"/>
        </w:rPr>
      </w:pPr>
    </w:p>
    <w:p w14:paraId="7FC2DCDF" w14:textId="4B54B839" w:rsidR="00C5198D" w:rsidRDefault="00C5198D" w:rsidP="00DB1B7D">
      <w:pPr>
        <w:spacing w:line="480" w:lineRule="auto"/>
        <w:jc w:val="both"/>
        <w:rPr>
          <w:lang w:val="en-US"/>
        </w:rPr>
      </w:pPr>
    </w:p>
    <w:p w14:paraId="0C2C43BE" w14:textId="6B0FA6D0" w:rsidR="00C5198D" w:rsidRDefault="00C5198D" w:rsidP="00DB1B7D">
      <w:pPr>
        <w:spacing w:line="480" w:lineRule="auto"/>
        <w:jc w:val="both"/>
        <w:rPr>
          <w:lang w:val="en-US"/>
        </w:rPr>
      </w:pPr>
    </w:p>
    <w:p w14:paraId="527F6635" w14:textId="581DE033" w:rsidR="00C5198D" w:rsidRDefault="00C5198D" w:rsidP="00DB1B7D">
      <w:pPr>
        <w:spacing w:line="480" w:lineRule="auto"/>
        <w:jc w:val="both"/>
        <w:rPr>
          <w:lang w:val="en-US"/>
        </w:rPr>
      </w:pPr>
    </w:p>
    <w:p w14:paraId="0D2EE018" w14:textId="4BC83BB9" w:rsidR="00C5198D" w:rsidRDefault="00C5198D" w:rsidP="00DB1B7D">
      <w:pPr>
        <w:spacing w:line="480" w:lineRule="auto"/>
        <w:jc w:val="both"/>
        <w:rPr>
          <w:lang w:val="en-US"/>
        </w:rPr>
      </w:pPr>
    </w:p>
    <w:p w14:paraId="5BA80D6F" w14:textId="1A89CA9E" w:rsidR="00C5198D" w:rsidRDefault="00C5198D" w:rsidP="00DB1B7D">
      <w:pPr>
        <w:spacing w:line="480" w:lineRule="auto"/>
        <w:jc w:val="both"/>
        <w:rPr>
          <w:lang w:val="en-US"/>
        </w:rPr>
      </w:pPr>
    </w:p>
    <w:p w14:paraId="332ECB31" w14:textId="66092149" w:rsidR="00C5198D" w:rsidRDefault="00C5198D" w:rsidP="00DB1B7D">
      <w:pPr>
        <w:spacing w:line="480" w:lineRule="auto"/>
        <w:jc w:val="both"/>
        <w:rPr>
          <w:lang w:val="en-US"/>
        </w:rPr>
      </w:pPr>
    </w:p>
    <w:p w14:paraId="074EE99B" w14:textId="32D22F1D" w:rsidR="00C5198D" w:rsidRDefault="00C5198D" w:rsidP="00DB1B7D">
      <w:pPr>
        <w:spacing w:line="480" w:lineRule="auto"/>
        <w:jc w:val="both"/>
        <w:rPr>
          <w:lang w:val="en-US"/>
        </w:rPr>
      </w:pPr>
    </w:p>
    <w:p w14:paraId="44662EAC" w14:textId="73149DBC" w:rsidR="00C5198D" w:rsidRDefault="00C5198D" w:rsidP="00DB1B7D">
      <w:pPr>
        <w:spacing w:line="480" w:lineRule="auto"/>
        <w:jc w:val="both"/>
        <w:rPr>
          <w:lang w:val="en-US"/>
        </w:rPr>
      </w:pPr>
    </w:p>
    <w:p w14:paraId="78F42337" w14:textId="23A7C301" w:rsidR="00C5198D" w:rsidRDefault="00C5198D" w:rsidP="00DB1B7D">
      <w:pPr>
        <w:spacing w:line="480" w:lineRule="auto"/>
        <w:jc w:val="both"/>
        <w:rPr>
          <w:lang w:val="en-US"/>
        </w:rPr>
      </w:pPr>
    </w:p>
    <w:p w14:paraId="75F0CAD6" w14:textId="5EB7245F" w:rsidR="00C5198D" w:rsidRDefault="00C5198D" w:rsidP="00DB1B7D">
      <w:pPr>
        <w:spacing w:line="480" w:lineRule="auto"/>
        <w:jc w:val="both"/>
        <w:rPr>
          <w:lang w:val="en-US"/>
        </w:rPr>
      </w:pPr>
    </w:p>
    <w:p w14:paraId="32FB3D75" w14:textId="77777777" w:rsidR="00C5198D" w:rsidRDefault="00C5198D" w:rsidP="00DB1B7D">
      <w:pPr>
        <w:spacing w:line="480" w:lineRule="auto"/>
        <w:jc w:val="both"/>
        <w:rPr>
          <w:lang w:val="en-US"/>
        </w:rPr>
      </w:pPr>
    </w:p>
    <w:p w14:paraId="0702E346" w14:textId="0AB70062" w:rsidR="00B52100" w:rsidRDefault="00B52100" w:rsidP="00DB1B7D">
      <w:pPr>
        <w:spacing w:line="480" w:lineRule="auto"/>
        <w:jc w:val="both"/>
        <w:rPr>
          <w:lang w:val="en-US"/>
        </w:rPr>
      </w:pPr>
    </w:p>
    <w:p w14:paraId="448F8647" w14:textId="5156EC44" w:rsidR="00865C19" w:rsidRDefault="00865C19" w:rsidP="00DB1B7D">
      <w:pPr>
        <w:spacing w:line="480" w:lineRule="auto"/>
        <w:jc w:val="both"/>
        <w:rPr>
          <w:lang w:val="en-US"/>
        </w:rPr>
      </w:pPr>
    </w:p>
    <w:bookmarkEnd w:id="3"/>
    <w:p w14:paraId="0EB2CB44" w14:textId="049F99AC" w:rsidR="00865C19" w:rsidRDefault="00865C19" w:rsidP="00DB1B7D">
      <w:pPr>
        <w:spacing w:line="480" w:lineRule="auto"/>
        <w:jc w:val="both"/>
        <w:rPr>
          <w:lang w:val="en-US"/>
        </w:rPr>
      </w:pPr>
    </w:p>
    <w:sectPr w:rsidR="00865C19" w:rsidSect="00DB1B7D">
      <w:footerReference w:type="default" r:id="rId7"/>
      <w:pgSz w:w="11906" w:h="16838"/>
      <w:pgMar w:top="1417" w:right="1417" w:bottom="1417" w:left="1417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8C07" w14:textId="77777777" w:rsidR="00467C08" w:rsidRDefault="00467C08" w:rsidP="00DB1B7D">
      <w:pPr>
        <w:spacing w:after="0" w:line="240" w:lineRule="auto"/>
      </w:pPr>
      <w:r>
        <w:separator/>
      </w:r>
    </w:p>
  </w:endnote>
  <w:endnote w:type="continuationSeparator" w:id="0">
    <w:p w14:paraId="52C32BE6" w14:textId="77777777" w:rsidR="00467C08" w:rsidRDefault="00467C08" w:rsidP="00DB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954653"/>
      <w:docPartObj>
        <w:docPartGallery w:val="Page Numbers (Bottom of Page)"/>
        <w:docPartUnique/>
      </w:docPartObj>
    </w:sdtPr>
    <w:sdtEndPr/>
    <w:sdtContent>
      <w:p w14:paraId="7904A54D" w14:textId="56131D48" w:rsidR="00DB1B7D" w:rsidRDefault="00DB1B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AB7">
          <w:rPr>
            <w:noProof/>
          </w:rPr>
          <w:t>5</w:t>
        </w:r>
        <w:r>
          <w:fldChar w:fldCharType="end"/>
        </w:r>
      </w:p>
    </w:sdtContent>
  </w:sdt>
  <w:p w14:paraId="55F4F560" w14:textId="77777777" w:rsidR="00DB1B7D" w:rsidRDefault="00DB1B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0944B" w14:textId="77777777" w:rsidR="00467C08" w:rsidRDefault="00467C08" w:rsidP="00DB1B7D">
      <w:pPr>
        <w:spacing w:after="0" w:line="240" w:lineRule="auto"/>
      </w:pPr>
      <w:r>
        <w:separator/>
      </w:r>
    </w:p>
  </w:footnote>
  <w:footnote w:type="continuationSeparator" w:id="0">
    <w:p w14:paraId="280E6E5D" w14:textId="77777777" w:rsidR="00467C08" w:rsidRDefault="00467C08" w:rsidP="00DB1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FE"/>
    <w:rsid w:val="000945C2"/>
    <w:rsid w:val="00116F35"/>
    <w:rsid w:val="00124ED7"/>
    <w:rsid w:val="0018594C"/>
    <w:rsid w:val="001C1DA7"/>
    <w:rsid w:val="001F73E2"/>
    <w:rsid w:val="0024574E"/>
    <w:rsid w:val="002467F8"/>
    <w:rsid w:val="00287748"/>
    <w:rsid w:val="002C1947"/>
    <w:rsid w:val="002D3D6F"/>
    <w:rsid w:val="00306410"/>
    <w:rsid w:val="003D05ED"/>
    <w:rsid w:val="003F0953"/>
    <w:rsid w:val="00424354"/>
    <w:rsid w:val="004353E7"/>
    <w:rsid w:val="00467C08"/>
    <w:rsid w:val="004E7154"/>
    <w:rsid w:val="00562766"/>
    <w:rsid w:val="00585EF3"/>
    <w:rsid w:val="005C7246"/>
    <w:rsid w:val="005E593C"/>
    <w:rsid w:val="005F1AB7"/>
    <w:rsid w:val="00626123"/>
    <w:rsid w:val="006524E4"/>
    <w:rsid w:val="006742BD"/>
    <w:rsid w:val="00684884"/>
    <w:rsid w:val="006873F1"/>
    <w:rsid w:val="00691EB4"/>
    <w:rsid w:val="006D542B"/>
    <w:rsid w:val="00721412"/>
    <w:rsid w:val="00743073"/>
    <w:rsid w:val="00767E04"/>
    <w:rsid w:val="00771E46"/>
    <w:rsid w:val="00776F4B"/>
    <w:rsid w:val="007D1FD1"/>
    <w:rsid w:val="00854CF7"/>
    <w:rsid w:val="00856A4A"/>
    <w:rsid w:val="008602F6"/>
    <w:rsid w:val="00865C19"/>
    <w:rsid w:val="00866CBF"/>
    <w:rsid w:val="00867DBB"/>
    <w:rsid w:val="00882589"/>
    <w:rsid w:val="00903094"/>
    <w:rsid w:val="00914157"/>
    <w:rsid w:val="00935776"/>
    <w:rsid w:val="009E635D"/>
    <w:rsid w:val="00A0126B"/>
    <w:rsid w:val="00A24E4D"/>
    <w:rsid w:val="00AB29E7"/>
    <w:rsid w:val="00AD1587"/>
    <w:rsid w:val="00AF4966"/>
    <w:rsid w:val="00AF642E"/>
    <w:rsid w:val="00B52100"/>
    <w:rsid w:val="00B859BC"/>
    <w:rsid w:val="00C12F5E"/>
    <w:rsid w:val="00C162A3"/>
    <w:rsid w:val="00C31EC3"/>
    <w:rsid w:val="00C36F8F"/>
    <w:rsid w:val="00C5198D"/>
    <w:rsid w:val="00CB3818"/>
    <w:rsid w:val="00CF6EE4"/>
    <w:rsid w:val="00CF7614"/>
    <w:rsid w:val="00D01CFE"/>
    <w:rsid w:val="00D1386D"/>
    <w:rsid w:val="00D450C0"/>
    <w:rsid w:val="00D86724"/>
    <w:rsid w:val="00DB1B7D"/>
    <w:rsid w:val="00EB726E"/>
    <w:rsid w:val="00EE4144"/>
    <w:rsid w:val="00EF18E2"/>
    <w:rsid w:val="00F12458"/>
    <w:rsid w:val="00F65752"/>
    <w:rsid w:val="00FA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5886"/>
  <w15:chartTrackingRefBased/>
  <w15:docId w15:val="{4911F603-BB3B-458B-9854-C551645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B1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B7D"/>
  </w:style>
  <w:style w:type="paragraph" w:styleId="Pieddepage">
    <w:name w:val="footer"/>
    <w:basedOn w:val="Normal"/>
    <w:link w:val="PieddepageCar"/>
    <w:uiPriority w:val="99"/>
    <w:unhideWhenUsed/>
    <w:rsid w:val="00DB1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B7D"/>
  </w:style>
  <w:style w:type="character" w:styleId="Numrodeligne">
    <w:name w:val="line number"/>
    <w:basedOn w:val="Policepardfaut"/>
    <w:uiPriority w:val="99"/>
    <w:semiHidden/>
    <w:unhideWhenUsed/>
    <w:rsid w:val="00DB1B7D"/>
  </w:style>
  <w:style w:type="paragraph" w:styleId="NormalWeb">
    <w:name w:val="Normal (Web)"/>
    <w:basedOn w:val="Normal"/>
    <w:uiPriority w:val="99"/>
    <w:semiHidden/>
    <w:unhideWhenUsed/>
    <w:rsid w:val="001C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657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5752"/>
    <w:pPr>
      <w:spacing w:line="240" w:lineRule="auto"/>
    </w:pPr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5752"/>
    <w:rPr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F6575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1"/>
    <w:unhideWhenUsed/>
    <w:rsid w:val="00F6575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CorpsdetexteCar">
    <w:name w:val="Corps de texte Car"/>
    <w:basedOn w:val="Policepardfaut"/>
    <w:uiPriority w:val="99"/>
    <w:semiHidden/>
    <w:rsid w:val="00F65752"/>
  </w:style>
  <w:style w:type="character" w:customStyle="1" w:styleId="CorpsdetexteCar1">
    <w:name w:val="Corps de texte Car1"/>
    <w:link w:val="Corpsdetexte"/>
    <w:locked/>
    <w:rsid w:val="00F65752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que.delmas@u-bourgogn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Office_2021_Fr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Mialhe</dc:creator>
  <cp:keywords/>
  <dc:description/>
  <cp:lastModifiedBy>Delmas</cp:lastModifiedBy>
  <cp:revision>26</cp:revision>
  <dcterms:created xsi:type="dcterms:W3CDTF">2026-01-14T14:31:00Z</dcterms:created>
  <dcterms:modified xsi:type="dcterms:W3CDTF">2026-01-14T17:44:00Z</dcterms:modified>
</cp:coreProperties>
</file>