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BF19F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after="0" w:line="240" w:lineRule="auto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Title: 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Slingshot-1 (SSH1) phosphatase Controls Cytoskeletal Remodeling, Integrin conformation and Metabolic Reprogramming During CD4 T Cell Activation</w:t>
      </w:r>
    </w:p>
    <w:p w14:paraId="0E111657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</w:p>
    <w:p w14:paraId="4092B636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38" w:right="215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proofErr w:type="spellStart"/>
      <w:r w:rsidRPr="00A303D6">
        <w:rPr>
          <w:rFonts w:eastAsia="Times New Roman"/>
          <w:b/>
          <w:kern w:val="0"/>
          <w:sz w:val="24"/>
          <w:szCs w:val="24"/>
          <w:lang w:eastAsia="es-ES"/>
          <w14:ligatures w14:val="none"/>
        </w:rPr>
        <w:t>Authors</w:t>
      </w:r>
      <w:proofErr w:type="spellEnd"/>
      <w:r w:rsidRPr="00A303D6">
        <w:rPr>
          <w:rFonts w:eastAsia="Times New Roman"/>
          <w:b/>
          <w:kern w:val="0"/>
          <w:sz w:val="24"/>
          <w:szCs w:val="24"/>
          <w:lang w:eastAsia="es-ES"/>
          <w14:ligatures w14:val="none"/>
        </w:rPr>
        <w:t xml:space="preserve">: 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Álvaro Gómez-Morón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1,2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Marta Lozano-Prieto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1,3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Camila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Scagnetti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1,4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Carlos Carrasco-Padilla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2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Lidia Marín-Algeciras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Óscar Aguilar-Sopeña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2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Francisco Sánchez-Madrid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1,3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Pedro Roda-Navarro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2, #,*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and Noa Beatriz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 xml:space="preserve"> 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Martín-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Cófreces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1,3,4, #,*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</w:p>
    <w:p w14:paraId="57650EB5" w14:textId="77777777" w:rsidR="00A303D6" w:rsidRPr="00A303D6" w:rsidRDefault="00A303D6" w:rsidP="00A303D6">
      <w:pPr>
        <w:widowControl w:val="0"/>
        <w:spacing w:after="0" w:line="240" w:lineRule="auto"/>
        <w:ind w:left="338" w:firstLine="338"/>
        <w:jc w:val="both"/>
        <w:outlineLvl w:val="0"/>
        <w:rPr>
          <w:rFonts w:eastAsia="Times New Roman"/>
          <w:b/>
          <w:kern w:val="0"/>
          <w:sz w:val="24"/>
          <w:szCs w:val="24"/>
          <w:lang w:eastAsia="es-ES"/>
          <w14:ligatures w14:val="none"/>
        </w:rPr>
      </w:pPr>
      <w:proofErr w:type="spellStart"/>
      <w:r w:rsidRPr="00A303D6">
        <w:rPr>
          <w:rFonts w:eastAsia="Times New Roman"/>
          <w:b/>
          <w:kern w:val="0"/>
          <w:sz w:val="24"/>
          <w:szCs w:val="24"/>
          <w:lang w:eastAsia="es-ES"/>
          <w14:ligatures w14:val="none"/>
        </w:rPr>
        <w:t>Affiliations</w:t>
      </w:r>
      <w:proofErr w:type="spellEnd"/>
    </w:p>
    <w:p w14:paraId="5AF20E78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after="0" w:line="276" w:lineRule="auto"/>
        <w:ind w:left="284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1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Immunology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Service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Instituto de Investigación Sanitaria del Hospital Universitario La Princesa, IIS- Princesa, UAM. 28006 Madrid,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Spain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</w:p>
    <w:p w14:paraId="1321EDD5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after="0" w:line="276" w:lineRule="auto"/>
        <w:ind w:left="284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val="en-US" w:eastAsia="es-ES"/>
          <w14:ligatures w14:val="none"/>
        </w:rPr>
        <w:t xml:space="preserve">2 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Department of Immunology, Ophthalmology and ENT, School of Medicine, Universidad Complutense de Madrid and </w:t>
      </w:r>
      <w:r w:rsidRPr="00A303D6">
        <w:rPr>
          <w:rFonts w:eastAsia="Times New Roman"/>
          <w:kern w:val="0"/>
          <w:sz w:val="24"/>
          <w:szCs w:val="24"/>
          <w:lang w:val="en-GB" w:eastAsia="es-ES"/>
          <w14:ligatures w14:val="none"/>
        </w:rPr>
        <w:t xml:space="preserve">12 de </w:t>
      </w:r>
      <w:proofErr w:type="spellStart"/>
      <w:r w:rsidRPr="00A303D6">
        <w:rPr>
          <w:rFonts w:eastAsia="Times New Roman"/>
          <w:kern w:val="0"/>
          <w:sz w:val="24"/>
          <w:szCs w:val="24"/>
          <w:lang w:val="en-GB" w:eastAsia="es-ES"/>
          <w14:ligatures w14:val="none"/>
        </w:rPr>
        <w:t>Octubre</w:t>
      </w:r>
      <w:proofErr w:type="spellEnd"/>
      <w:r w:rsidRPr="00A303D6">
        <w:rPr>
          <w:rFonts w:eastAsia="Times New Roman"/>
          <w:kern w:val="0"/>
          <w:sz w:val="24"/>
          <w:szCs w:val="24"/>
          <w:lang w:val="en-GB" w:eastAsia="es-ES"/>
          <w14:ligatures w14:val="none"/>
        </w:rPr>
        <w:t xml:space="preserve"> Health Research Institute (imas12), 28040. 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Madrid,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Spain</w:t>
      </w:r>
      <w:proofErr w:type="spellEnd"/>
    </w:p>
    <w:p w14:paraId="17ADCEDC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right="363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3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CIBER de Enfermedades Cardiovasculares (CIBERCV), Madrid,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Spain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.</w:t>
      </w:r>
    </w:p>
    <w:p w14:paraId="01E59688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right="363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eastAsia="es-ES"/>
          <w14:ligatures w14:val="none"/>
        </w:rPr>
        <w:t>4</w:t>
      </w: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Videomicroscopy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Unit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, Instituto de Investigación Sanitaria del Hospital Universitario La Princesa, IIS-Princesa, UAM. 28006 Madrid,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Spain</w:t>
      </w:r>
      <w:proofErr w:type="spellEnd"/>
    </w:p>
    <w:p w14:paraId="5FCC9341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after="0" w:line="276" w:lineRule="auto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</w:p>
    <w:p w14:paraId="463A1921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after="0" w:line="276" w:lineRule="auto"/>
        <w:ind w:left="33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val="en-GB" w:eastAsia="es-ES"/>
          <w14:ligatures w14:val="none"/>
        </w:rPr>
        <w:t xml:space="preserve"># 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These authors jointly supervised the work</w:t>
      </w:r>
    </w:p>
    <w:p w14:paraId="3DE2E2C7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after="0" w:line="276" w:lineRule="auto"/>
        <w:ind w:left="33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vertAlign w:val="superscript"/>
          <w:lang w:val="en-US" w:eastAsia="es-ES"/>
          <w14:ligatures w14:val="none"/>
        </w:rPr>
        <w:t>*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Corresponding authors: </w:t>
      </w:r>
      <w:hyperlink r:id="rId4">
        <w:r w:rsidRPr="00A303D6">
          <w:rPr>
            <w:rFonts w:eastAsia="Times New Roman"/>
            <w:kern w:val="0"/>
            <w:sz w:val="24"/>
            <w:szCs w:val="24"/>
            <w:u w:val="single"/>
            <w:lang w:val="en-US" w:eastAsia="es-ES"/>
            <w14:ligatures w14:val="none"/>
          </w:rPr>
          <w:t>noa.martin@salud.madrid.org</w:t>
        </w:r>
      </w:hyperlink>
      <w:hyperlink r:id="rId5">
        <w:r w:rsidRPr="00A303D6">
          <w:rPr>
            <w:rFonts w:eastAsia="Times New Roman"/>
            <w:kern w:val="0"/>
            <w:sz w:val="24"/>
            <w:szCs w:val="24"/>
            <w:lang w:val="en-US" w:eastAsia="es-ES"/>
            <w14:ligatures w14:val="none"/>
          </w:rPr>
          <w:t xml:space="preserve">, </w:t>
        </w:r>
      </w:hyperlink>
      <w:hyperlink r:id="rId6">
        <w:r w:rsidRPr="00A303D6">
          <w:rPr>
            <w:rFonts w:eastAsia="Times New Roman"/>
            <w:kern w:val="0"/>
            <w:sz w:val="24"/>
            <w:szCs w:val="24"/>
            <w:u w:val="single"/>
            <w:lang w:val="en-US" w:eastAsia="es-ES"/>
            <w14:ligatures w14:val="none"/>
          </w:rPr>
          <w:t>proda@ucm.es</w:t>
        </w:r>
      </w:hyperlink>
    </w:p>
    <w:p w14:paraId="4422B353" w14:textId="77777777" w:rsidR="00A303D6" w:rsidRPr="00A303D6" w:rsidRDefault="00A303D6" w:rsidP="00A303D6">
      <w:pPr>
        <w:pBdr>
          <w:top w:val="nil"/>
          <w:left w:val="nil"/>
          <w:bottom w:val="nil"/>
          <w:right w:val="nil"/>
          <w:between w:val="nil"/>
        </w:pBdr>
        <w:spacing w:before="92" w:after="0" w:line="240" w:lineRule="auto"/>
        <w:ind w:left="338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Address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:</w:t>
      </w:r>
    </w:p>
    <w:p w14:paraId="0246587D" w14:textId="77777777" w:rsidR="00A303D6" w:rsidRPr="00A303D6" w:rsidRDefault="00A303D6" w:rsidP="00A303D6">
      <w:pPr>
        <w:widowControl w:val="0"/>
        <w:spacing w:before="126" w:after="0" w:line="240" w:lineRule="auto"/>
        <w:ind w:left="338" w:right="537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Noa Beatriz Martín-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Cófreces</w:t>
      </w:r>
      <w:proofErr w:type="spellEnd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 </w:t>
      </w:r>
    </w:p>
    <w:p w14:paraId="5FBD6503" w14:textId="77777777" w:rsidR="00A303D6" w:rsidRPr="00A303D6" w:rsidRDefault="00A303D6" w:rsidP="00A303D6">
      <w:pPr>
        <w:widowControl w:val="0"/>
        <w:spacing w:before="126" w:after="0" w:line="240" w:lineRule="auto"/>
        <w:ind w:left="338" w:right="537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Instituto de Investigación Sanitaria del Hospital Universitario La Princesa (IIS-Princesa)</w:t>
      </w:r>
    </w:p>
    <w:p w14:paraId="7FD9075E" w14:textId="77777777" w:rsidR="00A303D6" w:rsidRPr="00A303D6" w:rsidRDefault="00A303D6" w:rsidP="00A303D6">
      <w:pPr>
        <w:widowControl w:val="0"/>
        <w:spacing w:before="126" w:after="0" w:line="240" w:lineRule="auto"/>
        <w:ind w:left="338" w:right="537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Servicio de Inmunología, Planta 1ª</w:t>
      </w:r>
    </w:p>
    <w:p w14:paraId="43FCABD7" w14:textId="77777777" w:rsidR="00A303D6" w:rsidRPr="00A303D6" w:rsidRDefault="00A303D6" w:rsidP="00A303D6">
      <w:pPr>
        <w:widowControl w:val="0"/>
        <w:spacing w:after="0" w:line="240" w:lineRule="auto"/>
        <w:ind w:left="338"/>
        <w:jc w:val="both"/>
        <w:rPr>
          <w:rFonts w:eastAsia="Times New Roman"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Hospital Universitario de La Princesa</w:t>
      </w:r>
    </w:p>
    <w:p w14:paraId="4F593956" w14:textId="77777777" w:rsidR="00A303D6" w:rsidRPr="00A303D6" w:rsidRDefault="00A303D6" w:rsidP="00A303D6">
      <w:pPr>
        <w:widowControl w:val="0"/>
        <w:spacing w:after="0" w:line="240" w:lineRule="auto"/>
        <w:ind w:left="338"/>
        <w:jc w:val="both"/>
        <w:rPr>
          <w:rFonts w:eastAsia="Times New Roman"/>
          <w:b/>
          <w:kern w:val="0"/>
          <w:sz w:val="24"/>
          <w:szCs w:val="24"/>
          <w:lang w:eastAsia="es-ES"/>
          <w14:ligatures w14:val="none"/>
        </w:rPr>
      </w:pPr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 xml:space="preserve">Calle Diego de León, 62. 28006 Madrid, </w:t>
      </w:r>
      <w:proofErr w:type="spellStart"/>
      <w:r w:rsidRPr="00A303D6">
        <w:rPr>
          <w:rFonts w:eastAsia="Times New Roman"/>
          <w:kern w:val="0"/>
          <w:sz w:val="24"/>
          <w:szCs w:val="24"/>
          <w:lang w:eastAsia="es-ES"/>
          <w14:ligatures w14:val="none"/>
        </w:rPr>
        <w:t>Spain</w:t>
      </w:r>
      <w:proofErr w:type="spellEnd"/>
    </w:p>
    <w:p w14:paraId="68BF2CFE" w14:textId="77777777" w:rsidR="00975E82" w:rsidRDefault="00975E82"/>
    <w:p w14:paraId="7874DB98" w14:textId="77777777" w:rsidR="00A303D6" w:rsidRDefault="00A303D6"/>
    <w:p w14:paraId="021B8155" w14:textId="77777777" w:rsidR="00A303D6" w:rsidRDefault="00A303D6"/>
    <w:p w14:paraId="6DC219C2" w14:textId="77777777" w:rsidR="00A303D6" w:rsidRDefault="00A303D6"/>
    <w:p w14:paraId="56892BE4" w14:textId="77777777" w:rsidR="00A303D6" w:rsidRDefault="00A303D6"/>
    <w:p w14:paraId="4369B018" w14:textId="77777777" w:rsidR="00A303D6" w:rsidRDefault="00A303D6"/>
    <w:p w14:paraId="22E7DCAC" w14:textId="77777777" w:rsidR="00A303D6" w:rsidRDefault="00A303D6"/>
    <w:p w14:paraId="682BF971" w14:textId="77777777" w:rsidR="00A303D6" w:rsidRDefault="00A303D6"/>
    <w:p w14:paraId="6BFA63BE" w14:textId="77777777" w:rsidR="00A303D6" w:rsidRDefault="00A303D6"/>
    <w:p w14:paraId="208635EC" w14:textId="77777777" w:rsidR="00A303D6" w:rsidRDefault="00A303D6"/>
    <w:p w14:paraId="18C31513" w14:textId="77777777" w:rsidR="00A303D6" w:rsidRDefault="00A303D6"/>
    <w:p w14:paraId="37C35FA3" w14:textId="1017D12C" w:rsidR="00A303D6" w:rsidRDefault="00A303D6" w:rsidP="00A303D6"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77C896D7" wp14:editId="185EDDB3">
            <wp:extent cx="4010897" cy="6876000"/>
            <wp:effectExtent l="0" t="0" r="8890" b="1270"/>
            <wp:docPr id="13306637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97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BD5E" w14:textId="77777777" w:rsid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left="-709" w:right="-56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Supplementary Fig. 1 Flow cytometry gating strategy used to study LFA-1 and VLA-4 integrins activation in human primary CD4 T cells and JK T cells. </w:t>
      </w:r>
      <w:proofErr w:type="gram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a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Human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primary CD4 T cells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isolated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from buffy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coats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are gated using lymphocytes &gt; singles cells &gt; CD4 positive cells. X63 isotype control and mAb24, KIM127 or HUTS21 antibodies, unstimulated or stimulated over anti-CD3/anti-CD28 monoclonal antibodies-coated plates are shown in </w:t>
      </w:r>
      <w:proofErr w:type="spell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siCTRL</w:t>
      </w:r>
      <w:proofErr w:type="spell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or siSSH1 transfected human CD4 T cells.  </w:t>
      </w:r>
      <w:r w:rsidRPr="00A303D6">
        <w:rPr>
          <w:rFonts w:eastAsia="Times New Roman"/>
          <w:b/>
          <w:bCs/>
          <w:kern w:val="0"/>
          <w:sz w:val="24"/>
          <w:szCs w:val="24"/>
          <w:lang w:val="en-US" w:eastAsia="es-ES"/>
          <w14:ligatures w14:val="none"/>
        </w:rPr>
        <w:t>b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JK T cells unstained, x63 isotype control and mAb24, KIM127 or HUTS21 antibodies, unstimulated or stimulated over anti-CD3/anti-CD28 monoclonal antibodies-coated plates are shown.</w:t>
      </w:r>
    </w:p>
    <w:p w14:paraId="058808C7" w14:textId="3B6C84FA" w:rsid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left="-709" w:right="-56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>
        <w:rPr>
          <w:rFonts w:eastAsia="Times New Roman"/>
          <w:noProof/>
          <w:kern w:val="0"/>
          <w:sz w:val="24"/>
          <w:szCs w:val="24"/>
          <w:lang w:val="en-US" w:eastAsia="es-ES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0AA2C965" wp14:editId="024B288A">
            <wp:simplePos x="0" y="0"/>
            <wp:positionH relativeFrom="column">
              <wp:posOffset>443230</wp:posOffset>
            </wp:positionH>
            <wp:positionV relativeFrom="paragraph">
              <wp:posOffset>262890</wp:posOffset>
            </wp:positionV>
            <wp:extent cx="4455496" cy="6192000"/>
            <wp:effectExtent l="0" t="0" r="2540" b="0"/>
            <wp:wrapTight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ight>
            <wp:docPr id="16557216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96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54FA7" w14:textId="7F174986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left="-709" w:right="-56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</w:p>
    <w:p w14:paraId="5BADD6B0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left="-567" w:right="-568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Supplementary Fig. 2 Flow cytometry gating strategy used to study nonyl-</w:t>
      </w:r>
      <w:proofErr w:type="spell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acridinge</w:t>
      </w:r>
      <w:proofErr w:type="spellEnd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 orange (NAO), </w:t>
      </w:r>
      <w:proofErr w:type="spell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mitoSOX</w:t>
      </w:r>
      <w:proofErr w:type="spellEnd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 Green and </w:t>
      </w:r>
      <w:proofErr w:type="spell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MitoTracker</w:t>
      </w:r>
      <w:proofErr w:type="spellEnd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 Deep Red FM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</w:t>
      </w:r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in human primary CD4 T cells and JK T cells. </w:t>
      </w:r>
      <w:proofErr w:type="gram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a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Human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primary CD4 T cells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isolated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from buffy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coats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are gated using lymphocytes &gt; singles cells &gt; CD4 positive cells. Unstained and NAO stained transfected human CD4 T cells are shown. </w:t>
      </w:r>
      <w:proofErr w:type="gramStart"/>
      <w:r w:rsidRPr="00A303D6">
        <w:rPr>
          <w:rFonts w:eastAsia="Times New Roman"/>
          <w:b/>
          <w:bCs/>
          <w:kern w:val="0"/>
          <w:sz w:val="24"/>
          <w:szCs w:val="24"/>
          <w:lang w:val="en-US" w:eastAsia="es-ES"/>
          <w14:ligatures w14:val="none"/>
        </w:rPr>
        <w:t>b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Human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primary CD4 T cells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isolated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from buffy coats are gated using lymphocytes &gt; singles cells &gt; CD4 positive cells &gt; live cells. </w:t>
      </w:r>
      <w:proofErr w:type="spell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mitoSOX</w:t>
      </w:r>
      <w:proofErr w:type="spell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Green stained transfected human CD4 T cells are shown. </w:t>
      </w:r>
      <w:r w:rsidRPr="00A303D6">
        <w:rPr>
          <w:rFonts w:eastAsia="Times New Roman"/>
          <w:b/>
          <w:bCs/>
          <w:kern w:val="0"/>
          <w:sz w:val="24"/>
          <w:szCs w:val="24"/>
          <w:lang w:val="en-US" w:eastAsia="es-ES"/>
          <w14:ligatures w14:val="none"/>
        </w:rPr>
        <w:t xml:space="preserve">c 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Human primary CD4 T cells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isolated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from buffy </w:t>
      </w:r>
      <w:proofErr w:type="gram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coats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are gated using lymphocytes &gt; singles cells &gt; CD4 positive cells &gt; live cells. </w:t>
      </w:r>
      <w:proofErr w:type="spell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MitoTracker</w:t>
      </w:r>
      <w:proofErr w:type="spell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Deep Red FM stained transfected human CD4 T cells are shown.</w:t>
      </w:r>
    </w:p>
    <w:p w14:paraId="67924269" w14:textId="64640668" w:rsidR="00A303D6" w:rsidRDefault="00A303D6" w:rsidP="00A303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70B696" wp14:editId="1AD1EBAE">
            <wp:extent cx="5399405" cy="6255385"/>
            <wp:effectExtent l="0" t="0" r="0" b="0"/>
            <wp:docPr id="1438119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055D" w14:textId="77777777" w:rsidR="00A303D6" w:rsidRDefault="00A303D6" w:rsidP="00A303D6">
      <w:pPr>
        <w:rPr>
          <w:lang w:val="en-US"/>
        </w:rPr>
      </w:pPr>
    </w:p>
    <w:p w14:paraId="72969EAE" w14:textId="77777777" w:rsidR="00A303D6" w:rsidRPr="00A303D6" w:rsidRDefault="00A303D6" w:rsidP="00A303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right="220"/>
        <w:jc w:val="both"/>
        <w:rPr>
          <w:rFonts w:eastAsia="Times New Roman"/>
          <w:kern w:val="0"/>
          <w:sz w:val="24"/>
          <w:szCs w:val="24"/>
          <w:lang w:val="en-US" w:eastAsia="es-ES"/>
          <w14:ligatures w14:val="none"/>
        </w:rPr>
      </w:pPr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Supplementary Fig. 3 Flow cytometry gating strategy </w:t>
      </w:r>
      <w:proofErr w:type="gram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used</w:t>
      </w:r>
      <w:proofErr w:type="gramEnd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 to study Pex14 for peroxisome detection and </w:t>
      </w:r>
      <w:proofErr w:type="spell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Bodipy</w:t>
      </w:r>
      <w:proofErr w:type="spellEnd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 xml:space="preserve"> 493/503 for neutral lipids analysis in JK T cells. </w:t>
      </w:r>
      <w:proofErr w:type="gramStart"/>
      <w:r w:rsidRPr="00A303D6">
        <w:rPr>
          <w:rFonts w:eastAsia="Times New Roman"/>
          <w:b/>
          <w:kern w:val="0"/>
          <w:sz w:val="24"/>
          <w:szCs w:val="24"/>
          <w:lang w:val="en-US" w:eastAsia="es-ES"/>
          <w14:ligatures w14:val="none"/>
        </w:rPr>
        <w:t>a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Control</w:t>
      </w:r>
      <w:proofErr w:type="gram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and </w:t>
      </w:r>
      <w:r w:rsidRPr="00A303D6">
        <w:rPr>
          <w:rFonts w:eastAsia="Times New Roman"/>
          <w:i/>
          <w:iCs/>
          <w:kern w:val="0"/>
          <w:sz w:val="24"/>
          <w:szCs w:val="24"/>
          <w:lang w:val="en-US" w:eastAsia="es-ES"/>
          <w14:ligatures w14:val="none"/>
        </w:rPr>
        <w:t>SSH1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KO JK T cells unstained, stained with goat anti-rabbit 488 secondary antibody control and with anti-Pex14 plus followed by anti-rabbit 488 secondary antibody are shown. </w:t>
      </w:r>
      <w:r w:rsidRPr="00A303D6">
        <w:rPr>
          <w:rFonts w:eastAsia="Times New Roman"/>
          <w:b/>
          <w:bCs/>
          <w:kern w:val="0"/>
          <w:sz w:val="24"/>
          <w:szCs w:val="24"/>
          <w:lang w:val="en-US" w:eastAsia="es-ES"/>
          <w14:ligatures w14:val="none"/>
        </w:rPr>
        <w:t>b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Control and </w:t>
      </w:r>
      <w:r w:rsidRPr="00A303D6">
        <w:rPr>
          <w:rFonts w:eastAsia="Times New Roman"/>
          <w:i/>
          <w:iCs/>
          <w:kern w:val="0"/>
          <w:sz w:val="24"/>
          <w:szCs w:val="24"/>
          <w:lang w:val="en-US" w:eastAsia="es-ES"/>
          <w14:ligatures w14:val="none"/>
        </w:rPr>
        <w:t>SSH1</w:t>
      </w:r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KO JK T cells unstained and stained with </w:t>
      </w:r>
      <w:proofErr w:type="spellStart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>Bodipy</w:t>
      </w:r>
      <w:proofErr w:type="spellEnd"/>
      <w:r w:rsidRPr="00A303D6">
        <w:rPr>
          <w:rFonts w:eastAsia="Times New Roman"/>
          <w:kern w:val="0"/>
          <w:sz w:val="24"/>
          <w:szCs w:val="24"/>
          <w:lang w:val="en-US" w:eastAsia="es-ES"/>
          <w14:ligatures w14:val="none"/>
        </w:rPr>
        <w:t xml:space="preserve"> 493/503 are shown.</w:t>
      </w:r>
    </w:p>
    <w:p w14:paraId="54BF560D" w14:textId="77777777" w:rsidR="00A303D6" w:rsidRPr="00A303D6" w:rsidRDefault="00A303D6" w:rsidP="00A303D6">
      <w:pPr>
        <w:rPr>
          <w:lang w:val="en-US"/>
        </w:rPr>
      </w:pPr>
    </w:p>
    <w:sectPr w:rsidR="00A303D6" w:rsidRPr="00A303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3D6"/>
    <w:rsid w:val="00975E82"/>
    <w:rsid w:val="00A303D6"/>
    <w:rsid w:val="00D8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C040"/>
  <w15:chartTrackingRefBased/>
  <w15:docId w15:val="{3C466B86-50B6-4A35-A406-C5A94241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3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03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03D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03D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03D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03D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03D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03D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03D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03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03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03D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03D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03D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03D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03D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03D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03D6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03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03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03D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03D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03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03D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03D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03D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03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03D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03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da@ucm.es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noa.martin@salud.madrid.org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noa.martin@salud.madrid.org" TargetMode="Externa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516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ÁLVARO GÓMEZ MORÓN</dc:creator>
  <cp:keywords/>
  <dc:description/>
  <cp:lastModifiedBy>ÁLVARO GÓMEZ MORÓN</cp:lastModifiedBy>
  <cp:revision>1</cp:revision>
  <cp:lastPrinted>2026-01-07T10:13:00Z</cp:lastPrinted>
  <dcterms:created xsi:type="dcterms:W3CDTF">2026-01-07T10:07:00Z</dcterms:created>
  <dcterms:modified xsi:type="dcterms:W3CDTF">2026-01-07T10:14:00Z</dcterms:modified>
</cp:coreProperties>
</file>