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E7807" w14:textId="6F1B1ABE" w:rsidR="009B7E83" w:rsidRPr="00381AE6" w:rsidRDefault="00000000">
      <w:pPr>
        <w:spacing w:after="160" w:line="480" w:lineRule="auto"/>
        <w:jc w:val="both"/>
        <w:rPr>
          <w:rFonts w:eastAsia="Roboto"/>
          <w:b/>
          <w:bCs/>
          <w:color w:val="212121"/>
          <w:highlight w:val="white"/>
          <w:lang w:val="en-US"/>
        </w:rPr>
      </w:pPr>
      <w:bookmarkStart w:id="0" w:name="_Hlk216283453"/>
      <w:r w:rsidRPr="00381AE6">
        <w:rPr>
          <w:rFonts w:eastAsia="Roboto"/>
          <w:b/>
          <w:bCs/>
          <w:color w:val="212121"/>
          <w:highlight w:val="white"/>
          <w:lang w:val="en-US"/>
        </w:rPr>
        <w:t>SUPPLEMENTARY APPENDIX:</w:t>
      </w:r>
    </w:p>
    <w:p w14:paraId="445F6FC9" w14:textId="2448A8D7" w:rsidR="007C1CA2" w:rsidRPr="007C1CA2" w:rsidRDefault="007C1CA2" w:rsidP="007C1CA2">
      <w:pPr>
        <w:spacing w:line="480" w:lineRule="auto"/>
        <w:rPr>
          <w:i/>
          <w:iCs/>
          <w:lang w:val="en-US"/>
        </w:rPr>
      </w:pPr>
      <w:r w:rsidRPr="007C1CA2">
        <w:rPr>
          <w:b/>
          <w:bCs/>
          <w:i/>
          <w:iCs/>
          <w:lang w:val="en-US"/>
        </w:rPr>
        <w:t>Continuous Glucose Monitoring Trajectories in Patients with Acute Coronary Syndrome</w:t>
      </w:r>
      <w:r w:rsidRPr="007C1CA2">
        <w:rPr>
          <w:b/>
          <w:bCs/>
          <w:i/>
          <w:iCs/>
          <w:lang w:val="en-US"/>
        </w:rPr>
        <w:br/>
      </w:r>
      <w:r w:rsidRPr="007C1CA2">
        <w:rPr>
          <w:i/>
          <w:iCs/>
          <w:lang w:val="en-US"/>
        </w:rPr>
        <w:t>Diaz-Exposito A et al.</w:t>
      </w:r>
    </w:p>
    <w:p w14:paraId="01EC6C14" w14:textId="7DDDE321" w:rsidR="00AA7161" w:rsidRPr="00381AE6" w:rsidRDefault="007C1CA2">
      <w:pPr>
        <w:spacing w:after="160" w:line="480" w:lineRule="auto"/>
        <w:jc w:val="both"/>
        <w:rPr>
          <w:rFonts w:eastAsia="Roboto"/>
          <w:b/>
          <w:bCs/>
          <w:color w:val="212121"/>
          <w:highlight w:val="white"/>
          <w:lang w:val="en-US"/>
        </w:rPr>
      </w:pPr>
      <w:r>
        <w:rPr>
          <w:rFonts w:eastAsia="Roboto"/>
          <w:color w:val="212121"/>
          <w:highlight w:val="white"/>
          <w:lang w:val="en-US"/>
        </w:rPr>
        <w:br/>
      </w:r>
      <w:r w:rsidR="00000000" w:rsidRPr="00381AE6">
        <w:rPr>
          <w:rFonts w:eastAsia="Roboto"/>
          <w:color w:val="212121"/>
          <w:highlight w:val="white"/>
          <w:lang w:val="en-US"/>
        </w:rPr>
        <w:br/>
      </w:r>
      <w:r w:rsidR="00000000" w:rsidRPr="00381AE6">
        <w:rPr>
          <w:rFonts w:eastAsia="Roboto"/>
          <w:b/>
          <w:bCs/>
          <w:color w:val="212121"/>
          <w:highlight w:val="white"/>
          <w:lang w:val="en-US"/>
        </w:rPr>
        <w:t>Inclusion and Exclusion Criteria:</w:t>
      </w:r>
    </w:p>
    <w:p w14:paraId="6091A174" w14:textId="65FAF8B4" w:rsidR="009B7E83" w:rsidRPr="00381AE6" w:rsidRDefault="00000000">
      <w:pPr>
        <w:spacing w:after="160" w:line="480" w:lineRule="auto"/>
        <w:jc w:val="both"/>
        <w:rPr>
          <w:rFonts w:eastAsia="Roboto"/>
          <w:b/>
          <w:bCs/>
          <w:color w:val="212121"/>
          <w:highlight w:val="white"/>
          <w:lang w:val="en-US"/>
        </w:rPr>
      </w:pPr>
      <w:r w:rsidRPr="00381AE6">
        <w:rPr>
          <w:lang w:val="en-US"/>
        </w:rPr>
        <w:t xml:space="preserve">High-risk ACS patients are included in the study if at least two of the following </w:t>
      </w:r>
      <w:proofErr w:type="spellStart"/>
      <w:r w:rsidRPr="00381AE6">
        <w:rPr>
          <w:lang w:val="en-US"/>
        </w:rPr>
        <w:t>inclusión</w:t>
      </w:r>
      <w:proofErr w:type="spellEnd"/>
      <w:r w:rsidRPr="00381AE6">
        <w:rPr>
          <w:lang w:val="en-US"/>
        </w:rPr>
        <w:t xml:space="preserve"> criteria are present: age &gt; 65 years, diabetes mellitus, multivessel coronary artery disease, peripheral artery disease, chronic kidney disease, prior stroke (anytime) or prior transient </w:t>
      </w:r>
      <w:proofErr w:type="spellStart"/>
      <w:r w:rsidRPr="00381AE6">
        <w:rPr>
          <w:lang w:val="en-US"/>
        </w:rPr>
        <w:t>ischaemic</w:t>
      </w:r>
      <w:proofErr w:type="spellEnd"/>
      <w:r w:rsidRPr="00381AE6">
        <w:rPr>
          <w:lang w:val="en-US"/>
        </w:rPr>
        <w:t xml:space="preserve"> attack in the last 6 months, prior myocardial infarction, complex percutaneous coronary intervention, prior PCI or coronary artery bypass grafting, heart failure, body mass index &gt; 27 kg/m², anticipated long-term use of an oral anticoagulant, </w:t>
      </w:r>
      <w:proofErr w:type="spellStart"/>
      <w:r w:rsidRPr="00381AE6">
        <w:rPr>
          <w:lang w:val="en-US"/>
        </w:rPr>
        <w:t>haemoglobin</w:t>
      </w:r>
      <w:proofErr w:type="spellEnd"/>
      <w:r w:rsidRPr="00381AE6">
        <w:rPr>
          <w:lang w:val="en-US"/>
        </w:rPr>
        <w:t xml:space="preserve"> &lt; 11 g/dL, spontaneous bleeding requiring </w:t>
      </w:r>
      <w:proofErr w:type="spellStart"/>
      <w:r w:rsidRPr="00381AE6">
        <w:rPr>
          <w:lang w:val="en-US"/>
        </w:rPr>
        <w:t>hospitalisation</w:t>
      </w:r>
      <w:proofErr w:type="spellEnd"/>
      <w:r w:rsidRPr="00381AE6">
        <w:rPr>
          <w:lang w:val="en-US"/>
        </w:rPr>
        <w:t xml:space="preserve"> or transfusion in the past 12 months, bleeding diathesis, active malignancy, or previous spontaneous intracranial </w:t>
      </w:r>
      <w:proofErr w:type="spellStart"/>
      <w:r w:rsidRPr="00381AE6">
        <w:rPr>
          <w:lang w:val="en-US"/>
        </w:rPr>
        <w:t>haemorrhage</w:t>
      </w:r>
      <w:proofErr w:type="spellEnd"/>
      <w:r w:rsidRPr="00381AE6">
        <w:rPr>
          <w:lang w:val="en-US"/>
        </w:rPr>
        <w:t>.</w:t>
      </w:r>
    </w:p>
    <w:p w14:paraId="4DEBBEE6" w14:textId="77777777" w:rsidR="009B7E83" w:rsidRPr="00381AE6" w:rsidRDefault="00000000">
      <w:pPr>
        <w:tabs>
          <w:tab w:val="left" w:pos="720"/>
        </w:tabs>
        <w:spacing w:after="160" w:line="480" w:lineRule="auto"/>
        <w:jc w:val="both"/>
        <w:rPr>
          <w:lang w:val="en-US"/>
        </w:rPr>
      </w:pPr>
      <w:r w:rsidRPr="00381AE6">
        <w:rPr>
          <w:lang w:val="en-US"/>
        </w:rPr>
        <w:t>Exclusion criteria were limited in order to allow for a contemporary all-comer population, and comprised: age &lt; 18 years, low life expectancy (&lt; 1 year) in the judgement of the treating physician, pregnant or breastfeeding women, evidence at coronary angiography of non-significant coronary artery disease (&lt; 30% stenosis in the left main stem or &lt; 50% in other coronary segments).</w:t>
      </w:r>
    </w:p>
    <w:p w14:paraId="68075CA3" w14:textId="77777777" w:rsidR="009B7E83" w:rsidRPr="00381AE6" w:rsidRDefault="00000000">
      <w:pPr>
        <w:spacing w:line="480" w:lineRule="auto"/>
        <w:rPr>
          <w:rFonts w:eastAsia="Roboto"/>
          <w:color w:val="212121"/>
          <w:highlight w:val="white"/>
          <w:lang w:val="en-US"/>
        </w:rPr>
      </w:pPr>
      <w:r w:rsidRPr="00381AE6">
        <w:rPr>
          <w:rFonts w:eastAsia="Roboto"/>
          <w:color w:val="212121"/>
          <w:highlight w:val="white"/>
          <w:lang w:val="en-US"/>
        </w:rPr>
        <w:br/>
        <w:t xml:space="preserve"> </w:t>
      </w:r>
      <w:r w:rsidRPr="00381AE6">
        <w:rPr>
          <w:rFonts w:eastAsia="Roboto"/>
          <w:color w:val="212121"/>
          <w:highlight w:val="white"/>
          <w:lang w:val="en-US"/>
        </w:rPr>
        <w:br/>
      </w:r>
      <w:r w:rsidRPr="00381AE6">
        <w:rPr>
          <w:rFonts w:eastAsia="Roboto"/>
          <w:color w:val="212121"/>
          <w:highlight w:val="white"/>
          <w:lang w:val="en-US"/>
        </w:rPr>
        <w:br/>
      </w:r>
    </w:p>
    <w:p w14:paraId="7D79C64F" w14:textId="77777777" w:rsidR="009B7E83" w:rsidRPr="00381AE6" w:rsidRDefault="009B7E83">
      <w:pPr>
        <w:spacing w:line="480" w:lineRule="auto"/>
        <w:rPr>
          <w:rFonts w:ascii="Roboto" w:eastAsia="Roboto" w:hAnsi="Roboto" w:cs="Roboto"/>
          <w:color w:val="212121"/>
          <w:highlight w:val="white"/>
          <w:lang w:val="en-US"/>
        </w:rPr>
      </w:pPr>
    </w:p>
    <w:p w14:paraId="59FE7C1F" w14:textId="77777777" w:rsidR="009B7E83" w:rsidRPr="00381AE6" w:rsidRDefault="00000000">
      <w:pPr>
        <w:spacing w:line="480" w:lineRule="auto"/>
        <w:rPr>
          <w:b/>
          <w:bCs/>
          <w:lang w:val="en-US"/>
        </w:rPr>
      </w:pPr>
      <w:r w:rsidRPr="00381AE6">
        <w:rPr>
          <w:b/>
          <w:bCs/>
          <w:lang w:val="en-US"/>
        </w:rPr>
        <w:lastRenderedPageBreak/>
        <w:t>Supplementary Table 1. Baseline characteristics of the study population</w:t>
      </w:r>
    </w:p>
    <w:tbl>
      <w:tblPr>
        <w:tblStyle w:val="Tabellasemplice-2"/>
        <w:tblW w:w="864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1"/>
        <w:gridCol w:w="4319"/>
      </w:tblGrid>
      <w:tr w:rsidR="009B7E83" w:rsidRPr="00381AE6" w14:paraId="68DDA26C" w14:textId="77777777" w:rsidTr="009951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bottom w:val="none" w:sz="0" w:space="0" w:color="auto"/>
            </w:tcBorders>
          </w:tcPr>
          <w:p w14:paraId="12ECA3AE" w14:textId="77777777" w:rsidR="009B7E83" w:rsidRPr="00381AE6" w:rsidRDefault="00000000" w:rsidP="00441D1E">
            <w:pPr>
              <w:ind w:right="-999"/>
              <w:rPr>
                <w:lang w:val="en-US"/>
              </w:rPr>
            </w:pPr>
            <w:r w:rsidRPr="00381AE6">
              <w:rPr>
                <w:lang w:val="en-US"/>
              </w:rPr>
              <w:t>Characteristic</w:t>
            </w:r>
          </w:p>
        </w:tc>
        <w:tc>
          <w:tcPr>
            <w:tcW w:w="4319" w:type="dxa"/>
            <w:tcBorders>
              <w:bottom w:val="none" w:sz="0" w:space="0" w:color="auto"/>
            </w:tcBorders>
          </w:tcPr>
          <w:p w14:paraId="1B500BB3" w14:textId="77777777" w:rsidR="009B7E83" w:rsidRPr="00381AE6" w:rsidRDefault="00000000" w:rsidP="00441D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Total (n = 274)</w:t>
            </w:r>
          </w:p>
        </w:tc>
      </w:tr>
      <w:tr w:rsidR="009B7E83" w:rsidRPr="00381AE6" w14:paraId="01318D64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single" w:sz="4" w:space="0" w:color="auto"/>
            </w:tcBorders>
          </w:tcPr>
          <w:p w14:paraId="19AD059E" w14:textId="77777777" w:rsidR="009B7E83" w:rsidRPr="00381AE6" w:rsidRDefault="00000000" w:rsidP="00441D1E">
            <w:pPr>
              <w:rPr>
                <w:lang w:val="en-US"/>
              </w:rPr>
            </w:pPr>
            <w:r w:rsidRPr="00381AE6">
              <w:rPr>
                <w:lang w:val="en-US"/>
              </w:rPr>
              <w:t>Demographics</w:t>
            </w:r>
          </w:p>
        </w:tc>
        <w:tc>
          <w:tcPr>
            <w:tcW w:w="4319" w:type="dxa"/>
            <w:tcBorders>
              <w:top w:val="none" w:sz="0" w:space="0" w:color="auto"/>
              <w:bottom w:val="single" w:sz="4" w:space="0" w:color="auto"/>
            </w:tcBorders>
          </w:tcPr>
          <w:p w14:paraId="1DBD45F5" w14:textId="77777777" w:rsidR="009B7E83" w:rsidRPr="00381AE6" w:rsidRDefault="009B7E83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B7E83" w:rsidRPr="00381AE6" w14:paraId="233CA8EE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single" w:sz="4" w:space="0" w:color="auto"/>
            </w:tcBorders>
          </w:tcPr>
          <w:p w14:paraId="6509F072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Age, years</w:t>
            </w:r>
          </w:p>
        </w:tc>
        <w:tc>
          <w:tcPr>
            <w:tcW w:w="4319" w:type="dxa"/>
            <w:tcBorders>
              <w:top w:val="single" w:sz="4" w:space="0" w:color="auto"/>
            </w:tcBorders>
          </w:tcPr>
          <w:p w14:paraId="495A2B51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66.34 ± 11.59</w:t>
            </w:r>
          </w:p>
        </w:tc>
      </w:tr>
      <w:tr w:rsidR="009B7E83" w:rsidRPr="00381AE6" w14:paraId="09DE5B33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69297884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Male sex,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770159C9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214 (78.1%)</w:t>
            </w:r>
          </w:p>
        </w:tc>
      </w:tr>
      <w:tr w:rsidR="009B7E83" w:rsidRPr="00381AE6" w14:paraId="6A02CEE1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325D6BA6" w14:textId="77777777" w:rsidR="009B7E83" w:rsidRPr="00381AE6" w:rsidRDefault="009B7E83" w:rsidP="00441D1E">
            <w:pPr>
              <w:rPr>
                <w:lang w:val="en-US"/>
              </w:rPr>
            </w:pPr>
          </w:p>
        </w:tc>
        <w:tc>
          <w:tcPr>
            <w:tcW w:w="4319" w:type="dxa"/>
          </w:tcPr>
          <w:p w14:paraId="44F79B04" w14:textId="77777777" w:rsidR="009B7E83" w:rsidRPr="00381AE6" w:rsidRDefault="009B7E83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B7E83" w:rsidRPr="00381AE6" w14:paraId="61EB4121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08C77332" w14:textId="77777777" w:rsidR="009B7E83" w:rsidRPr="00381AE6" w:rsidRDefault="00000000" w:rsidP="00441D1E">
            <w:pPr>
              <w:ind w:right="-2559"/>
              <w:rPr>
                <w:lang w:val="en-US"/>
              </w:rPr>
            </w:pPr>
            <w:r w:rsidRPr="00381AE6">
              <w:rPr>
                <w:lang w:val="en-US"/>
              </w:rPr>
              <w:t>Cardiovascular risk factors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669AF664" w14:textId="77777777" w:rsidR="009B7E83" w:rsidRPr="00381AE6" w:rsidRDefault="009B7E83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B7E83" w:rsidRPr="00381AE6" w14:paraId="3E8A0B85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192E70EC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Hypertension, n (%)</w:t>
            </w:r>
          </w:p>
        </w:tc>
        <w:tc>
          <w:tcPr>
            <w:tcW w:w="4319" w:type="dxa"/>
          </w:tcPr>
          <w:p w14:paraId="25AED0B9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179 (69.9%)</w:t>
            </w:r>
          </w:p>
        </w:tc>
      </w:tr>
      <w:tr w:rsidR="009B7E83" w:rsidRPr="00381AE6" w14:paraId="618AEB2A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50E8BDA4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Diabetes mellitus,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0BC00BA2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113 (44.3%)</w:t>
            </w:r>
          </w:p>
        </w:tc>
      </w:tr>
      <w:tr w:rsidR="009B7E83" w:rsidRPr="00381AE6" w14:paraId="519283EB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296C95A2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 xml:space="preserve">    Type 1 diabetes, n (%)</w:t>
            </w:r>
          </w:p>
        </w:tc>
        <w:tc>
          <w:tcPr>
            <w:tcW w:w="4319" w:type="dxa"/>
          </w:tcPr>
          <w:p w14:paraId="45B5267E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 (0.8 %)</w:t>
            </w:r>
          </w:p>
        </w:tc>
      </w:tr>
      <w:tr w:rsidR="009B7E83" w:rsidRPr="00381AE6" w14:paraId="374BC455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7CDBA788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 xml:space="preserve">    Type 2 diabetes,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11B71275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111 (43.5 %)</w:t>
            </w:r>
          </w:p>
        </w:tc>
      </w:tr>
      <w:tr w:rsidR="009B7E83" w:rsidRPr="00381AE6" w14:paraId="46A64D1E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70B7C2B3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proofErr w:type="spellStart"/>
            <w:r w:rsidRPr="00381AE6">
              <w:rPr>
                <w:b w:val="0"/>
                <w:bCs w:val="0"/>
                <w:lang w:val="en-US"/>
              </w:rPr>
              <w:t>Hypercholesterolaemia</w:t>
            </w:r>
            <w:proofErr w:type="spellEnd"/>
            <w:r w:rsidRPr="00381AE6">
              <w:rPr>
                <w:b w:val="0"/>
                <w:bCs w:val="0"/>
                <w:lang w:val="en-US"/>
              </w:rPr>
              <w:t>, n (%)</w:t>
            </w:r>
          </w:p>
        </w:tc>
        <w:tc>
          <w:tcPr>
            <w:tcW w:w="4319" w:type="dxa"/>
          </w:tcPr>
          <w:p w14:paraId="54B5345A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183 (71.5%)</w:t>
            </w:r>
          </w:p>
        </w:tc>
      </w:tr>
      <w:tr w:rsidR="009B7E83" w:rsidRPr="00381AE6" w14:paraId="72001AA2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74E94B5E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Current smoker,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34FD3C53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68 (25.2%)</w:t>
            </w:r>
          </w:p>
        </w:tc>
      </w:tr>
      <w:tr w:rsidR="009B7E83" w:rsidRPr="00381AE6" w14:paraId="76318621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090ABAEE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Former smoker, n (%)</w:t>
            </w:r>
          </w:p>
        </w:tc>
        <w:tc>
          <w:tcPr>
            <w:tcW w:w="4319" w:type="dxa"/>
          </w:tcPr>
          <w:p w14:paraId="7BB1FC85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124 (45.9%)</w:t>
            </w:r>
          </w:p>
        </w:tc>
      </w:tr>
      <w:tr w:rsidR="009B7E83" w:rsidRPr="00381AE6" w14:paraId="03B2F780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64F39DF1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BMI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70FF0D6D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28.41 ± 4.04 kg/m²</w:t>
            </w:r>
          </w:p>
        </w:tc>
      </w:tr>
      <w:tr w:rsidR="009B7E83" w:rsidRPr="00381AE6" w14:paraId="197E3E8C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03CDA85E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 xml:space="preserve">     Normal weight</w:t>
            </w:r>
          </w:p>
        </w:tc>
        <w:tc>
          <w:tcPr>
            <w:tcW w:w="4319" w:type="dxa"/>
          </w:tcPr>
          <w:p w14:paraId="03C0E0D7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45 (16.42%)</w:t>
            </w:r>
          </w:p>
        </w:tc>
      </w:tr>
      <w:tr w:rsidR="009B7E83" w:rsidRPr="00381AE6" w14:paraId="0AA19A3C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1B323B4E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 xml:space="preserve">     Overweight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7119ECE2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111 (40.51%)</w:t>
            </w:r>
          </w:p>
        </w:tc>
      </w:tr>
      <w:tr w:rsidR="009B7E83" w:rsidRPr="00381AE6" w14:paraId="1EDFDEEC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74A69422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 xml:space="preserve">     Obesity</w:t>
            </w:r>
          </w:p>
        </w:tc>
        <w:tc>
          <w:tcPr>
            <w:tcW w:w="4319" w:type="dxa"/>
          </w:tcPr>
          <w:p w14:paraId="358DE03A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55 (20.07%)</w:t>
            </w:r>
          </w:p>
        </w:tc>
      </w:tr>
      <w:tr w:rsidR="009B7E83" w:rsidRPr="00381AE6" w14:paraId="5A6BB9B5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0D77D303" w14:textId="77777777" w:rsidR="009B7E83" w:rsidRPr="00381AE6" w:rsidRDefault="009B7E83" w:rsidP="00441D1E">
            <w:pPr>
              <w:rPr>
                <w:lang w:val="en-US"/>
              </w:rPr>
            </w:pP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48E6D44F" w14:textId="77777777" w:rsidR="009B7E83" w:rsidRPr="00381AE6" w:rsidRDefault="009B7E83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B7E83" w:rsidRPr="00381AE6" w14:paraId="68A33049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71C03AE1" w14:textId="77777777" w:rsidR="009B7E83" w:rsidRPr="00381AE6" w:rsidRDefault="00000000" w:rsidP="00441D1E">
            <w:pPr>
              <w:rPr>
                <w:lang w:val="en-US"/>
              </w:rPr>
            </w:pPr>
            <w:r w:rsidRPr="00381AE6">
              <w:rPr>
                <w:lang w:val="en-US"/>
              </w:rPr>
              <w:t>Comorbidities</w:t>
            </w:r>
          </w:p>
        </w:tc>
        <w:tc>
          <w:tcPr>
            <w:tcW w:w="4319" w:type="dxa"/>
          </w:tcPr>
          <w:p w14:paraId="769FB9AE" w14:textId="77777777" w:rsidR="009B7E83" w:rsidRPr="00381AE6" w:rsidRDefault="009B7E83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B7E83" w:rsidRPr="00381AE6" w14:paraId="6197FE45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578045E5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Atrial fibrillation,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6F06592D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12 (4.7%)</w:t>
            </w:r>
          </w:p>
        </w:tc>
      </w:tr>
      <w:tr w:rsidR="009B7E83" w:rsidRPr="00381AE6" w14:paraId="0C4035AA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1F027EB3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Previous MI</w:t>
            </w:r>
          </w:p>
        </w:tc>
        <w:tc>
          <w:tcPr>
            <w:tcW w:w="4319" w:type="dxa"/>
          </w:tcPr>
          <w:p w14:paraId="3DC36681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65 (25.5%)</w:t>
            </w:r>
          </w:p>
        </w:tc>
      </w:tr>
      <w:tr w:rsidR="009B7E83" w:rsidRPr="00381AE6" w14:paraId="0531980F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16576339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proofErr w:type="spellStart"/>
            <w:r w:rsidRPr="00381AE6">
              <w:rPr>
                <w:b w:val="0"/>
                <w:bCs w:val="0"/>
                <w:lang w:val="en-US"/>
              </w:rPr>
              <w:t>Ischaemic</w:t>
            </w:r>
            <w:proofErr w:type="spellEnd"/>
            <w:r w:rsidRPr="00381AE6">
              <w:rPr>
                <w:b w:val="0"/>
                <w:bCs w:val="0"/>
                <w:lang w:val="en-US"/>
              </w:rPr>
              <w:t xml:space="preserve"> stroke / transient </w:t>
            </w:r>
            <w:proofErr w:type="spellStart"/>
            <w:r w:rsidRPr="00381AE6">
              <w:rPr>
                <w:b w:val="0"/>
                <w:bCs w:val="0"/>
                <w:lang w:val="en-US"/>
              </w:rPr>
              <w:t>ischaemic</w:t>
            </w:r>
            <w:proofErr w:type="spellEnd"/>
            <w:r w:rsidRPr="00381AE6">
              <w:rPr>
                <w:b w:val="0"/>
                <w:bCs w:val="0"/>
                <w:lang w:val="en-US"/>
              </w:rPr>
              <w:t xml:space="preserve"> attack,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3186387B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14 (5.5%)</w:t>
            </w:r>
          </w:p>
        </w:tc>
      </w:tr>
      <w:tr w:rsidR="009B7E83" w:rsidRPr="00381AE6" w14:paraId="5750A74E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5AA334F7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Peripheral artery disease, n (%)</w:t>
            </w:r>
          </w:p>
        </w:tc>
        <w:tc>
          <w:tcPr>
            <w:tcW w:w="4319" w:type="dxa"/>
          </w:tcPr>
          <w:p w14:paraId="4233C671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20 (7.8%)</w:t>
            </w:r>
          </w:p>
        </w:tc>
      </w:tr>
      <w:tr w:rsidR="009B7E83" w:rsidRPr="00381AE6" w14:paraId="598DC3E0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4C2F3566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Heart failure,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4A2070A2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22 (6.6 %)</w:t>
            </w:r>
          </w:p>
        </w:tc>
      </w:tr>
      <w:tr w:rsidR="009B7E83" w:rsidRPr="00381AE6" w14:paraId="7AE60461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2EA05E17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Chronic obstructive pulmonary disease, n (%)</w:t>
            </w:r>
          </w:p>
        </w:tc>
        <w:tc>
          <w:tcPr>
            <w:tcW w:w="4319" w:type="dxa"/>
          </w:tcPr>
          <w:p w14:paraId="5946598B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21 (8.2 %)</w:t>
            </w:r>
          </w:p>
        </w:tc>
      </w:tr>
      <w:tr w:rsidR="009B7E83" w:rsidRPr="00381AE6" w14:paraId="6554DF1E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65430A1A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 xml:space="preserve">Obstructive sleep </w:t>
            </w:r>
            <w:proofErr w:type="spellStart"/>
            <w:r w:rsidRPr="00381AE6">
              <w:rPr>
                <w:b w:val="0"/>
                <w:bCs w:val="0"/>
                <w:lang w:val="en-US"/>
              </w:rPr>
              <w:t>apnoea</w:t>
            </w:r>
            <w:proofErr w:type="spellEnd"/>
            <w:r w:rsidRPr="00381AE6">
              <w:rPr>
                <w:b w:val="0"/>
                <w:bCs w:val="0"/>
                <w:lang w:val="en-US"/>
              </w:rPr>
              <w:t>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57E773DE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32 (12.5%)</w:t>
            </w:r>
          </w:p>
        </w:tc>
      </w:tr>
      <w:tr w:rsidR="009B7E83" w:rsidRPr="00381AE6" w14:paraId="0DCFBDCF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04006914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Chronic kidney disease&gt;3stage, n (%)</w:t>
            </w:r>
          </w:p>
        </w:tc>
        <w:tc>
          <w:tcPr>
            <w:tcW w:w="4319" w:type="dxa"/>
          </w:tcPr>
          <w:p w14:paraId="1ECBDC50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48 (26.1%)</w:t>
            </w:r>
          </w:p>
        </w:tc>
      </w:tr>
      <w:tr w:rsidR="009B7E83" w:rsidRPr="00381AE6" w14:paraId="03A03467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75B17262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Liver disease,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337DFEAE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 (0.8%)</w:t>
            </w:r>
          </w:p>
        </w:tc>
      </w:tr>
      <w:tr w:rsidR="009B7E83" w:rsidRPr="00381AE6" w14:paraId="7B450680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34070911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Family history, n (%)</w:t>
            </w:r>
          </w:p>
        </w:tc>
        <w:tc>
          <w:tcPr>
            <w:tcW w:w="4319" w:type="dxa"/>
          </w:tcPr>
          <w:p w14:paraId="0CF3AD1E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173 (63.1%)</w:t>
            </w:r>
          </w:p>
        </w:tc>
      </w:tr>
      <w:tr w:rsidR="009B7E83" w:rsidRPr="00381AE6" w14:paraId="392BF72B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22175BF5" w14:textId="77777777" w:rsidR="009B7E83" w:rsidRPr="00381AE6" w:rsidRDefault="009B7E83" w:rsidP="00441D1E">
            <w:pPr>
              <w:rPr>
                <w:lang w:val="en-US"/>
              </w:rPr>
            </w:pP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752F786D" w14:textId="77777777" w:rsidR="009B7E83" w:rsidRPr="00381AE6" w:rsidRDefault="009B7E83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B7E83" w:rsidRPr="00381AE6" w14:paraId="7E0B31F2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66B5F2FA" w14:textId="77777777" w:rsidR="009B7E83" w:rsidRPr="00381AE6" w:rsidRDefault="00000000" w:rsidP="00441D1E">
            <w:pPr>
              <w:rPr>
                <w:lang w:val="en-US"/>
              </w:rPr>
            </w:pPr>
            <w:r w:rsidRPr="00381AE6">
              <w:rPr>
                <w:lang w:val="en-US"/>
              </w:rPr>
              <w:t>Chronic medical therapy</w:t>
            </w:r>
          </w:p>
        </w:tc>
        <w:tc>
          <w:tcPr>
            <w:tcW w:w="4319" w:type="dxa"/>
          </w:tcPr>
          <w:p w14:paraId="6D375029" w14:textId="77777777" w:rsidR="009B7E83" w:rsidRPr="00381AE6" w:rsidRDefault="009B7E83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B7E83" w:rsidRPr="00381AE6" w14:paraId="613FEE55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0E881744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Statins,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15F1330B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255 (93.1%)</w:t>
            </w:r>
          </w:p>
        </w:tc>
      </w:tr>
      <w:tr w:rsidR="009B7E83" w:rsidRPr="00381AE6" w14:paraId="35AC1B7A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6CA71BB4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Ezetimibe, n (%)</w:t>
            </w:r>
          </w:p>
        </w:tc>
        <w:tc>
          <w:tcPr>
            <w:tcW w:w="4319" w:type="dxa"/>
          </w:tcPr>
          <w:p w14:paraId="61DEA6A6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155 (56.6%)</w:t>
            </w:r>
          </w:p>
        </w:tc>
      </w:tr>
      <w:tr w:rsidR="009B7E83" w:rsidRPr="00381AE6" w14:paraId="0E4E20A4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26A6E3C0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PCSK9 inhibitor,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6B7BFAB7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5 (1.8%)</w:t>
            </w:r>
          </w:p>
        </w:tc>
      </w:tr>
      <w:tr w:rsidR="009B7E83" w:rsidRPr="00381AE6" w14:paraId="72608BB5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6646E51B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Fibrates, n (%)</w:t>
            </w:r>
          </w:p>
        </w:tc>
        <w:tc>
          <w:tcPr>
            <w:tcW w:w="4319" w:type="dxa"/>
          </w:tcPr>
          <w:p w14:paraId="48D0191F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 (0.4%)</w:t>
            </w:r>
          </w:p>
        </w:tc>
      </w:tr>
      <w:tr w:rsidR="009B7E83" w:rsidRPr="00381AE6" w14:paraId="5DCF5979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7CDC8999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ACE inhibitor,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3397B389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111 (42.7%)</w:t>
            </w:r>
          </w:p>
        </w:tc>
      </w:tr>
      <w:tr w:rsidR="009B7E83" w:rsidRPr="00381AE6" w14:paraId="2350DDC4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76A85477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Angiotensin II receptor blocker, n (%)</w:t>
            </w:r>
          </w:p>
        </w:tc>
        <w:tc>
          <w:tcPr>
            <w:tcW w:w="4319" w:type="dxa"/>
          </w:tcPr>
          <w:p w14:paraId="32BD4D72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109 (41.9%)</w:t>
            </w:r>
          </w:p>
        </w:tc>
      </w:tr>
      <w:tr w:rsidR="009B7E83" w:rsidRPr="00381AE6" w14:paraId="680BB08E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70586963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Beta-blocker,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0ACFFC38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207 (79.6%)</w:t>
            </w:r>
          </w:p>
        </w:tc>
      </w:tr>
      <w:tr w:rsidR="009B7E83" w:rsidRPr="00381AE6" w14:paraId="0526C12D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23812AFA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Mineralocorticoid receptor antagonist, n (%)</w:t>
            </w:r>
          </w:p>
        </w:tc>
        <w:tc>
          <w:tcPr>
            <w:tcW w:w="4319" w:type="dxa"/>
          </w:tcPr>
          <w:p w14:paraId="2D5A882C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57 (21.9 %)</w:t>
            </w:r>
          </w:p>
        </w:tc>
      </w:tr>
      <w:tr w:rsidR="009B7E83" w:rsidRPr="00381AE6" w14:paraId="79F24202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3ACD8FDF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SGLT2 inhibitor,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7B154483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124 (47.7%)</w:t>
            </w:r>
          </w:p>
        </w:tc>
      </w:tr>
      <w:tr w:rsidR="009B7E83" w:rsidRPr="00381AE6" w14:paraId="4CD714CC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5DDB40A2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GLP-1 receptor agonist, n (%)</w:t>
            </w:r>
          </w:p>
        </w:tc>
        <w:tc>
          <w:tcPr>
            <w:tcW w:w="4319" w:type="dxa"/>
          </w:tcPr>
          <w:p w14:paraId="3F4B7512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29 (11.2%)</w:t>
            </w:r>
          </w:p>
        </w:tc>
      </w:tr>
      <w:tr w:rsidR="009B7E83" w:rsidRPr="00381AE6" w14:paraId="324A4A92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7245A71B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Insulin,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75289E35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27 (10.4%)</w:t>
            </w:r>
          </w:p>
        </w:tc>
      </w:tr>
      <w:tr w:rsidR="009B7E83" w:rsidRPr="00381AE6" w14:paraId="2E63DFE7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671B8B7E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Other antidiabetic agents, n (%)</w:t>
            </w:r>
          </w:p>
        </w:tc>
        <w:tc>
          <w:tcPr>
            <w:tcW w:w="4319" w:type="dxa"/>
          </w:tcPr>
          <w:p w14:paraId="26C3536A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99 (38.2%)</w:t>
            </w:r>
          </w:p>
        </w:tc>
      </w:tr>
      <w:tr w:rsidR="009B7E83" w:rsidRPr="00381AE6" w14:paraId="3E62CB03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489164F4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Diuretics,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0CDABBC9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83 (31.9%)</w:t>
            </w:r>
          </w:p>
        </w:tc>
      </w:tr>
      <w:tr w:rsidR="009B7E83" w:rsidRPr="00381AE6" w14:paraId="47CF04D5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6F130662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Systemic corticosteroids, n (%)</w:t>
            </w:r>
          </w:p>
        </w:tc>
        <w:tc>
          <w:tcPr>
            <w:tcW w:w="4319" w:type="dxa"/>
          </w:tcPr>
          <w:p w14:paraId="47E8C4B4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3 (1.2%)</w:t>
            </w:r>
          </w:p>
        </w:tc>
      </w:tr>
      <w:tr w:rsidR="009B7E83" w:rsidRPr="00381AE6" w14:paraId="4AF57157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6BF9383E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lastRenderedPageBreak/>
              <w:t>Aspirin (ASA),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52EF8CB2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255 (98.1%)</w:t>
            </w:r>
          </w:p>
        </w:tc>
      </w:tr>
      <w:tr w:rsidR="009B7E83" w:rsidRPr="00381AE6" w14:paraId="4B45F844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4509E6EE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Clopidogrel, n (%)</w:t>
            </w:r>
          </w:p>
        </w:tc>
        <w:tc>
          <w:tcPr>
            <w:tcW w:w="4319" w:type="dxa"/>
          </w:tcPr>
          <w:p w14:paraId="27ED0783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60 (23.2%)</w:t>
            </w:r>
          </w:p>
        </w:tc>
      </w:tr>
      <w:tr w:rsidR="009B7E83" w:rsidRPr="00381AE6" w14:paraId="08E4156E" w14:textId="77777777" w:rsidTr="00995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56523413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Ticagrelor,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2AA4A1E8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136 (52.5%)</w:t>
            </w:r>
          </w:p>
        </w:tc>
      </w:tr>
      <w:tr w:rsidR="009B7E83" w:rsidRPr="00381AE6" w14:paraId="0BB72BCD" w14:textId="77777777" w:rsidTr="009951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3116CFC3" w14:textId="77777777" w:rsidR="009B7E83" w:rsidRPr="00381AE6" w:rsidRDefault="00000000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Prasugrel, n (%)</w:t>
            </w:r>
          </w:p>
        </w:tc>
        <w:tc>
          <w:tcPr>
            <w:tcW w:w="4319" w:type="dxa"/>
          </w:tcPr>
          <w:p w14:paraId="532D4B86" w14:textId="77777777" w:rsidR="009B7E83" w:rsidRPr="00381AE6" w:rsidRDefault="00000000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63 (24.04%)</w:t>
            </w:r>
          </w:p>
        </w:tc>
      </w:tr>
      <w:tr w:rsidR="009B7E83" w:rsidRPr="00381AE6" w14:paraId="2114D289" w14:textId="77777777" w:rsidTr="00AA7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top w:val="none" w:sz="0" w:space="0" w:color="auto"/>
              <w:bottom w:val="none" w:sz="0" w:space="0" w:color="auto"/>
            </w:tcBorders>
          </w:tcPr>
          <w:p w14:paraId="0D17FBF7" w14:textId="5E186AB4" w:rsidR="00BE1814" w:rsidRPr="00381AE6" w:rsidRDefault="00000000" w:rsidP="00441D1E">
            <w:pPr>
              <w:rPr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Non–vitamin K oral anticoagulant (NOAC), n (%)</w:t>
            </w:r>
          </w:p>
        </w:tc>
        <w:tc>
          <w:tcPr>
            <w:tcW w:w="4319" w:type="dxa"/>
            <w:tcBorders>
              <w:top w:val="none" w:sz="0" w:space="0" w:color="auto"/>
              <w:bottom w:val="none" w:sz="0" w:space="0" w:color="auto"/>
            </w:tcBorders>
          </w:tcPr>
          <w:p w14:paraId="6C29F7D0" w14:textId="77777777" w:rsidR="009B7E83" w:rsidRPr="00381AE6" w:rsidRDefault="00000000" w:rsidP="0044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27 (10.9%)</w:t>
            </w:r>
          </w:p>
        </w:tc>
      </w:tr>
      <w:tr w:rsidR="00BE1814" w:rsidRPr="00381AE6" w14:paraId="3136132D" w14:textId="77777777" w:rsidTr="00AA7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  <w:tcBorders>
              <w:bottom w:val="single" w:sz="8" w:space="0" w:color="auto"/>
            </w:tcBorders>
          </w:tcPr>
          <w:p w14:paraId="37801624" w14:textId="180B9213" w:rsidR="00BE1814" w:rsidRPr="00381AE6" w:rsidRDefault="00BE1814" w:rsidP="00441D1E">
            <w:pPr>
              <w:rPr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>VKA</w:t>
            </w:r>
          </w:p>
        </w:tc>
        <w:tc>
          <w:tcPr>
            <w:tcW w:w="4319" w:type="dxa"/>
            <w:tcBorders>
              <w:bottom w:val="single" w:sz="8" w:space="0" w:color="auto"/>
            </w:tcBorders>
          </w:tcPr>
          <w:p w14:paraId="47DE2B75" w14:textId="0EEF8ED0" w:rsidR="00BE1814" w:rsidRPr="00381AE6" w:rsidRDefault="00BE1814" w:rsidP="00441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81AE6">
              <w:rPr>
                <w:lang w:val="en-US"/>
              </w:rPr>
              <w:t>2 (0.8%)</w:t>
            </w:r>
          </w:p>
        </w:tc>
      </w:tr>
      <w:tr w:rsidR="00441D1E" w:rsidRPr="00381AE6" w14:paraId="58C83479" w14:textId="77777777" w:rsidTr="00AA7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0" w:type="dxa"/>
            <w:gridSpan w:val="2"/>
            <w:tcBorders>
              <w:top w:val="single" w:sz="8" w:space="0" w:color="auto"/>
              <w:bottom w:val="none" w:sz="0" w:space="0" w:color="auto"/>
            </w:tcBorders>
          </w:tcPr>
          <w:p w14:paraId="00EB2A73" w14:textId="4E4ABAF2" w:rsidR="00441D1E" w:rsidRPr="00381AE6" w:rsidRDefault="00441D1E" w:rsidP="00441D1E">
            <w:pPr>
              <w:rPr>
                <w:b w:val="0"/>
                <w:bCs w:val="0"/>
                <w:lang w:val="en-US"/>
              </w:rPr>
            </w:pPr>
            <w:r w:rsidRPr="00381AE6">
              <w:rPr>
                <w:b w:val="0"/>
                <w:bCs w:val="0"/>
                <w:lang w:val="en-US"/>
              </w:rPr>
              <w:t xml:space="preserve">ACE, Angiotensin-Converting Enzyme; ASA, Acetylsalicylic Acid; BMI, Body Mass Index; GLP-1, Glucagon-Like Peptide-1; MI, Myocardial Infarction; NOAC, </w:t>
            </w:r>
            <w:proofErr w:type="gramStart"/>
            <w:r w:rsidRPr="00381AE6">
              <w:rPr>
                <w:b w:val="0"/>
                <w:bCs w:val="0"/>
                <w:lang w:val="en-US"/>
              </w:rPr>
              <w:t>Non</w:t>
            </w:r>
            <w:proofErr w:type="gramEnd"/>
            <w:r w:rsidRPr="00381AE6">
              <w:rPr>
                <w:b w:val="0"/>
                <w:bCs w:val="0"/>
                <w:lang w:val="en-US"/>
              </w:rPr>
              <w:t>–Vitamin K Oral Anticoagulant; PCSK9, Proprotein Convertase Subtilisin/Kexin Type 9; SGLT2, Sodium–Glucose Cotransporter 2; VKA, Vitamin K Antagonist.</w:t>
            </w:r>
          </w:p>
        </w:tc>
      </w:tr>
    </w:tbl>
    <w:p w14:paraId="7E12712E" w14:textId="77777777" w:rsidR="00BE1814" w:rsidRPr="00381AE6" w:rsidRDefault="00BE1814">
      <w:pPr>
        <w:spacing w:line="480" w:lineRule="auto"/>
        <w:rPr>
          <w:lang w:val="en-US"/>
        </w:rPr>
        <w:sectPr w:rsidR="00BE1814" w:rsidRPr="00381AE6">
          <w:pgSz w:w="11906" w:h="16838"/>
          <w:pgMar w:top="1440" w:right="1440" w:bottom="1440" w:left="1440" w:header="0" w:footer="0" w:gutter="0"/>
          <w:pgNumType w:start="1"/>
          <w:cols w:space="720"/>
          <w:formProt w:val="0"/>
          <w:docGrid w:linePitch="299" w:charSpace="4096"/>
        </w:sectPr>
      </w:pPr>
    </w:p>
    <w:bookmarkEnd w:id="0"/>
    <w:p w14:paraId="7C62FA76" w14:textId="39E1FEC9" w:rsidR="00BE1814" w:rsidRPr="00381AE6" w:rsidRDefault="00BE1814" w:rsidP="00BE1814">
      <w:pPr>
        <w:spacing w:line="480" w:lineRule="auto"/>
        <w:rPr>
          <w:rFonts w:eastAsia="Roboto"/>
          <w:b/>
          <w:bCs/>
          <w:highlight w:val="white"/>
          <w:lang w:val="en-US"/>
        </w:rPr>
      </w:pPr>
      <w:r w:rsidRPr="00381AE6">
        <w:rPr>
          <w:rFonts w:eastAsia="Roboto"/>
          <w:b/>
          <w:bCs/>
          <w:highlight w:val="white"/>
          <w:lang w:val="en-US"/>
        </w:rPr>
        <w:lastRenderedPageBreak/>
        <w:t xml:space="preserve">Supplementary Table 2: </w:t>
      </w:r>
      <w:r w:rsidRPr="00381AE6">
        <w:rPr>
          <w:rFonts w:eastAsia="Roboto"/>
          <w:b/>
          <w:bCs/>
          <w:lang w:val="en-US"/>
        </w:rPr>
        <w:t xml:space="preserve">CGM metrics change between baseline and 4-months follow-up according to diabetes status. </w:t>
      </w:r>
    </w:p>
    <w:tbl>
      <w:tblPr>
        <w:tblStyle w:val="Tabellasemplice-2"/>
        <w:tblW w:w="1441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406"/>
        <w:gridCol w:w="1303"/>
        <w:gridCol w:w="1300"/>
        <w:gridCol w:w="1389"/>
        <w:gridCol w:w="1213"/>
        <w:gridCol w:w="1297"/>
        <w:gridCol w:w="1304"/>
        <w:gridCol w:w="1304"/>
        <w:gridCol w:w="1309"/>
        <w:gridCol w:w="1296"/>
        <w:gridCol w:w="1297"/>
      </w:tblGrid>
      <w:tr w:rsidR="00BE1814" w:rsidRPr="00381AE6" w14:paraId="66302B62" w14:textId="77777777" w:rsidTr="005E7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bottom w:val="single" w:sz="4" w:space="0" w:color="auto"/>
            </w:tcBorders>
          </w:tcPr>
          <w:p w14:paraId="7C2F8171" w14:textId="77777777" w:rsidR="00BE1814" w:rsidRPr="00381AE6" w:rsidRDefault="00BE1814" w:rsidP="00AF0E3A">
            <w:pPr>
              <w:jc w:val="center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Metric</w:t>
            </w:r>
          </w:p>
        </w:tc>
        <w:tc>
          <w:tcPr>
            <w:tcW w:w="1303" w:type="dxa"/>
            <w:tcBorders>
              <w:bottom w:val="single" w:sz="4" w:space="0" w:color="auto"/>
            </w:tcBorders>
          </w:tcPr>
          <w:p w14:paraId="4585C090" w14:textId="5EC10D9F" w:rsidR="00BE1814" w:rsidRPr="00381AE6" w:rsidRDefault="00311F86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Without Diabetes</w:t>
            </w:r>
            <w:r w:rsidR="00BE1814" w:rsidRPr="00381AE6">
              <w:rPr>
                <w:sz w:val="18"/>
                <w:szCs w:val="18"/>
                <w:lang w:val="en-US"/>
              </w:rPr>
              <w:br/>
              <w:t>Baseline</w:t>
            </w:r>
          </w:p>
        </w:tc>
        <w:tc>
          <w:tcPr>
            <w:tcW w:w="1300" w:type="dxa"/>
            <w:tcBorders>
              <w:bottom w:val="single" w:sz="4" w:space="0" w:color="auto"/>
            </w:tcBorders>
          </w:tcPr>
          <w:p w14:paraId="37393F89" w14:textId="14152D17" w:rsidR="00BE1814" w:rsidRPr="00381AE6" w:rsidRDefault="00311F86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Without Diabetes</w:t>
            </w:r>
            <w:r w:rsidR="00BE1814" w:rsidRPr="00381AE6">
              <w:rPr>
                <w:sz w:val="18"/>
                <w:szCs w:val="18"/>
                <w:lang w:val="en-US"/>
              </w:rPr>
              <w:br/>
              <w:t>4 months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2A4741D6" w14:textId="77777777" w:rsidR="00BE1814" w:rsidRPr="00381AE6" w:rsidRDefault="00BE1814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Mean</w:t>
            </w:r>
            <w:r w:rsidRPr="00381AE6">
              <w:rPr>
                <w:sz w:val="18"/>
                <w:szCs w:val="18"/>
                <w:lang w:val="en-US"/>
              </w:rPr>
              <w:br/>
              <w:t>difference</w:t>
            </w: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14:paraId="0AB58B22" w14:textId="77777777" w:rsidR="00BE1814" w:rsidRPr="00381AE6" w:rsidRDefault="00BE1814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95% CI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71A74967" w14:textId="77777777" w:rsidR="00BE1814" w:rsidRPr="00381AE6" w:rsidRDefault="00BE1814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p-value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9B7DB25" w14:textId="195EEB97" w:rsidR="00BE1814" w:rsidRPr="00381AE6" w:rsidRDefault="00BE1814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Diabet</w:t>
            </w:r>
            <w:r w:rsidR="00311F86" w:rsidRPr="00381AE6">
              <w:rPr>
                <w:sz w:val="18"/>
                <w:szCs w:val="18"/>
                <w:lang w:val="en-US"/>
              </w:rPr>
              <w:t>es</w:t>
            </w:r>
            <w:r w:rsidRPr="00381AE6">
              <w:rPr>
                <w:sz w:val="18"/>
                <w:szCs w:val="18"/>
                <w:lang w:val="en-US"/>
              </w:rPr>
              <w:br/>
              <w:t>Baseline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D5EF57A" w14:textId="7D8FF87F" w:rsidR="00BE1814" w:rsidRPr="00381AE6" w:rsidRDefault="00BE1814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Diabet</w:t>
            </w:r>
            <w:r w:rsidR="00311F86" w:rsidRPr="00381AE6">
              <w:rPr>
                <w:sz w:val="18"/>
                <w:szCs w:val="18"/>
                <w:lang w:val="en-US"/>
              </w:rPr>
              <w:t>es</w:t>
            </w:r>
            <w:r w:rsidRPr="00381AE6">
              <w:rPr>
                <w:sz w:val="18"/>
                <w:szCs w:val="18"/>
                <w:lang w:val="en-US"/>
              </w:rPr>
              <w:br/>
              <w:t>4 months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14:paraId="1EFC3DC3" w14:textId="77777777" w:rsidR="00BE1814" w:rsidRPr="00381AE6" w:rsidRDefault="00BE1814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Mean</w:t>
            </w:r>
            <w:r w:rsidRPr="00381AE6">
              <w:rPr>
                <w:sz w:val="18"/>
                <w:szCs w:val="18"/>
                <w:lang w:val="en-US"/>
              </w:rPr>
              <w:br/>
              <w:t>difference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4DDA1FA8" w14:textId="77777777" w:rsidR="00BE1814" w:rsidRPr="00381AE6" w:rsidRDefault="00BE1814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95% CI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43FD4440" w14:textId="77777777" w:rsidR="00BE1814" w:rsidRPr="00381AE6" w:rsidRDefault="00BE1814" w:rsidP="00AF0E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p-value</w:t>
            </w:r>
          </w:p>
        </w:tc>
      </w:tr>
      <w:tr w:rsidR="00BE1814" w:rsidRPr="00381AE6" w14:paraId="699AA6F1" w14:textId="77777777" w:rsidTr="005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top w:val="single" w:sz="4" w:space="0" w:color="auto"/>
              <w:bottom w:val="none" w:sz="0" w:space="0" w:color="auto"/>
            </w:tcBorders>
          </w:tcPr>
          <w:p w14:paraId="60FD2A2A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TIR 70-180 (%)</w:t>
            </w:r>
          </w:p>
        </w:tc>
        <w:tc>
          <w:tcPr>
            <w:tcW w:w="1303" w:type="dxa"/>
            <w:tcBorders>
              <w:top w:val="single" w:sz="4" w:space="0" w:color="auto"/>
              <w:bottom w:val="none" w:sz="0" w:space="0" w:color="auto"/>
            </w:tcBorders>
          </w:tcPr>
          <w:p w14:paraId="6B4765BF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96.82 ± 5.24</w:t>
            </w:r>
          </w:p>
        </w:tc>
        <w:tc>
          <w:tcPr>
            <w:tcW w:w="1300" w:type="dxa"/>
            <w:tcBorders>
              <w:top w:val="single" w:sz="4" w:space="0" w:color="auto"/>
              <w:bottom w:val="none" w:sz="0" w:space="0" w:color="auto"/>
            </w:tcBorders>
          </w:tcPr>
          <w:p w14:paraId="2D173E15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95.97 ± 8.48</w:t>
            </w:r>
          </w:p>
        </w:tc>
        <w:tc>
          <w:tcPr>
            <w:tcW w:w="1389" w:type="dxa"/>
            <w:tcBorders>
              <w:top w:val="single" w:sz="4" w:space="0" w:color="auto"/>
              <w:bottom w:val="none" w:sz="0" w:space="0" w:color="auto"/>
            </w:tcBorders>
          </w:tcPr>
          <w:p w14:paraId="6FB58278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-0.86</w:t>
            </w:r>
          </w:p>
        </w:tc>
        <w:tc>
          <w:tcPr>
            <w:tcW w:w="1213" w:type="dxa"/>
            <w:tcBorders>
              <w:top w:val="single" w:sz="4" w:space="0" w:color="auto"/>
              <w:bottom w:val="none" w:sz="0" w:space="0" w:color="auto"/>
            </w:tcBorders>
          </w:tcPr>
          <w:p w14:paraId="215B2371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[-3.23, 1.51]</w:t>
            </w:r>
          </w:p>
        </w:tc>
        <w:tc>
          <w:tcPr>
            <w:tcW w:w="1297" w:type="dxa"/>
            <w:tcBorders>
              <w:top w:val="single" w:sz="4" w:space="0" w:color="auto"/>
              <w:bottom w:val="none" w:sz="0" w:space="0" w:color="auto"/>
            </w:tcBorders>
          </w:tcPr>
          <w:p w14:paraId="406B6477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0.4724</w:t>
            </w:r>
          </w:p>
        </w:tc>
        <w:tc>
          <w:tcPr>
            <w:tcW w:w="1304" w:type="dxa"/>
            <w:tcBorders>
              <w:top w:val="single" w:sz="4" w:space="0" w:color="auto"/>
              <w:bottom w:val="none" w:sz="0" w:space="0" w:color="auto"/>
            </w:tcBorders>
          </w:tcPr>
          <w:p w14:paraId="72FA0ED5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74.50 ± 24.93</w:t>
            </w:r>
          </w:p>
        </w:tc>
        <w:tc>
          <w:tcPr>
            <w:tcW w:w="1304" w:type="dxa"/>
            <w:tcBorders>
              <w:top w:val="single" w:sz="4" w:space="0" w:color="auto"/>
              <w:bottom w:val="none" w:sz="0" w:space="0" w:color="auto"/>
            </w:tcBorders>
          </w:tcPr>
          <w:p w14:paraId="7E17E6E7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72.12 ± 26.35</w:t>
            </w:r>
          </w:p>
        </w:tc>
        <w:tc>
          <w:tcPr>
            <w:tcW w:w="1309" w:type="dxa"/>
            <w:tcBorders>
              <w:top w:val="single" w:sz="4" w:space="0" w:color="auto"/>
              <w:bottom w:val="none" w:sz="0" w:space="0" w:color="auto"/>
            </w:tcBorders>
          </w:tcPr>
          <w:p w14:paraId="760230EA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-2.38</w:t>
            </w:r>
          </w:p>
        </w:tc>
        <w:tc>
          <w:tcPr>
            <w:tcW w:w="1296" w:type="dxa"/>
            <w:tcBorders>
              <w:top w:val="single" w:sz="4" w:space="0" w:color="auto"/>
              <w:bottom w:val="none" w:sz="0" w:space="0" w:color="auto"/>
            </w:tcBorders>
          </w:tcPr>
          <w:p w14:paraId="4D1B6ABB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[-8.06, 3.31]</w:t>
            </w:r>
          </w:p>
        </w:tc>
        <w:tc>
          <w:tcPr>
            <w:tcW w:w="1297" w:type="dxa"/>
            <w:tcBorders>
              <w:top w:val="single" w:sz="4" w:space="0" w:color="auto"/>
              <w:bottom w:val="none" w:sz="0" w:space="0" w:color="auto"/>
            </w:tcBorders>
          </w:tcPr>
          <w:p w14:paraId="2FDA6D2A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0.3861</w:t>
            </w:r>
          </w:p>
        </w:tc>
      </w:tr>
      <w:tr w:rsidR="00BE1814" w:rsidRPr="00381AE6" w14:paraId="7ED5E41D" w14:textId="77777777" w:rsidTr="005E7C4E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6D035EB7" w14:textId="1F005623" w:rsidR="00BE1814" w:rsidRPr="00381AE6" w:rsidRDefault="009C02A7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b w:val="0"/>
                <w:bCs w:val="0"/>
                <w:sz w:val="18"/>
                <w:szCs w:val="18"/>
                <w:lang w:val="en-US"/>
              </w:rPr>
              <w:t>TTR</w:t>
            </w:r>
            <w:r w:rsidR="00BE1814" w:rsidRPr="00381AE6">
              <w:rPr>
                <w:b w:val="0"/>
                <w:bCs w:val="0"/>
                <w:sz w:val="18"/>
                <w:szCs w:val="18"/>
                <w:lang w:val="en-US"/>
              </w:rPr>
              <w:t xml:space="preserve"> 70-140 (%)</w:t>
            </w:r>
          </w:p>
        </w:tc>
        <w:tc>
          <w:tcPr>
            <w:tcW w:w="1303" w:type="dxa"/>
          </w:tcPr>
          <w:p w14:paraId="3555734A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88.73 ± 8.82</w:t>
            </w:r>
          </w:p>
        </w:tc>
        <w:tc>
          <w:tcPr>
            <w:tcW w:w="1300" w:type="dxa"/>
          </w:tcPr>
          <w:p w14:paraId="2A34AB6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85.70 ± 11.30</w:t>
            </w:r>
          </w:p>
        </w:tc>
        <w:tc>
          <w:tcPr>
            <w:tcW w:w="1389" w:type="dxa"/>
          </w:tcPr>
          <w:p w14:paraId="41A19B17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-3.03</w:t>
            </w:r>
          </w:p>
        </w:tc>
        <w:tc>
          <w:tcPr>
            <w:tcW w:w="1213" w:type="dxa"/>
          </w:tcPr>
          <w:p w14:paraId="6FC78C0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[-5.92, -0.14]</w:t>
            </w:r>
          </w:p>
        </w:tc>
        <w:tc>
          <w:tcPr>
            <w:tcW w:w="1297" w:type="dxa"/>
          </w:tcPr>
          <w:p w14:paraId="5554F8F5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0.0333</w:t>
            </w:r>
          </w:p>
        </w:tc>
        <w:tc>
          <w:tcPr>
            <w:tcW w:w="1304" w:type="dxa"/>
          </w:tcPr>
          <w:p w14:paraId="37DFC338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52.58 ± 29.81</w:t>
            </w:r>
          </w:p>
        </w:tc>
        <w:tc>
          <w:tcPr>
            <w:tcW w:w="1304" w:type="dxa"/>
          </w:tcPr>
          <w:p w14:paraId="1E510A9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47.69 ± 27.93</w:t>
            </w:r>
          </w:p>
        </w:tc>
        <w:tc>
          <w:tcPr>
            <w:tcW w:w="1309" w:type="dxa"/>
          </w:tcPr>
          <w:p w14:paraId="26112FFC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-4.89</w:t>
            </w:r>
          </w:p>
        </w:tc>
        <w:tc>
          <w:tcPr>
            <w:tcW w:w="1296" w:type="dxa"/>
          </w:tcPr>
          <w:p w14:paraId="7C6A8F30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[-10.39, 0.61]</w:t>
            </w:r>
          </w:p>
        </w:tc>
        <w:tc>
          <w:tcPr>
            <w:tcW w:w="1297" w:type="dxa"/>
          </w:tcPr>
          <w:p w14:paraId="1F0430E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0.0799</w:t>
            </w:r>
          </w:p>
        </w:tc>
      </w:tr>
      <w:tr w:rsidR="00BE1814" w:rsidRPr="00381AE6" w14:paraId="4ECB507D" w14:textId="77777777" w:rsidTr="005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top w:val="none" w:sz="0" w:space="0" w:color="auto"/>
              <w:bottom w:val="none" w:sz="0" w:space="0" w:color="auto"/>
            </w:tcBorders>
          </w:tcPr>
          <w:p w14:paraId="6E9D1B94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TAR &gt;180 (%)</w:t>
            </w:r>
          </w:p>
        </w:tc>
        <w:tc>
          <w:tcPr>
            <w:tcW w:w="1303" w:type="dxa"/>
            <w:tcBorders>
              <w:top w:val="none" w:sz="0" w:space="0" w:color="auto"/>
              <w:bottom w:val="none" w:sz="0" w:space="0" w:color="auto"/>
            </w:tcBorders>
          </w:tcPr>
          <w:p w14:paraId="1C37DDF3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1.20 ± 2.62</w:t>
            </w:r>
          </w:p>
        </w:tc>
        <w:tc>
          <w:tcPr>
            <w:tcW w:w="1300" w:type="dxa"/>
            <w:tcBorders>
              <w:top w:val="none" w:sz="0" w:space="0" w:color="auto"/>
              <w:bottom w:val="none" w:sz="0" w:space="0" w:color="auto"/>
            </w:tcBorders>
          </w:tcPr>
          <w:p w14:paraId="264A7D62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1.47 ± 2.44</w:t>
            </w:r>
          </w:p>
        </w:tc>
        <w:tc>
          <w:tcPr>
            <w:tcW w:w="1389" w:type="dxa"/>
            <w:tcBorders>
              <w:top w:val="none" w:sz="0" w:space="0" w:color="auto"/>
              <w:bottom w:val="none" w:sz="0" w:space="0" w:color="auto"/>
            </w:tcBorders>
          </w:tcPr>
          <w:p w14:paraId="12B8E4BB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0.27</w:t>
            </w:r>
          </w:p>
        </w:tc>
        <w:tc>
          <w:tcPr>
            <w:tcW w:w="1213" w:type="dxa"/>
            <w:tcBorders>
              <w:top w:val="none" w:sz="0" w:space="0" w:color="auto"/>
              <w:bottom w:val="none" w:sz="0" w:space="0" w:color="auto"/>
            </w:tcBorders>
          </w:tcPr>
          <w:p w14:paraId="5A2BA263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[-0.21, 0.76]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5701A29B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0.1894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74C7EAB3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23.92 ± 25.53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3483BF6D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26.16 ± 26.33</w:t>
            </w:r>
          </w:p>
        </w:tc>
        <w:tc>
          <w:tcPr>
            <w:tcW w:w="1309" w:type="dxa"/>
            <w:tcBorders>
              <w:top w:val="none" w:sz="0" w:space="0" w:color="auto"/>
              <w:bottom w:val="none" w:sz="0" w:space="0" w:color="auto"/>
            </w:tcBorders>
          </w:tcPr>
          <w:p w14:paraId="3D538FBD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2.24</w:t>
            </w:r>
          </w:p>
        </w:tc>
        <w:tc>
          <w:tcPr>
            <w:tcW w:w="1296" w:type="dxa"/>
            <w:tcBorders>
              <w:top w:val="none" w:sz="0" w:space="0" w:color="auto"/>
              <w:bottom w:val="none" w:sz="0" w:space="0" w:color="auto"/>
            </w:tcBorders>
          </w:tcPr>
          <w:p w14:paraId="49BE2904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[-3.11, 7.58]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1F3852C0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0.2081</w:t>
            </w:r>
          </w:p>
        </w:tc>
      </w:tr>
      <w:tr w:rsidR="00BE1814" w:rsidRPr="00381AE6" w14:paraId="04F74B74" w14:textId="77777777" w:rsidTr="005E7C4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68DBA2D9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TBR &lt;70 (%)</w:t>
            </w:r>
          </w:p>
        </w:tc>
        <w:tc>
          <w:tcPr>
            <w:tcW w:w="1303" w:type="dxa"/>
          </w:tcPr>
          <w:p w14:paraId="4D035E0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1.98 ± 4.75</w:t>
            </w:r>
          </w:p>
        </w:tc>
        <w:tc>
          <w:tcPr>
            <w:tcW w:w="1300" w:type="dxa"/>
          </w:tcPr>
          <w:p w14:paraId="153C4FA0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2.56 ± 7.96</w:t>
            </w:r>
          </w:p>
        </w:tc>
        <w:tc>
          <w:tcPr>
            <w:tcW w:w="1389" w:type="dxa"/>
          </w:tcPr>
          <w:p w14:paraId="45C76F5D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0.58</w:t>
            </w:r>
          </w:p>
        </w:tc>
        <w:tc>
          <w:tcPr>
            <w:tcW w:w="1213" w:type="dxa"/>
          </w:tcPr>
          <w:p w14:paraId="0F080C25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[-1.71, 2.88]</w:t>
            </w:r>
          </w:p>
        </w:tc>
        <w:tc>
          <w:tcPr>
            <w:tcW w:w="1297" w:type="dxa"/>
          </w:tcPr>
          <w:p w14:paraId="42C69440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0.6958</w:t>
            </w:r>
          </w:p>
        </w:tc>
        <w:tc>
          <w:tcPr>
            <w:tcW w:w="1304" w:type="dxa"/>
          </w:tcPr>
          <w:p w14:paraId="5732268D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1.58 ± 2.59</w:t>
            </w:r>
          </w:p>
        </w:tc>
        <w:tc>
          <w:tcPr>
            <w:tcW w:w="1304" w:type="dxa"/>
          </w:tcPr>
          <w:p w14:paraId="39FDDE1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1.73 ± 6.97</w:t>
            </w:r>
          </w:p>
        </w:tc>
        <w:tc>
          <w:tcPr>
            <w:tcW w:w="1309" w:type="dxa"/>
          </w:tcPr>
          <w:p w14:paraId="5B3EF824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0.14</w:t>
            </w:r>
          </w:p>
        </w:tc>
        <w:tc>
          <w:tcPr>
            <w:tcW w:w="1296" w:type="dxa"/>
          </w:tcPr>
          <w:p w14:paraId="19C275B7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[-2.09, 2.37]</w:t>
            </w:r>
          </w:p>
        </w:tc>
        <w:tc>
          <w:tcPr>
            <w:tcW w:w="1297" w:type="dxa"/>
          </w:tcPr>
          <w:p w14:paraId="542AB1E4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0.0209</w:t>
            </w:r>
          </w:p>
        </w:tc>
      </w:tr>
      <w:tr w:rsidR="00BE1814" w:rsidRPr="00381AE6" w14:paraId="23BD4F20" w14:textId="77777777" w:rsidTr="005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top w:val="none" w:sz="0" w:space="0" w:color="auto"/>
              <w:bottom w:val="none" w:sz="0" w:space="0" w:color="auto"/>
            </w:tcBorders>
          </w:tcPr>
          <w:p w14:paraId="1E164988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TBR level 2 (&lt;54, %)</w:t>
            </w:r>
          </w:p>
        </w:tc>
        <w:tc>
          <w:tcPr>
            <w:tcW w:w="1303" w:type="dxa"/>
            <w:tcBorders>
              <w:top w:val="none" w:sz="0" w:space="0" w:color="auto"/>
              <w:bottom w:val="none" w:sz="0" w:space="0" w:color="auto"/>
            </w:tcBorders>
          </w:tcPr>
          <w:p w14:paraId="580F9636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0.32 ± 0.85</w:t>
            </w:r>
          </w:p>
        </w:tc>
        <w:tc>
          <w:tcPr>
            <w:tcW w:w="1300" w:type="dxa"/>
            <w:tcBorders>
              <w:top w:val="none" w:sz="0" w:space="0" w:color="auto"/>
              <w:bottom w:val="none" w:sz="0" w:space="0" w:color="auto"/>
            </w:tcBorders>
          </w:tcPr>
          <w:p w14:paraId="69026B1C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0.58 ± 2.59</w:t>
            </w:r>
          </w:p>
        </w:tc>
        <w:tc>
          <w:tcPr>
            <w:tcW w:w="1389" w:type="dxa"/>
            <w:tcBorders>
              <w:top w:val="none" w:sz="0" w:space="0" w:color="auto"/>
              <w:bottom w:val="none" w:sz="0" w:space="0" w:color="auto"/>
            </w:tcBorders>
          </w:tcPr>
          <w:p w14:paraId="1CD3F4AE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0.26</w:t>
            </w:r>
          </w:p>
        </w:tc>
        <w:tc>
          <w:tcPr>
            <w:tcW w:w="1213" w:type="dxa"/>
            <w:tcBorders>
              <w:top w:val="none" w:sz="0" w:space="0" w:color="auto"/>
              <w:bottom w:val="none" w:sz="0" w:space="0" w:color="auto"/>
            </w:tcBorders>
          </w:tcPr>
          <w:p w14:paraId="0A5E7315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[-0.44, 0.96]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6471A51F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0.8931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76D894D0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0.14 ± 0.32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6DD1E7BF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0.20 ± 0.94</w:t>
            </w:r>
          </w:p>
        </w:tc>
        <w:tc>
          <w:tcPr>
            <w:tcW w:w="1309" w:type="dxa"/>
            <w:tcBorders>
              <w:top w:val="none" w:sz="0" w:space="0" w:color="auto"/>
              <w:bottom w:val="none" w:sz="0" w:space="0" w:color="auto"/>
            </w:tcBorders>
          </w:tcPr>
          <w:p w14:paraId="28B471B7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0.05</w:t>
            </w:r>
          </w:p>
        </w:tc>
        <w:tc>
          <w:tcPr>
            <w:tcW w:w="1296" w:type="dxa"/>
            <w:tcBorders>
              <w:top w:val="none" w:sz="0" w:space="0" w:color="auto"/>
              <w:bottom w:val="none" w:sz="0" w:space="0" w:color="auto"/>
            </w:tcBorders>
          </w:tcPr>
          <w:p w14:paraId="2D7B3F8A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[-0.24, 0.35]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6C41649A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0.1137</w:t>
            </w:r>
          </w:p>
        </w:tc>
      </w:tr>
      <w:tr w:rsidR="00BE1814" w:rsidRPr="00381AE6" w14:paraId="67CA90C7" w14:textId="77777777" w:rsidTr="005E7C4E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309136BF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TAR level 2 (&gt;=250, %)</w:t>
            </w:r>
          </w:p>
        </w:tc>
        <w:tc>
          <w:tcPr>
            <w:tcW w:w="1303" w:type="dxa"/>
          </w:tcPr>
          <w:p w14:paraId="4DEE1919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0.03 ± 0.13</w:t>
            </w:r>
          </w:p>
        </w:tc>
        <w:tc>
          <w:tcPr>
            <w:tcW w:w="1300" w:type="dxa"/>
          </w:tcPr>
          <w:p w14:paraId="4245BA82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0.03 ± 0.12</w:t>
            </w:r>
          </w:p>
        </w:tc>
        <w:tc>
          <w:tcPr>
            <w:tcW w:w="1389" w:type="dxa"/>
          </w:tcPr>
          <w:p w14:paraId="0810F2A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-0.00</w:t>
            </w:r>
          </w:p>
        </w:tc>
        <w:tc>
          <w:tcPr>
            <w:tcW w:w="1213" w:type="dxa"/>
          </w:tcPr>
          <w:p w14:paraId="0D3AD4C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[-0.02, 0.02]</w:t>
            </w:r>
          </w:p>
        </w:tc>
        <w:tc>
          <w:tcPr>
            <w:tcW w:w="1297" w:type="dxa"/>
          </w:tcPr>
          <w:p w14:paraId="2502A347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0.9165</w:t>
            </w:r>
          </w:p>
        </w:tc>
        <w:tc>
          <w:tcPr>
            <w:tcW w:w="1304" w:type="dxa"/>
          </w:tcPr>
          <w:p w14:paraId="713E965C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6.30 ± 10.21</w:t>
            </w:r>
          </w:p>
        </w:tc>
        <w:tc>
          <w:tcPr>
            <w:tcW w:w="1304" w:type="dxa"/>
          </w:tcPr>
          <w:p w14:paraId="091B30C6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7.52 ± 14.21</w:t>
            </w:r>
          </w:p>
        </w:tc>
        <w:tc>
          <w:tcPr>
            <w:tcW w:w="1309" w:type="dxa"/>
          </w:tcPr>
          <w:p w14:paraId="732ADE3D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1.22</w:t>
            </w:r>
          </w:p>
        </w:tc>
        <w:tc>
          <w:tcPr>
            <w:tcW w:w="1296" w:type="dxa"/>
          </w:tcPr>
          <w:p w14:paraId="4E9CC0D9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[-2.43, 4.88]</w:t>
            </w:r>
          </w:p>
        </w:tc>
        <w:tc>
          <w:tcPr>
            <w:tcW w:w="1297" w:type="dxa"/>
          </w:tcPr>
          <w:p w14:paraId="6E9F13E1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0.6154</w:t>
            </w:r>
          </w:p>
        </w:tc>
      </w:tr>
      <w:tr w:rsidR="00BE1814" w:rsidRPr="00381AE6" w14:paraId="25733EA9" w14:textId="77777777" w:rsidTr="005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top w:val="none" w:sz="0" w:space="0" w:color="auto"/>
              <w:bottom w:val="none" w:sz="0" w:space="0" w:color="auto"/>
            </w:tcBorders>
          </w:tcPr>
          <w:p w14:paraId="61210DAA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Mean glucose (mg/dL)</w:t>
            </w:r>
          </w:p>
        </w:tc>
        <w:tc>
          <w:tcPr>
            <w:tcW w:w="1303" w:type="dxa"/>
            <w:tcBorders>
              <w:top w:val="none" w:sz="0" w:space="0" w:color="auto"/>
              <w:bottom w:val="none" w:sz="0" w:space="0" w:color="auto"/>
            </w:tcBorders>
          </w:tcPr>
          <w:p w14:paraId="4C1617C3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109.30 ± 9.93</w:t>
            </w:r>
          </w:p>
        </w:tc>
        <w:tc>
          <w:tcPr>
            <w:tcW w:w="1300" w:type="dxa"/>
            <w:tcBorders>
              <w:top w:val="none" w:sz="0" w:space="0" w:color="auto"/>
              <w:bottom w:val="none" w:sz="0" w:space="0" w:color="auto"/>
            </w:tcBorders>
          </w:tcPr>
          <w:p w14:paraId="069A67FD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111.58 ± 11.05</w:t>
            </w:r>
          </w:p>
        </w:tc>
        <w:tc>
          <w:tcPr>
            <w:tcW w:w="1389" w:type="dxa"/>
            <w:tcBorders>
              <w:top w:val="none" w:sz="0" w:space="0" w:color="auto"/>
              <w:bottom w:val="none" w:sz="0" w:space="0" w:color="auto"/>
            </w:tcBorders>
          </w:tcPr>
          <w:p w14:paraId="6C9407B6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2.28</w:t>
            </w:r>
          </w:p>
        </w:tc>
        <w:tc>
          <w:tcPr>
            <w:tcW w:w="1213" w:type="dxa"/>
            <w:tcBorders>
              <w:top w:val="none" w:sz="0" w:space="0" w:color="auto"/>
              <w:bottom w:val="none" w:sz="0" w:space="0" w:color="auto"/>
            </w:tcBorders>
          </w:tcPr>
          <w:p w14:paraId="05F8B0CE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[-0.32, 4.87]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30A380AA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0.0843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0B8BCB95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148.71 ± 38.07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0D0DD418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154.64 ± 42.03</w:t>
            </w:r>
          </w:p>
        </w:tc>
        <w:tc>
          <w:tcPr>
            <w:tcW w:w="1309" w:type="dxa"/>
            <w:tcBorders>
              <w:top w:val="none" w:sz="0" w:space="0" w:color="auto"/>
              <w:bottom w:val="none" w:sz="0" w:space="0" w:color="auto"/>
            </w:tcBorders>
          </w:tcPr>
          <w:p w14:paraId="668E62B3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5.93</w:t>
            </w:r>
          </w:p>
        </w:tc>
        <w:tc>
          <w:tcPr>
            <w:tcW w:w="1296" w:type="dxa"/>
            <w:tcBorders>
              <w:top w:val="none" w:sz="0" w:space="0" w:color="auto"/>
              <w:bottom w:val="none" w:sz="0" w:space="0" w:color="auto"/>
            </w:tcBorders>
          </w:tcPr>
          <w:p w14:paraId="7F6D5FE4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[-2.92, 14.78]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22049921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0.1840</w:t>
            </w:r>
          </w:p>
        </w:tc>
      </w:tr>
      <w:tr w:rsidR="00BE1814" w:rsidRPr="00381AE6" w14:paraId="1592C658" w14:textId="77777777" w:rsidTr="005E7C4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5137B1A9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SD (mg/dL)</w:t>
            </w:r>
          </w:p>
        </w:tc>
        <w:tc>
          <w:tcPr>
            <w:tcW w:w="1303" w:type="dxa"/>
          </w:tcPr>
          <w:p w14:paraId="60A7792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20.26 ± 6.32</w:t>
            </w:r>
          </w:p>
        </w:tc>
        <w:tc>
          <w:tcPr>
            <w:tcW w:w="1300" w:type="dxa"/>
          </w:tcPr>
          <w:p w14:paraId="13E0E348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21.45 ± 6.42</w:t>
            </w:r>
          </w:p>
        </w:tc>
        <w:tc>
          <w:tcPr>
            <w:tcW w:w="1389" w:type="dxa"/>
          </w:tcPr>
          <w:p w14:paraId="357C0784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1.18</w:t>
            </w:r>
          </w:p>
        </w:tc>
        <w:tc>
          <w:tcPr>
            <w:tcW w:w="1213" w:type="dxa"/>
          </w:tcPr>
          <w:p w14:paraId="72391BE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[0.04, 2.33]</w:t>
            </w:r>
          </w:p>
        </w:tc>
        <w:tc>
          <w:tcPr>
            <w:tcW w:w="1297" w:type="dxa"/>
          </w:tcPr>
          <w:p w14:paraId="13F17685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0.0429</w:t>
            </w:r>
          </w:p>
        </w:tc>
        <w:tc>
          <w:tcPr>
            <w:tcW w:w="1304" w:type="dxa"/>
          </w:tcPr>
          <w:p w14:paraId="315C85F0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38.19 ± 14.74</w:t>
            </w:r>
          </w:p>
        </w:tc>
        <w:tc>
          <w:tcPr>
            <w:tcW w:w="1304" w:type="dxa"/>
          </w:tcPr>
          <w:p w14:paraId="458B15D0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39.31 ± 15.11</w:t>
            </w:r>
          </w:p>
        </w:tc>
        <w:tc>
          <w:tcPr>
            <w:tcW w:w="1309" w:type="dxa"/>
          </w:tcPr>
          <w:p w14:paraId="03D0AD4D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1.13</w:t>
            </w:r>
          </w:p>
        </w:tc>
        <w:tc>
          <w:tcPr>
            <w:tcW w:w="1296" w:type="dxa"/>
          </w:tcPr>
          <w:p w14:paraId="77950330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[-2.28, 4.54]</w:t>
            </w:r>
          </w:p>
        </w:tc>
        <w:tc>
          <w:tcPr>
            <w:tcW w:w="1297" w:type="dxa"/>
          </w:tcPr>
          <w:p w14:paraId="2AA84CB0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0.5096</w:t>
            </w:r>
          </w:p>
        </w:tc>
      </w:tr>
      <w:tr w:rsidR="00BE1814" w:rsidRPr="00381AE6" w14:paraId="0BD0B7CB" w14:textId="77777777" w:rsidTr="005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top w:val="none" w:sz="0" w:space="0" w:color="auto"/>
              <w:bottom w:val="none" w:sz="0" w:space="0" w:color="auto"/>
            </w:tcBorders>
          </w:tcPr>
          <w:p w14:paraId="3ACFDF9B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CV (%)</w:t>
            </w:r>
          </w:p>
        </w:tc>
        <w:tc>
          <w:tcPr>
            <w:tcW w:w="1303" w:type="dxa"/>
            <w:tcBorders>
              <w:top w:val="none" w:sz="0" w:space="0" w:color="auto"/>
              <w:bottom w:val="none" w:sz="0" w:space="0" w:color="auto"/>
            </w:tcBorders>
          </w:tcPr>
          <w:p w14:paraId="53C21BA4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18.43 ± 4.90</w:t>
            </w:r>
          </w:p>
        </w:tc>
        <w:tc>
          <w:tcPr>
            <w:tcW w:w="1300" w:type="dxa"/>
            <w:tcBorders>
              <w:top w:val="none" w:sz="0" w:space="0" w:color="auto"/>
              <w:bottom w:val="none" w:sz="0" w:space="0" w:color="auto"/>
            </w:tcBorders>
          </w:tcPr>
          <w:p w14:paraId="58AB56B7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19.19 ± 5.16</w:t>
            </w:r>
          </w:p>
        </w:tc>
        <w:tc>
          <w:tcPr>
            <w:tcW w:w="1389" w:type="dxa"/>
            <w:tcBorders>
              <w:top w:val="none" w:sz="0" w:space="0" w:color="auto"/>
              <w:bottom w:val="none" w:sz="0" w:space="0" w:color="auto"/>
            </w:tcBorders>
          </w:tcPr>
          <w:p w14:paraId="402A9926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0.76</w:t>
            </w:r>
          </w:p>
        </w:tc>
        <w:tc>
          <w:tcPr>
            <w:tcW w:w="1213" w:type="dxa"/>
            <w:tcBorders>
              <w:top w:val="none" w:sz="0" w:space="0" w:color="auto"/>
              <w:bottom w:val="none" w:sz="0" w:space="0" w:color="auto"/>
            </w:tcBorders>
          </w:tcPr>
          <w:p w14:paraId="3D422B82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[-0.33, 1.85]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2E8BF8DD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0.1701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4AD6F992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25.51 ± 6.90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3431343A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25.18 ± 6.38</w:t>
            </w:r>
          </w:p>
        </w:tc>
        <w:tc>
          <w:tcPr>
            <w:tcW w:w="1309" w:type="dxa"/>
            <w:tcBorders>
              <w:top w:val="none" w:sz="0" w:space="0" w:color="auto"/>
              <w:bottom w:val="none" w:sz="0" w:space="0" w:color="auto"/>
            </w:tcBorders>
          </w:tcPr>
          <w:p w14:paraId="5EAD54E8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-0.34</w:t>
            </w:r>
          </w:p>
        </w:tc>
        <w:tc>
          <w:tcPr>
            <w:tcW w:w="1296" w:type="dxa"/>
            <w:tcBorders>
              <w:top w:val="none" w:sz="0" w:space="0" w:color="auto"/>
              <w:bottom w:val="none" w:sz="0" w:space="0" w:color="auto"/>
            </w:tcBorders>
          </w:tcPr>
          <w:p w14:paraId="3A9F3F31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[-2.44, 1.77]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0A481EC2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0.9207</w:t>
            </w:r>
          </w:p>
        </w:tc>
      </w:tr>
      <w:tr w:rsidR="00BE1814" w:rsidRPr="00381AE6" w14:paraId="46272097" w14:textId="77777777" w:rsidTr="005E7C4E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6127ACE1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Intraday CV (%)</w:t>
            </w:r>
          </w:p>
        </w:tc>
        <w:tc>
          <w:tcPr>
            <w:tcW w:w="1303" w:type="dxa"/>
          </w:tcPr>
          <w:p w14:paraId="4A200E2D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16.70 ± 4.44</w:t>
            </w:r>
          </w:p>
        </w:tc>
        <w:tc>
          <w:tcPr>
            <w:tcW w:w="1300" w:type="dxa"/>
          </w:tcPr>
          <w:p w14:paraId="4ACCB767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17.55 ± 4.34</w:t>
            </w:r>
          </w:p>
        </w:tc>
        <w:tc>
          <w:tcPr>
            <w:tcW w:w="1389" w:type="dxa"/>
          </w:tcPr>
          <w:p w14:paraId="2AA4C934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0.85</w:t>
            </w:r>
          </w:p>
        </w:tc>
        <w:tc>
          <w:tcPr>
            <w:tcW w:w="1213" w:type="dxa"/>
          </w:tcPr>
          <w:p w14:paraId="0EC7A11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[0.05, 1.64]</w:t>
            </w:r>
          </w:p>
        </w:tc>
        <w:tc>
          <w:tcPr>
            <w:tcW w:w="1297" w:type="dxa"/>
          </w:tcPr>
          <w:p w14:paraId="1B7CAB7B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0.0146</w:t>
            </w:r>
          </w:p>
        </w:tc>
        <w:tc>
          <w:tcPr>
            <w:tcW w:w="1304" w:type="dxa"/>
          </w:tcPr>
          <w:p w14:paraId="18CB4E46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20.63 ± 4.29</w:t>
            </w:r>
          </w:p>
        </w:tc>
        <w:tc>
          <w:tcPr>
            <w:tcW w:w="1304" w:type="dxa"/>
          </w:tcPr>
          <w:p w14:paraId="4A869CE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21.66 ± 4.76</w:t>
            </w:r>
          </w:p>
        </w:tc>
        <w:tc>
          <w:tcPr>
            <w:tcW w:w="1309" w:type="dxa"/>
          </w:tcPr>
          <w:p w14:paraId="293F5DE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1.03</w:t>
            </w:r>
          </w:p>
        </w:tc>
        <w:tc>
          <w:tcPr>
            <w:tcW w:w="1296" w:type="dxa"/>
          </w:tcPr>
          <w:p w14:paraId="7F035CE2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[-0.17, 2.23]</w:t>
            </w:r>
          </w:p>
        </w:tc>
        <w:tc>
          <w:tcPr>
            <w:tcW w:w="1297" w:type="dxa"/>
          </w:tcPr>
          <w:p w14:paraId="3F0F39B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0.0909</w:t>
            </w:r>
          </w:p>
        </w:tc>
      </w:tr>
      <w:tr w:rsidR="00BE1814" w:rsidRPr="00381AE6" w14:paraId="1F06DDFB" w14:textId="77777777" w:rsidTr="005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top w:val="none" w:sz="0" w:space="0" w:color="auto"/>
              <w:bottom w:val="none" w:sz="0" w:space="0" w:color="auto"/>
            </w:tcBorders>
          </w:tcPr>
          <w:p w14:paraId="661A1047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GMI (%)</w:t>
            </w:r>
          </w:p>
        </w:tc>
        <w:tc>
          <w:tcPr>
            <w:tcW w:w="1303" w:type="dxa"/>
            <w:tcBorders>
              <w:top w:val="none" w:sz="0" w:space="0" w:color="auto"/>
              <w:bottom w:val="none" w:sz="0" w:space="0" w:color="auto"/>
            </w:tcBorders>
          </w:tcPr>
          <w:p w14:paraId="10EF6251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5.92 ± 0.24</w:t>
            </w:r>
          </w:p>
        </w:tc>
        <w:tc>
          <w:tcPr>
            <w:tcW w:w="1300" w:type="dxa"/>
            <w:tcBorders>
              <w:top w:val="none" w:sz="0" w:space="0" w:color="auto"/>
              <w:bottom w:val="none" w:sz="0" w:space="0" w:color="auto"/>
            </w:tcBorders>
          </w:tcPr>
          <w:p w14:paraId="4A9B6DD4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5.98 ± 0.26</w:t>
            </w:r>
          </w:p>
        </w:tc>
        <w:tc>
          <w:tcPr>
            <w:tcW w:w="1389" w:type="dxa"/>
            <w:tcBorders>
              <w:top w:val="none" w:sz="0" w:space="0" w:color="auto"/>
              <w:bottom w:val="none" w:sz="0" w:space="0" w:color="auto"/>
            </w:tcBorders>
          </w:tcPr>
          <w:p w14:paraId="47D144E4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0.05</w:t>
            </w:r>
          </w:p>
        </w:tc>
        <w:tc>
          <w:tcPr>
            <w:tcW w:w="1213" w:type="dxa"/>
            <w:tcBorders>
              <w:top w:val="none" w:sz="0" w:space="0" w:color="auto"/>
              <w:bottom w:val="none" w:sz="0" w:space="0" w:color="auto"/>
            </w:tcBorders>
          </w:tcPr>
          <w:p w14:paraId="424CC7BA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[-0.01, 0.12]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16970FCD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0.0843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3C45EE29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6.87 ± 0.91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61CE67B2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7.01 ± 1.01</w:t>
            </w:r>
          </w:p>
        </w:tc>
        <w:tc>
          <w:tcPr>
            <w:tcW w:w="1309" w:type="dxa"/>
            <w:tcBorders>
              <w:top w:val="none" w:sz="0" w:space="0" w:color="auto"/>
              <w:bottom w:val="none" w:sz="0" w:space="0" w:color="auto"/>
            </w:tcBorders>
          </w:tcPr>
          <w:p w14:paraId="466CF879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0.14</w:t>
            </w:r>
          </w:p>
        </w:tc>
        <w:tc>
          <w:tcPr>
            <w:tcW w:w="1296" w:type="dxa"/>
            <w:tcBorders>
              <w:top w:val="none" w:sz="0" w:space="0" w:color="auto"/>
              <w:bottom w:val="none" w:sz="0" w:space="0" w:color="auto"/>
            </w:tcBorders>
          </w:tcPr>
          <w:p w14:paraId="5D850782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[-0.07, 0.35]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537DDFFD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0.1840</w:t>
            </w:r>
          </w:p>
        </w:tc>
      </w:tr>
      <w:tr w:rsidR="00BE1814" w:rsidRPr="00381AE6" w14:paraId="2A40E3E3" w14:textId="77777777" w:rsidTr="005E7C4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657E9D54" w14:textId="77777777" w:rsidR="00BE1814" w:rsidRPr="00381AE6" w:rsidRDefault="00BE1814" w:rsidP="00AF0E3A">
            <w:pPr>
              <w:rPr>
                <w:b w:val="0"/>
                <w:bCs w:val="0"/>
                <w:sz w:val="18"/>
                <w:szCs w:val="18"/>
                <w:lang w:val="en-US"/>
              </w:rPr>
            </w:pPr>
            <w:r w:rsidRPr="00381AE6">
              <w:rPr>
                <w:b w:val="0"/>
                <w:bCs w:val="0"/>
                <w:sz w:val="18"/>
                <w:szCs w:val="18"/>
                <w:lang w:val="en-US"/>
              </w:rPr>
              <w:t>MAGE (mg/dL)</w:t>
            </w:r>
          </w:p>
        </w:tc>
        <w:tc>
          <w:tcPr>
            <w:tcW w:w="1303" w:type="dxa"/>
          </w:tcPr>
          <w:p w14:paraId="456693BB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40.54 ± 12.95</w:t>
            </w:r>
          </w:p>
        </w:tc>
        <w:tc>
          <w:tcPr>
            <w:tcW w:w="1300" w:type="dxa"/>
          </w:tcPr>
          <w:p w14:paraId="0B3E3C36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43.38 ± 13.25</w:t>
            </w:r>
          </w:p>
        </w:tc>
        <w:tc>
          <w:tcPr>
            <w:tcW w:w="1389" w:type="dxa"/>
          </w:tcPr>
          <w:p w14:paraId="6D989DD6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2.84</w:t>
            </w:r>
          </w:p>
        </w:tc>
        <w:tc>
          <w:tcPr>
            <w:tcW w:w="1213" w:type="dxa"/>
          </w:tcPr>
          <w:p w14:paraId="12EBF9C1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[0.92, 4.76]</w:t>
            </w:r>
          </w:p>
        </w:tc>
        <w:tc>
          <w:tcPr>
            <w:tcW w:w="1297" w:type="dxa"/>
          </w:tcPr>
          <w:p w14:paraId="01D920E2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0.0043</w:t>
            </w:r>
          </w:p>
        </w:tc>
        <w:tc>
          <w:tcPr>
            <w:tcW w:w="1304" w:type="dxa"/>
          </w:tcPr>
          <w:p w14:paraId="01CF2152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70.31 ± 23.71</w:t>
            </w:r>
          </w:p>
        </w:tc>
        <w:tc>
          <w:tcPr>
            <w:tcW w:w="1304" w:type="dxa"/>
          </w:tcPr>
          <w:p w14:paraId="023E0882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74.32 ± 27.19</w:t>
            </w:r>
          </w:p>
        </w:tc>
        <w:tc>
          <w:tcPr>
            <w:tcW w:w="1309" w:type="dxa"/>
          </w:tcPr>
          <w:p w14:paraId="20D912C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4.01</w:t>
            </w:r>
          </w:p>
        </w:tc>
        <w:tc>
          <w:tcPr>
            <w:tcW w:w="1296" w:type="dxa"/>
          </w:tcPr>
          <w:p w14:paraId="42B321CC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[-1.83, 9.85]</w:t>
            </w:r>
          </w:p>
        </w:tc>
        <w:tc>
          <w:tcPr>
            <w:tcW w:w="1297" w:type="dxa"/>
          </w:tcPr>
          <w:p w14:paraId="6D247246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0.1735</w:t>
            </w:r>
          </w:p>
        </w:tc>
      </w:tr>
      <w:tr w:rsidR="00BE1814" w:rsidRPr="00381AE6" w14:paraId="00D555EE" w14:textId="77777777" w:rsidTr="005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top w:val="none" w:sz="0" w:space="0" w:color="auto"/>
              <w:bottom w:val="none" w:sz="0" w:space="0" w:color="auto"/>
            </w:tcBorders>
          </w:tcPr>
          <w:p w14:paraId="16734A11" w14:textId="77777777" w:rsidR="00BE1814" w:rsidRPr="00381AE6" w:rsidRDefault="00BE1814" w:rsidP="00AF0E3A">
            <w:pPr>
              <w:rPr>
                <w:sz w:val="18"/>
                <w:szCs w:val="18"/>
                <w:lang w:val="en-US"/>
              </w:rPr>
            </w:pPr>
            <w:r w:rsidRPr="00381AE6">
              <w:rPr>
                <w:b w:val="0"/>
                <w:sz w:val="18"/>
                <w:szCs w:val="18"/>
                <w:lang w:val="en-US"/>
              </w:rPr>
              <w:t>LBGI</w:t>
            </w:r>
          </w:p>
        </w:tc>
        <w:tc>
          <w:tcPr>
            <w:tcW w:w="1303" w:type="dxa"/>
            <w:tcBorders>
              <w:top w:val="none" w:sz="0" w:space="0" w:color="auto"/>
              <w:bottom w:val="none" w:sz="0" w:space="0" w:color="auto"/>
            </w:tcBorders>
          </w:tcPr>
          <w:p w14:paraId="5FED3668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1.02 ± 1.02</w:t>
            </w:r>
          </w:p>
        </w:tc>
        <w:tc>
          <w:tcPr>
            <w:tcW w:w="1300" w:type="dxa"/>
            <w:tcBorders>
              <w:top w:val="none" w:sz="0" w:space="0" w:color="auto"/>
              <w:bottom w:val="none" w:sz="0" w:space="0" w:color="auto"/>
            </w:tcBorders>
          </w:tcPr>
          <w:p w14:paraId="2A4D1185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1.05 ± 1.46</w:t>
            </w:r>
          </w:p>
        </w:tc>
        <w:tc>
          <w:tcPr>
            <w:tcW w:w="1389" w:type="dxa"/>
            <w:tcBorders>
              <w:top w:val="none" w:sz="0" w:space="0" w:color="auto"/>
              <w:bottom w:val="none" w:sz="0" w:space="0" w:color="auto"/>
            </w:tcBorders>
          </w:tcPr>
          <w:p w14:paraId="69A5D7B5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0.03</w:t>
            </w:r>
          </w:p>
        </w:tc>
        <w:tc>
          <w:tcPr>
            <w:tcW w:w="1213" w:type="dxa"/>
            <w:tcBorders>
              <w:top w:val="none" w:sz="0" w:space="0" w:color="auto"/>
              <w:bottom w:val="none" w:sz="0" w:space="0" w:color="auto"/>
            </w:tcBorders>
          </w:tcPr>
          <w:p w14:paraId="1A512408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[-0.36, 0.42]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35E00240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0.6162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6DC325B1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0.58 ± 0.74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7289EC56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0.55 ± 1.19</w:t>
            </w:r>
          </w:p>
        </w:tc>
        <w:tc>
          <w:tcPr>
            <w:tcW w:w="1309" w:type="dxa"/>
            <w:tcBorders>
              <w:top w:val="none" w:sz="0" w:space="0" w:color="auto"/>
              <w:bottom w:val="none" w:sz="0" w:space="0" w:color="auto"/>
            </w:tcBorders>
          </w:tcPr>
          <w:p w14:paraId="303C94CE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-0.03</w:t>
            </w:r>
          </w:p>
        </w:tc>
        <w:tc>
          <w:tcPr>
            <w:tcW w:w="1296" w:type="dxa"/>
            <w:tcBorders>
              <w:top w:val="none" w:sz="0" w:space="0" w:color="auto"/>
              <w:bottom w:val="none" w:sz="0" w:space="0" w:color="auto"/>
            </w:tcBorders>
          </w:tcPr>
          <w:p w14:paraId="1F257C87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[-0.42, 0.36]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7C270AC6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0.2082</w:t>
            </w:r>
          </w:p>
        </w:tc>
      </w:tr>
      <w:tr w:rsidR="00BE1814" w:rsidRPr="00381AE6" w14:paraId="6FDC5973" w14:textId="77777777" w:rsidTr="005E7C4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134E32A7" w14:textId="77777777" w:rsidR="00BE1814" w:rsidRPr="00381AE6" w:rsidRDefault="00BE1814" w:rsidP="00AF0E3A">
            <w:pPr>
              <w:rPr>
                <w:sz w:val="18"/>
                <w:szCs w:val="18"/>
                <w:lang w:val="en-US"/>
              </w:rPr>
            </w:pPr>
            <w:r w:rsidRPr="00381AE6">
              <w:rPr>
                <w:b w:val="0"/>
                <w:sz w:val="18"/>
                <w:szCs w:val="18"/>
                <w:lang w:val="en-US"/>
              </w:rPr>
              <w:t>HBGI</w:t>
            </w:r>
          </w:p>
        </w:tc>
        <w:tc>
          <w:tcPr>
            <w:tcW w:w="1303" w:type="dxa"/>
          </w:tcPr>
          <w:p w14:paraId="39F9E412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0.55 ± 0.57</w:t>
            </w:r>
          </w:p>
        </w:tc>
        <w:tc>
          <w:tcPr>
            <w:tcW w:w="1300" w:type="dxa"/>
          </w:tcPr>
          <w:p w14:paraId="42AF5CB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0.67 ± 0.57</w:t>
            </w:r>
          </w:p>
        </w:tc>
        <w:tc>
          <w:tcPr>
            <w:tcW w:w="1389" w:type="dxa"/>
          </w:tcPr>
          <w:p w14:paraId="5C85D138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0.13</w:t>
            </w:r>
          </w:p>
        </w:tc>
        <w:tc>
          <w:tcPr>
            <w:tcW w:w="1213" w:type="dxa"/>
          </w:tcPr>
          <w:p w14:paraId="14B83646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[0.01, 0.24]</w:t>
            </w:r>
          </w:p>
        </w:tc>
        <w:tc>
          <w:tcPr>
            <w:tcW w:w="1297" w:type="dxa"/>
          </w:tcPr>
          <w:p w14:paraId="7A06E89A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0.0328</w:t>
            </w:r>
          </w:p>
        </w:tc>
        <w:tc>
          <w:tcPr>
            <w:tcW w:w="1304" w:type="dxa"/>
          </w:tcPr>
          <w:p w14:paraId="76165F97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5.43 ± 5.54</w:t>
            </w:r>
          </w:p>
        </w:tc>
        <w:tc>
          <w:tcPr>
            <w:tcW w:w="1304" w:type="dxa"/>
          </w:tcPr>
          <w:p w14:paraId="535E299A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6.23 ± 6.74</w:t>
            </w:r>
          </w:p>
        </w:tc>
        <w:tc>
          <w:tcPr>
            <w:tcW w:w="1309" w:type="dxa"/>
          </w:tcPr>
          <w:p w14:paraId="5E6EDBA0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0.80</w:t>
            </w:r>
          </w:p>
        </w:tc>
        <w:tc>
          <w:tcPr>
            <w:tcW w:w="1296" w:type="dxa"/>
          </w:tcPr>
          <w:p w14:paraId="5DEC6B6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[-0.69, 2.30]</w:t>
            </w:r>
          </w:p>
        </w:tc>
        <w:tc>
          <w:tcPr>
            <w:tcW w:w="1297" w:type="dxa"/>
          </w:tcPr>
          <w:p w14:paraId="51E240CA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0.2491</w:t>
            </w:r>
          </w:p>
        </w:tc>
      </w:tr>
      <w:tr w:rsidR="00BE1814" w:rsidRPr="00381AE6" w14:paraId="08A9E5E7" w14:textId="77777777" w:rsidTr="005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top w:val="none" w:sz="0" w:space="0" w:color="auto"/>
              <w:bottom w:val="none" w:sz="0" w:space="0" w:color="auto"/>
            </w:tcBorders>
          </w:tcPr>
          <w:p w14:paraId="73608956" w14:textId="77777777" w:rsidR="00BE1814" w:rsidRPr="00381AE6" w:rsidRDefault="00BE1814" w:rsidP="00AF0E3A">
            <w:pPr>
              <w:rPr>
                <w:sz w:val="18"/>
                <w:szCs w:val="18"/>
                <w:lang w:val="en-US"/>
              </w:rPr>
            </w:pPr>
            <w:r w:rsidRPr="00381AE6">
              <w:rPr>
                <w:b w:val="0"/>
                <w:sz w:val="18"/>
                <w:szCs w:val="18"/>
                <w:lang w:val="en-US"/>
              </w:rPr>
              <w:t>CONGA-24 (mg/dL)</w:t>
            </w:r>
          </w:p>
        </w:tc>
        <w:tc>
          <w:tcPr>
            <w:tcW w:w="1303" w:type="dxa"/>
            <w:tcBorders>
              <w:top w:val="none" w:sz="0" w:space="0" w:color="auto"/>
              <w:bottom w:val="none" w:sz="0" w:space="0" w:color="auto"/>
            </w:tcBorders>
          </w:tcPr>
          <w:p w14:paraId="59818C1F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18.84 ± 6.22</w:t>
            </w:r>
          </w:p>
        </w:tc>
        <w:tc>
          <w:tcPr>
            <w:tcW w:w="1300" w:type="dxa"/>
            <w:tcBorders>
              <w:top w:val="none" w:sz="0" w:space="0" w:color="auto"/>
              <w:bottom w:val="none" w:sz="0" w:space="0" w:color="auto"/>
            </w:tcBorders>
          </w:tcPr>
          <w:p w14:paraId="59E9600B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19.96 ± 5.80</w:t>
            </w:r>
          </w:p>
        </w:tc>
        <w:tc>
          <w:tcPr>
            <w:tcW w:w="1389" w:type="dxa"/>
            <w:tcBorders>
              <w:top w:val="none" w:sz="0" w:space="0" w:color="auto"/>
              <w:bottom w:val="none" w:sz="0" w:space="0" w:color="auto"/>
            </w:tcBorders>
          </w:tcPr>
          <w:p w14:paraId="69167D94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1.12</w:t>
            </w:r>
          </w:p>
        </w:tc>
        <w:tc>
          <w:tcPr>
            <w:tcW w:w="1213" w:type="dxa"/>
            <w:tcBorders>
              <w:top w:val="none" w:sz="0" w:space="0" w:color="auto"/>
              <w:bottom w:val="none" w:sz="0" w:space="0" w:color="auto"/>
            </w:tcBorders>
          </w:tcPr>
          <w:p w14:paraId="1EDC9313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[0.12, 2.13]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0F03007E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0.0293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0136AB48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32.52 ± 11.42</w:t>
            </w:r>
          </w:p>
        </w:tc>
        <w:tc>
          <w:tcPr>
            <w:tcW w:w="1304" w:type="dxa"/>
            <w:tcBorders>
              <w:top w:val="none" w:sz="0" w:space="0" w:color="auto"/>
              <w:bottom w:val="none" w:sz="0" w:space="0" w:color="auto"/>
            </w:tcBorders>
          </w:tcPr>
          <w:p w14:paraId="2955A3E7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34.95 ± 12.96</w:t>
            </w:r>
          </w:p>
        </w:tc>
        <w:tc>
          <w:tcPr>
            <w:tcW w:w="1309" w:type="dxa"/>
            <w:tcBorders>
              <w:top w:val="none" w:sz="0" w:space="0" w:color="auto"/>
              <w:bottom w:val="none" w:sz="0" w:space="0" w:color="auto"/>
            </w:tcBorders>
          </w:tcPr>
          <w:p w14:paraId="557D97FB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2.44</w:t>
            </w:r>
          </w:p>
        </w:tc>
        <w:tc>
          <w:tcPr>
            <w:tcW w:w="1296" w:type="dxa"/>
            <w:tcBorders>
              <w:top w:val="none" w:sz="0" w:space="0" w:color="auto"/>
              <w:bottom w:val="none" w:sz="0" w:space="0" w:color="auto"/>
            </w:tcBorders>
          </w:tcPr>
          <w:p w14:paraId="4E3C4CF7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[-0.38, 5.25]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14:paraId="7A617A9E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0.0879</w:t>
            </w:r>
          </w:p>
        </w:tc>
      </w:tr>
      <w:tr w:rsidR="00BE1814" w:rsidRPr="00381AE6" w14:paraId="080CA1A2" w14:textId="77777777" w:rsidTr="005E7C4E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78E594F9" w14:textId="77777777" w:rsidR="00BE1814" w:rsidRPr="00381AE6" w:rsidRDefault="00BE1814" w:rsidP="00AF0E3A">
            <w:pPr>
              <w:rPr>
                <w:sz w:val="18"/>
                <w:szCs w:val="18"/>
                <w:lang w:val="en-US"/>
              </w:rPr>
            </w:pPr>
            <w:proofErr w:type="spellStart"/>
            <w:r w:rsidRPr="00381AE6">
              <w:rPr>
                <w:b w:val="0"/>
                <w:sz w:val="18"/>
                <w:szCs w:val="18"/>
                <w:lang w:val="en-US"/>
              </w:rPr>
              <w:t>Hypoglycaemia</w:t>
            </w:r>
            <w:proofErr w:type="spellEnd"/>
            <w:r w:rsidRPr="00381AE6">
              <w:rPr>
                <w:b w:val="0"/>
                <w:sz w:val="18"/>
                <w:szCs w:val="18"/>
                <w:lang w:val="en-US"/>
              </w:rPr>
              <w:t xml:space="preserve"> events (n)</w:t>
            </w:r>
          </w:p>
        </w:tc>
        <w:tc>
          <w:tcPr>
            <w:tcW w:w="1303" w:type="dxa"/>
          </w:tcPr>
          <w:p w14:paraId="1A910E4B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5.27 ± 9.04</w:t>
            </w:r>
          </w:p>
        </w:tc>
        <w:tc>
          <w:tcPr>
            <w:tcW w:w="1300" w:type="dxa"/>
          </w:tcPr>
          <w:p w14:paraId="49DE140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5.18 ± 6.52</w:t>
            </w:r>
          </w:p>
        </w:tc>
        <w:tc>
          <w:tcPr>
            <w:tcW w:w="1389" w:type="dxa"/>
          </w:tcPr>
          <w:p w14:paraId="67B461DB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-0.10</w:t>
            </w:r>
          </w:p>
        </w:tc>
        <w:tc>
          <w:tcPr>
            <w:tcW w:w="1213" w:type="dxa"/>
          </w:tcPr>
          <w:p w14:paraId="0E1B09AB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[-2.65, 2.45]</w:t>
            </w:r>
          </w:p>
        </w:tc>
        <w:tc>
          <w:tcPr>
            <w:tcW w:w="1297" w:type="dxa"/>
          </w:tcPr>
          <w:p w14:paraId="3E4EA94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0.4327</w:t>
            </w:r>
          </w:p>
        </w:tc>
        <w:tc>
          <w:tcPr>
            <w:tcW w:w="1304" w:type="dxa"/>
          </w:tcPr>
          <w:p w14:paraId="6AC1FA69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4.87 ± 7.90</w:t>
            </w:r>
          </w:p>
        </w:tc>
        <w:tc>
          <w:tcPr>
            <w:tcW w:w="1304" w:type="dxa"/>
          </w:tcPr>
          <w:p w14:paraId="2EB08F9F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2.53 ± 4.67</w:t>
            </w:r>
          </w:p>
        </w:tc>
        <w:tc>
          <w:tcPr>
            <w:tcW w:w="1309" w:type="dxa"/>
          </w:tcPr>
          <w:p w14:paraId="46829BCE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-2.34</w:t>
            </w:r>
          </w:p>
        </w:tc>
        <w:tc>
          <w:tcPr>
            <w:tcW w:w="1296" w:type="dxa"/>
          </w:tcPr>
          <w:p w14:paraId="1BA00DE6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[-4.68, 0.00]</w:t>
            </w:r>
          </w:p>
        </w:tc>
        <w:tc>
          <w:tcPr>
            <w:tcW w:w="1297" w:type="dxa"/>
          </w:tcPr>
          <w:p w14:paraId="6641DEC9" w14:textId="77777777" w:rsidR="00BE1814" w:rsidRPr="00381AE6" w:rsidRDefault="00BE1814" w:rsidP="00AF0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0.0194</w:t>
            </w:r>
          </w:p>
        </w:tc>
      </w:tr>
      <w:tr w:rsidR="00BE1814" w:rsidRPr="00381AE6" w14:paraId="1FA6A4FC" w14:textId="77777777" w:rsidTr="005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tcBorders>
              <w:top w:val="none" w:sz="0" w:space="0" w:color="auto"/>
              <w:bottom w:val="single" w:sz="4" w:space="0" w:color="auto"/>
            </w:tcBorders>
          </w:tcPr>
          <w:p w14:paraId="67A18ACE" w14:textId="77777777" w:rsidR="00BE1814" w:rsidRPr="00381AE6" w:rsidRDefault="00BE1814" w:rsidP="00AF0E3A">
            <w:pPr>
              <w:rPr>
                <w:sz w:val="18"/>
                <w:szCs w:val="18"/>
                <w:lang w:val="en-US"/>
              </w:rPr>
            </w:pPr>
            <w:proofErr w:type="spellStart"/>
            <w:r w:rsidRPr="00381AE6">
              <w:rPr>
                <w:b w:val="0"/>
                <w:sz w:val="18"/>
                <w:szCs w:val="18"/>
                <w:lang w:val="en-US"/>
              </w:rPr>
              <w:t>Hyperglycaemia</w:t>
            </w:r>
            <w:proofErr w:type="spellEnd"/>
            <w:r w:rsidRPr="00381AE6">
              <w:rPr>
                <w:b w:val="0"/>
                <w:sz w:val="18"/>
                <w:szCs w:val="18"/>
                <w:lang w:val="en-US"/>
              </w:rPr>
              <w:t xml:space="preserve"> events (n)</w:t>
            </w:r>
          </w:p>
        </w:tc>
        <w:tc>
          <w:tcPr>
            <w:tcW w:w="1303" w:type="dxa"/>
            <w:tcBorders>
              <w:top w:val="none" w:sz="0" w:space="0" w:color="auto"/>
              <w:bottom w:val="single" w:sz="4" w:space="0" w:color="auto"/>
            </w:tcBorders>
          </w:tcPr>
          <w:p w14:paraId="3B570190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3.65 ± 5.76</w:t>
            </w:r>
          </w:p>
        </w:tc>
        <w:tc>
          <w:tcPr>
            <w:tcW w:w="1300" w:type="dxa"/>
            <w:tcBorders>
              <w:top w:val="none" w:sz="0" w:space="0" w:color="auto"/>
              <w:bottom w:val="single" w:sz="4" w:space="0" w:color="auto"/>
            </w:tcBorders>
          </w:tcPr>
          <w:p w14:paraId="13E3CD67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5.37 ± 7.39</w:t>
            </w:r>
          </w:p>
        </w:tc>
        <w:tc>
          <w:tcPr>
            <w:tcW w:w="1389" w:type="dxa"/>
            <w:tcBorders>
              <w:top w:val="none" w:sz="0" w:space="0" w:color="auto"/>
              <w:bottom w:val="single" w:sz="4" w:space="0" w:color="auto"/>
            </w:tcBorders>
          </w:tcPr>
          <w:p w14:paraId="254BA4F6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1.73</w:t>
            </w:r>
          </w:p>
        </w:tc>
        <w:tc>
          <w:tcPr>
            <w:tcW w:w="1213" w:type="dxa"/>
            <w:tcBorders>
              <w:top w:val="none" w:sz="0" w:space="0" w:color="auto"/>
              <w:bottom w:val="single" w:sz="4" w:space="0" w:color="auto"/>
            </w:tcBorders>
          </w:tcPr>
          <w:p w14:paraId="62044237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[0.18, 3.28]</w:t>
            </w:r>
          </w:p>
        </w:tc>
        <w:tc>
          <w:tcPr>
            <w:tcW w:w="1297" w:type="dxa"/>
            <w:tcBorders>
              <w:top w:val="none" w:sz="0" w:space="0" w:color="auto"/>
              <w:bottom w:val="single" w:sz="4" w:space="0" w:color="auto"/>
            </w:tcBorders>
          </w:tcPr>
          <w:p w14:paraId="586D1172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0.0124</w:t>
            </w:r>
          </w:p>
        </w:tc>
        <w:tc>
          <w:tcPr>
            <w:tcW w:w="1304" w:type="dxa"/>
            <w:tcBorders>
              <w:top w:val="none" w:sz="0" w:space="0" w:color="auto"/>
              <w:bottom w:val="single" w:sz="4" w:space="0" w:color="auto"/>
            </w:tcBorders>
          </w:tcPr>
          <w:p w14:paraId="6B43179B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21.21 ± 13.36</w:t>
            </w:r>
          </w:p>
        </w:tc>
        <w:tc>
          <w:tcPr>
            <w:tcW w:w="1304" w:type="dxa"/>
            <w:tcBorders>
              <w:top w:val="none" w:sz="0" w:space="0" w:color="auto"/>
              <w:bottom w:val="single" w:sz="4" w:space="0" w:color="auto"/>
            </w:tcBorders>
          </w:tcPr>
          <w:p w14:paraId="07ED834F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25.17 ± 16.35</w:t>
            </w:r>
          </w:p>
        </w:tc>
        <w:tc>
          <w:tcPr>
            <w:tcW w:w="1309" w:type="dxa"/>
            <w:tcBorders>
              <w:top w:val="none" w:sz="0" w:space="0" w:color="auto"/>
              <w:bottom w:val="single" w:sz="4" w:space="0" w:color="auto"/>
            </w:tcBorders>
          </w:tcPr>
          <w:p w14:paraId="3DD313B0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3.96</w:t>
            </w:r>
          </w:p>
        </w:tc>
        <w:tc>
          <w:tcPr>
            <w:tcW w:w="1296" w:type="dxa"/>
            <w:tcBorders>
              <w:top w:val="none" w:sz="0" w:space="0" w:color="auto"/>
              <w:bottom w:val="single" w:sz="4" w:space="0" w:color="auto"/>
            </w:tcBorders>
          </w:tcPr>
          <w:p w14:paraId="65A7244C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[-0.11, 8.02]</w:t>
            </w:r>
          </w:p>
        </w:tc>
        <w:tc>
          <w:tcPr>
            <w:tcW w:w="1297" w:type="dxa"/>
            <w:tcBorders>
              <w:top w:val="none" w:sz="0" w:space="0" w:color="auto"/>
              <w:bottom w:val="single" w:sz="4" w:space="0" w:color="auto"/>
            </w:tcBorders>
          </w:tcPr>
          <w:p w14:paraId="58285DE3" w14:textId="77777777" w:rsidR="00BE1814" w:rsidRPr="00381AE6" w:rsidRDefault="00BE1814" w:rsidP="00AF0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81AE6">
              <w:rPr>
                <w:sz w:val="18"/>
                <w:szCs w:val="18"/>
                <w:lang w:val="en-US"/>
              </w:rPr>
              <w:t>0.0561</w:t>
            </w:r>
          </w:p>
        </w:tc>
      </w:tr>
    </w:tbl>
    <w:p w14:paraId="531E77B8" w14:textId="7BE1F64C" w:rsidR="002B4910" w:rsidRPr="00381AE6" w:rsidRDefault="005E7C4E" w:rsidP="005E7C4E">
      <w:pPr>
        <w:rPr>
          <w:rFonts w:eastAsia="Roboto"/>
          <w:color w:val="212121"/>
          <w:lang w:val="en-US"/>
        </w:rPr>
        <w:sectPr w:rsidR="002B4910" w:rsidRPr="00381AE6" w:rsidSect="005E7C4E">
          <w:pgSz w:w="16834" w:h="11909" w:orient="landscape"/>
          <w:pgMar w:top="1090" w:right="1440" w:bottom="1134" w:left="1440" w:header="720" w:footer="720" w:gutter="0"/>
          <w:pgNumType w:start="1"/>
          <w:cols w:space="720"/>
          <w:docGrid w:linePitch="299"/>
        </w:sectPr>
      </w:pPr>
      <w:r w:rsidRPr="00381AE6">
        <w:rPr>
          <w:rFonts w:eastAsia="Roboto"/>
          <w:color w:val="212121"/>
          <w:lang w:val="en-US"/>
        </w:rPr>
        <w:t xml:space="preserve">CONGA-24, Continuous Overall Net Glycemic Action over 24 hours; CV, Coefficient of Variation; GMI, Glucose Management Indicator; HBGI, High Blood Glucose Index; LBGI, Low Blood Glucose Index; MAGE, Mean Amplitude of </w:t>
      </w:r>
      <w:proofErr w:type="spellStart"/>
      <w:r w:rsidRPr="00381AE6">
        <w:rPr>
          <w:rFonts w:eastAsia="Roboto"/>
          <w:color w:val="212121"/>
          <w:lang w:val="en-US"/>
        </w:rPr>
        <w:t>Glycaemic</w:t>
      </w:r>
      <w:proofErr w:type="spellEnd"/>
      <w:r w:rsidRPr="00381AE6">
        <w:rPr>
          <w:rFonts w:eastAsia="Roboto"/>
          <w:color w:val="212121"/>
          <w:lang w:val="en-US"/>
        </w:rPr>
        <w:t xml:space="preserve"> Excursions; SD, Standard Deviation; TAR, Time Above Range; TBR, Time Below Range</w:t>
      </w:r>
      <w:r w:rsidR="009C02A7">
        <w:rPr>
          <w:rFonts w:eastAsia="Roboto"/>
          <w:color w:val="212121"/>
          <w:lang w:val="en-US"/>
        </w:rPr>
        <w:t>; TIR, Time in Range; TTR, Time in Tight Range.</w:t>
      </w:r>
    </w:p>
    <w:p w14:paraId="044CC474" w14:textId="3F092C01" w:rsidR="002B4910" w:rsidRPr="00381AE6" w:rsidRDefault="002B4910" w:rsidP="002B4910">
      <w:pPr>
        <w:pStyle w:val="Titolo1"/>
        <w:ind w:left="-284"/>
        <w:rPr>
          <w:sz w:val="22"/>
          <w:szCs w:val="22"/>
          <w:lang w:val="en-US"/>
        </w:rPr>
      </w:pPr>
      <w:r w:rsidRPr="00381AE6">
        <w:rPr>
          <w:b/>
          <w:bCs/>
          <w:sz w:val="22"/>
          <w:szCs w:val="22"/>
          <w:lang w:val="en-US"/>
        </w:rPr>
        <w:lastRenderedPageBreak/>
        <w:t>Supplementary Table 3</w:t>
      </w:r>
      <w:r w:rsidRPr="00381AE6">
        <w:rPr>
          <w:sz w:val="22"/>
          <w:szCs w:val="22"/>
          <w:lang w:val="en-US"/>
        </w:rPr>
        <w:t xml:space="preserve">. Baseline CGM-derived metrics at baseline early after an acute coronary syndrome among patients with and without a worsening CGM-trajectory. </w:t>
      </w:r>
      <w:proofErr w:type="spellStart"/>
      <w:r w:rsidRPr="00381AE6">
        <w:rPr>
          <w:sz w:val="22"/>
          <w:szCs w:val="22"/>
          <w:lang w:val="en-US"/>
        </w:rPr>
        <w:t>Worseners</w:t>
      </w:r>
      <w:proofErr w:type="spellEnd"/>
      <w:r w:rsidRPr="00381AE6">
        <w:rPr>
          <w:sz w:val="22"/>
          <w:szCs w:val="22"/>
          <w:lang w:val="en-US"/>
        </w:rPr>
        <w:t xml:space="preserve"> were defined as a ΔTTR ≤ −5%. CI:</w:t>
      </w:r>
    </w:p>
    <w:p w14:paraId="250BD5A9" w14:textId="77777777" w:rsidR="006946AB" w:rsidRPr="00381AE6" w:rsidRDefault="006946AB" w:rsidP="002B4910">
      <w:pPr>
        <w:rPr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1"/>
        <w:gridCol w:w="3043"/>
        <w:gridCol w:w="2268"/>
        <w:gridCol w:w="1276"/>
      </w:tblGrid>
      <w:tr w:rsidR="006141F8" w:rsidRPr="00381AE6" w14:paraId="24ABEFA8" w14:textId="77777777" w:rsidTr="006141F8">
        <w:trPr>
          <w:tblHeader/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EF14478" w14:textId="77777777" w:rsidR="006946AB" w:rsidRPr="00381AE6" w:rsidRDefault="006946AB" w:rsidP="00BB22D2">
            <w:pPr>
              <w:rPr>
                <w:b/>
                <w:bCs/>
                <w:lang w:val="en-US"/>
              </w:rPr>
            </w:pPr>
            <w:r w:rsidRPr="00381AE6">
              <w:rPr>
                <w:b/>
                <w:bCs/>
                <w:lang w:val="en-US"/>
              </w:rPr>
              <w:t>Metric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  <w:hideMark/>
          </w:tcPr>
          <w:p w14:paraId="28DC70A2" w14:textId="40AF1728" w:rsidR="006946AB" w:rsidRPr="00381AE6" w:rsidRDefault="006946AB" w:rsidP="006141F8">
            <w:pPr>
              <w:jc w:val="center"/>
              <w:rPr>
                <w:b/>
                <w:bCs/>
                <w:lang w:val="en-US"/>
              </w:rPr>
            </w:pPr>
            <w:r w:rsidRPr="00381AE6">
              <w:rPr>
                <w:b/>
                <w:bCs/>
                <w:lang w:val="en-US"/>
              </w:rPr>
              <w:t>Non-</w:t>
            </w:r>
            <w:proofErr w:type="spellStart"/>
            <w:r w:rsidRPr="00381AE6">
              <w:rPr>
                <w:b/>
                <w:bCs/>
                <w:lang w:val="en-US"/>
              </w:rPr>
              <w:t>Worseners</w:t>
            </w:r>
            <w:proofErr w:type="spellEnd"/>
            <w:r w:rsidRPr="00381AE6">
              <w:rPr>
                <w:b/>
                <w:bCs/>
                <w:lang w:val="en-US"/>
              </w:rPr>
              <w:t xml:space="preserve"> (N=67)</w:t>
            </w:r>
            <w:r w:rsidRPr="00381AE6">
              <w:rPr>
                <w:b/>
                <w:bCs/>
                <w:lang w:val="en-US"/>
              </w:rPr>
              <w:br/>
              <w:t xml:space="preserve"> (Mean ± SD)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vAlign w:val="center"/>
            <w:hideMark/>
          </w:tcPr>
          <w:p w14:paraId="4C7305C1" w14:textId="77777777" w:rsidR="006946AB" w:rsidRPr="00381AE6" w:rsidRDefault="006946AB" w:rsidP="006141F8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381AE6">
              <w:rPr>
                <w:b/>
                <w:bCs/>
                <w:lang w:val="en-US"/>
              </w:rPr>
              <w:t>Worseners</w:t>
            </w:r>
            <w:proofErr w:type="spellEnd"/>
            <w:r w:rsidRPr="00381AE6">
              <w:rPr>
                <w:b/>
                <w:bCs/>
                <w:lang w:val="en-US"/>
              </w:rPr>
              <w:t xml:space="preserve"> (N=42)</w:t>
            </w:r>
          </w:p>
          <w:p w14:paraId="2BD9C3CE" w14:textId="7AEF6141" w:rsidR="006946AB" w:rsidRPr="00381AE6" w:rsidRDefault="006946AB" w:rsidP="006141F8">
            <w:pPr>
              <w:jc w:val="center"/>
              <w:rPr>
                <w:b/>
                <w:bCs/>
                <w:lang w:val="en-US"/>
              </w:rPr>
            </w:pPr>
            <w:r w:rsidRPr="00381AE6">
              <w:rPr>
                <w:b/>
                <w:bCs/>
                <w:lang w:val="en-US"/>
              </w:rPr>
              <w:t>(Mean ± SD)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  <w:hideMark/>
          </w:tcPr>
          <w:p w14:paraId="5C397E37" w14:textId="77777777" w:rsidR="006946AB" w:rsidRPr="00381AE6" w:rsidRDefault="006946AB" w:rsidP="006141F8">
            <w:pPr>
              <w:jc w:val="center"/>
              <w:rPr>
                <w:b/>
                <w:bCs/>
                <w:lang w:val="en-US"/>
              </w:rPr>
            </w:pPr>
            <w:r w:rsidRPr="00381AE6">
              <w:rPr>
                <w:b/>
                <w:bCs/>
                <w:lang w:val="en-US"/>
              </w:rPr>
              <w:t>p-value</w:t>
            </w:r>
          </w:p>
        </w:tc>
      </w:tr>
      <w:tr w:rsidR="006141F8" w:rsidRPr="00381AE6" w14:paraId="5B73260A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7315B42E" w14:textId="05BA2349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Time in range 70–180, %</w:t>
            </w:r>
          </w:p>
        </w:tc>
        <w:tc>
          <w:tcPr>
            <w:tcW w:w="3013" w:type="dxa"/>
            <w:vAlign w:val="center"/>
            <w:hideMark/>
          </w:tcPr>
          <w:p w14:paraId="22AE32BD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86.56 ± 21.95</w:t>
            </w:r>
          </w:p>
        </w:tc>
        <w:tc>
          <w:tcPr>
            <w:tcW w:w="2238" w:type="dxa"/>
            <w:vAlign w:val="center"/>
            <w:hideMark/>
          </w:tcPr>
          <w:p w14:paraId="0FDD310A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88.21 ± 17.37</w:t>
            </w:r>
          </w:p>
        </w:tc>
        <w:tc>
          <w:tcPr>
            <w:tcW w:w="1231" w:type="dxa"/>
            <w:vAlign w:val="center"/>
            <w:hideMark/>
          </w:tcPr>
          <w:p w14:paraId="33AEFED6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0.6184</w:t>
            </w:r>
          </w:p>
        </w:tc>
      </w:tr>
      <w:tr w:rsidR="006141F8" w:rsidRPr="00381AE6" w14:paraId="08727240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6B8746B7" w14:textId="7C7EFFBD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Time in range 70–140, %</w:t>
            </w:r>
          </w:p>
        </w:tc>
        <w:tc>
          <w:tcPr>
            <w:tcW w:w="3013" w:type="dxa"/>
            <w:vAlign w:val="center"/>
            <w:hideMark/>
          </w:tcPr>
          <w:p w14:paraId="3FB0C8B3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73.48 ± 29.17</w:t>
            </w:r>
          </w:p>
        </w:tc>
        <w:tc>
          <w:tcPr>
            <w:tcW w:w="2238" w:type="dxa"/>
            <w:vAlign w:val="center"/>
            <w:hideMark/>
          </w:tcPr>
          <w:p w14:paraId="7C105C5B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72.60 ± 24.86</w:t>
            </w:r>
          </w:p>
        </w:tc>
        <w:tc>
          <w:tcPr>
            <w:tcW w:w="1231" w:type="dxa"/>
            <w:vAlign w:val="center"/>
            <w:hideMark/>
          </w:tcPr>
          <w:p w14:paraId="1AB40D64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0.4382</w:t>
            </w:r>
          </w:p>
        </w:tc>
      </w:tr>
      <w:tr w:rsidR="006141F8" w:rsidRPr="00381AE6" w14:paraId="609731ED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2995A837" w14:textId="5B761223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Time above range &gt;180, %</w:t>
            </w:r>
          </w:p>
        </w:tc>
        <w:tc>
          <w:tcPr>
            <w:tcW w:w="3013" w:type="dxa"/>
            <w:vAlign w:val="center"/>
            <w:hideMark/>
          </w:tcPr>
          <w:p w14:paraId="6D630AD6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11.42 ± 22.16</w:t>
            </w:r>
          </w:p>
        </w:tc>
        <w:tc>
          <w:tcPr>
            <w:tcW w:w="2238" w:type="dxa"/>
            <w:vAlign w:val="center"/>
            <w:hideMark/>
          </w:tcPr>
          <w:p w14:paraId="0BA3B12D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10.32 ± 17.41</w:t>
            </w:r>
          </w:p>
        </w:tc>
        <w:tc>
          <w:tcPr>
            <w:tcW w:w="1231" w:type="dxa"/>
            <w:vAlign w:val="center"/>
            <w:hideMark/>
          </w:tcPr>
          <w:p w14:paraId="21D0C160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0.1801</w:t>
            </w:r>
          </w:p>
        </w:tc>
      </w:tr>
      <w:tr w:rsidR="006141F8" w:rsidRPr="00381AE6" w14:paraId="34A1A01B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236337D4" w14:textId="0D1CE6E7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Time below range &lt;70, %</w:t>
            </w:r>
          </w:p>
        </w:tc>
        <w:tc>
          <w:tcPr>
            <w:tcW w:w="3013" w:type="dxa"/>
            <w:vAlign w:val="center"/>
            <w:hideMark/>
          </w:tcPr>
          <w:p w14:paraId="3061749E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2.02 ± 4.70</w:t>
            </w:r>
          </w:p>
        </w:tc>
        <w:tc>
          <w:tcPr>
            <w:tcW w:w="2238" w:type="dxa"/>
            <w:vAlign w:val="center"/>
            <w:hideMark/>
          </w:tcPr>
          <w:p w14:paraId="25C39882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1.47 ± 2.49</w:t>
            </w:r>
          </w:p>
        </w:tc>
        <w:tc>
          <w:tcPr>
            <w:tcW w:w="1231" w:type="dxa"/>
            <w:vAlign w:val="center"/>
            <w:hideMark/>
          </w:tcPr>
          <w:p w14:paraId="5BBE7529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0.6099</w:t>
            </w:r>
          </w:p>
        </w:tc>
      </w:tr>
      <w:tr w:rsidR="006141F8" w:rsidRPr="00381AE6" w14:paraId="6B062DA2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3787E91A" w14:textId="3DA2CDEC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Time &lt;54, %</w:t>
            </w:r>
          </w:p>
        </w:tc>
        <w:tc>
          <w:tcPr>
            <w:tcW w:w="3013" w:type="dxa"/>
            <w:vAlign w:val="center"/>
            <w:hideMark/>
          </w:tcPr>
          <w:p w14:paraId="7406543F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0.25 ± 0.55</w:t>
            </w:r>
          </w:p>
        </w:tc>
        <w:tc>
          <w:tcPr>
            <w:tcW w:w="2238" w:type="dxa"/>
            <w:vAlign w:val="center"/>
            <w:hideMark/>
          </w:tcPr>
          <w:p w14:paraId="31DAF1DE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0.24 ± 0.86</w:t>
            </w:r>
          </w:p>
        </w:tc>
        <w:tc>
          <w:tcPr>
            <w:tcW w:w="1231" w:type="dxa"/>
            <w:vAlign w:val="center"/>
            <w:hideMark/>
          </w:tcPr>
          <w:p w14:paraId="377DAA97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0.4679</w:t>
            </w:r>
          </w:p>
        </w:tc>
      </w:tr>
      <w:tr w:rsidR="006141F8" w:rsidRPr="00381AE6" w14:paraId="24B2A5CE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67118454" w14:textId="2DD45F60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Time ≥250, %</w:t>
            </w:r>
          </w:p>
        </w:tc>
        <w:tc>
          <w:tcPr>
            <w:tcW w:w="3013" w:type="dxa"/>
            <w:vAlign w:val="center"/>
            <w:hideMark/>
          </w:tcPr>
          <w:p w14:paraId="260E7AAF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2.99 ± 8.31</w:t>
            </w:r>
          </w:p>
        </w:tc>
        <w:tc>
          <w:tcPr>
            <w:tcW w:w="2238" w:type="dxa"/>
            <w:vAlign w:val="center"/>
            <w:hideMark/>
          </w:tcPr>
          <w:p w14:paraId="14856232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2.32 ± 5.81</w:t>
            </w:r>
          </w:p>
        </w:tc>
        <w:tc>
          <w:tcPr>
            <w:tcW w:w="1231" w:type="dxa"/>
            <w:vAlign w:val="center"/>
            <w:hideMark/>
          </w:tcPr>
          <w:p w14:paraId="5C14CABD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0.7348</w:t>
            </w:r>
          </w:p>
        </w:tc>
      </w:tr>
      <w:tr w:rsidR="006141F8" w:rsidRPr="00381AE6" w14:paraId="468B2969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748F8DF3" w14:textId="257205AE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Mean glucose, mg/dL</w:t>
            </w:r>
          </w:p>
        </w:tc>
        <w:tc>
          <w:tcPr>
            <w:tcW w:w="3013" w:type="dxa"/>
            <w:vAlign w:val="center"/>
            <w:hideMark/>
          </w:tcPr>
          <w:p w14:paraId="4245935F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126.08 ± 35.33</w:t>
            </w:r>
          </w:p>
        </w:tc>
        <w:tc>
          <w:tcPr>
            <w:tcW w:w="2238" w:type="dxa"/>
            <w:vAlign w:val="center"/>
            <w:hideMark/>
          </w:tcPr>
          <w:p w14:paraId="0233732A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126.63 ± 28.53</w:t>
            </w:r>
          </w:p>
        </w:tc>
        <w:tc>
          <w:tcPr>
            <w:tcW w:w="1231" w:type="dxa"/>
            <w:vAlign w:val="center"/>
            <w:hideMark/>
          </w:tcPr>
          <w:p w14:paraId="0AD5C8F6" w14:textId="7777777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0.3617</w:t>
            </w:r>
          </w:p>
        </w:tc>
      </w:tr>
      <w:tr w:rsidR="006141F8" w:rsidRPr="00381AE6" w14:paraId="714EF11B" w14:textId="77777777" w:rsidTr="006141F8">
        <w:trPr>
          <w:tblCellSpacing w:w="15" w:type="dxa"/>
        </w:trPr>
        <w:tc>
          <w:tcPr>
            <w:tcW w:w="0" w:type="auto"/>
          </w:tcPr>
          <w:p w14:paraId="640187C7" w14:textId="653DA1C8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Standard Deviation</w:t>
            </w:r>
          </w:p>
        </w:tc>
        <w:tc>
          <w:tcPr>
            <w:tcW w:w="3013" w:type="dxa"/>
            <w:vAlign w:val="center"/>
          </w:tcPr>
          <w:p w14:paraId="29C2BDBA" w14:textId="6B49A502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27.15 ± 13.77</w:t>
            </w:r>
          </w:p>
        </w:tc>
        <w:tc>
          <w:tcPr>
            <w:tcW w:w="2238" w:type="dxa"/>
            <w:vAlign w:val="center"/>
          </w:tcPr>
          <w:p w14:paraId="2EF559A5" w14:textId="034C1E03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29.34 ± 14.52</w:t>
            </w:r>
          </w:p>
        </w:tc>
        <w:tc>
          <w:tcPr>
            <w:tcW w:w="1231" w:type="dxa"/>
            <w:vAlign w:val="center"/>
          </w:tcPr>
          <w:p w14:paraId="157CD6F3" w14:textId="1A281C4E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0.3057</w:t>
            </w:r>
          </w:p>
        </w:tc>
      </w:tr>
      <w:tr w:rsidR="006141F8" w:rsidRPr="00381AE6" w14:paraId="4355EB88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63C079C6" w14:textId="0D24FB15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Coefficient of variation, %</w:t>
            </w:r>
          </w:p>
        </w:tc>
        <w:tc>
          <w:tcPr>
            <w:tcW w:w="3013" w:type="dxa"/>
            <w:vAlign w:val="center"/>
            <w:hideMark/>
          </w:tcPr>
          <w:p w14:paraId="6A0C8D46" w14:textId="1B7F6BC4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20.93 ± 6.67</w:t>
            </w:r>
          </w:p>
        </w:tc>
        <w:tc>
          <w:tcPr>
            <w:tcW w:w="2238" w:type="dxa"/>
            <w:vAlign w:val="center"/>
            <w:hideMark/>
          </w:tcPr>
          <w:p w14:paraId="7E94A94B" w14:textId="39169000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22.36 ± 7.12</w:t>
            </w:r>
          </w:p>
        </w:tc>
        <w:tc>
          <w:tcPr>
            <w:tcW w:w="1231" w:type="dxa"/>
            <w:vAlign w:val="center"/>
            <w:hideMark/>
          </w:tcPr>
          <w:p w14:paraId="282F8D8C" w14:textId="412F1020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0.2430</w:t>
            </w:r>
          </w:p>
        </w:tc>
      </w:tr>
      <w:tr w:rsidR="006141F8" w:rsidRPr="00381AE6" w14:paraId="6DC14774" w14:textId="77777777" w:rsidTr="006141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64884C" w14:textId="77777777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Intraday CV</w:t>
            </w:r>
          </w:p>
        </w:tc>
        <w:tc>
          <w:tcPr>
            <w:tcW w:w="3013" w:type="dxa"/>
            <w:vAlign w:val="center"/>
            <w:hideMark/>
          </w:tcPr>
          <w:p w14:paraId="3ECD8528" w14:textId="411B3B3F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18.29 ± 5.20</w:t>
            </w:r>
          </w:p>
        </w:tc>
        <w:tc>
          <w:tcPr>
            <w:tcW w:w="2238" w:type="dxa"/>
            <w:vAlign w:val="center"/>
            <w:hideMark/>
          </w:tcPr>
          <w:p w14:paraId="6D7A1630" w14:textId="016FAC40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18.55 ± 4.17</w:t>
            </w:r>
          </w:p>
        </w:tc>
        <w:tc>
          <w:tcPr>
            <w:tcW w:w="1231" w:type="dxa"/>
            <w:vAlign w:val="center"/>
            <w:hideMark/>
          </w:tcPr>
          <w:p w14:paraId="7FB2144A" w14:textId="2A2F24FE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0.4273</w:t>
            </w:r>
          </w:p>
        </w:tc>
      </w:tr>
      <w:tr w:rsidR="006141F8" w:rsidRPr="00381AE6" w14:paraId="687A1E74" w14:textId="77777777" w:rsidTr="006141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DF0EA0" w14:textId="4E47493E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Glucose management indicator, %</w:t>
            </w:r>
          </w:p>
        </w:tc>
        <w:tc>
          <w:tcPr>
            <w:tcW w:w="3013" w:type="dxa"/>
            <w:vAlign w:val="center"/>
            <w:hideMark/>
          </w:tcPr>
          <w:p w14:paraId="4A40CFBD" w14:textId="50E8428B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6.33 ± 0.85</w:t>
            </w:r>
          </w:p>
        </w:tc>
        <w:tc>
          <w:tcPr>
            <w:tcW w:w="2238" w:type="dxa"/>
            <w:vAlign w:val="center"/>
            <w:hideMark/>
          </w:tcPr>
          <w:p w14:paraId="336E67AB" w14:textId="334B3C66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6.34 ± 0.68</w:t>
            </w:r>
          </w:p>
        </w:tc>
        <w:tc>
          <w:tcPr>
            <w:tcW w:w="1231" w:type="dxa"/>
            <w:vAlign w:val="center"/>
            <w:hideMark/>
          </w:tcPr>
          <w:p w14:paraId="2D8BD514" w14:textId="3447F618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0.3617</w:t>
            </w:r>
          </w:p>
        </w:tc>
      </w:tr>
      <w:tr w:rsidR="006141F8" w:rsidRPr="00381AE6" w14:paraId="57232386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2FEF3F34" w14:textId="119D24A5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MAGE, mg/dL</w:t>
            </w:r>
          </w:p>
        </w:tc>
        <w:tc>
          <w:tcPr>
            <w:tcW w:w="3013" w:type="dxa"/>
            <w:vAlign w:val="center"/>
            <w:hideMark/>
          </w:tcPr>
          <w:p w14:paraId="0858796C" w14:textId="13ED0040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52.21 ± 24.70</w:t>
            </w:r>
          </w:p>
        </w:tc>
        <w:tc>
          <w:tcPr>
            <w:tcW w:w="2238" w:type="dxa"/>
            <w:vAlign w:val="center"/>
            <w:hideMark/>
          </w:tcPr>
          <w:p w14:paraId="4536DB4F" w14:textId="61803A2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55.23 ± 22.10</w:t>
            </w:r>
          </w:p>
        </w:tc>
        <w:tc>
          <w:tcPr>
            <w:tcW w:w="1231" w:type="dxa"/>
            <w:vAlign w:val="center"/>
            <w:hideMark/>
          </w:tcPr>
          <w:p w14:paraId="64882C94" w14:textId="369DC892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0.2430</w:t>
            </w:r>
          </w:p>
        </w:tc>
      </w:tr>
      <w:tr w:rsidR="006141F8" w:rsidRPr="00381AE6" w14:paraId="7637DF88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7A16ABE2" w14:textId="39B63918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LBGI</w:t>
            </w:r>
          </w:p>
        </w:tc>
        <w:tc>
          <w:tcPr>
            <w:tcW w:w="3013" w:type="dxa"/>
            <w:vAlign w:val="center"/>
            <w:hideMark/>
          </w:tcPr>
          <w:p w14:paraId="52CD05FF" w14:textId="33EF6F0D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0.88 ± 1.05</w:t>
            </w:r>
          </w:p>
        </w:tc>
        <w:tc>
          <w:tcPr>
            <w:tcW w:w="2238" w:type="dxa"/>
            <w:vAlign w:val="center"/>
            <w:hideMark/>
          </w:tcPr>
          <w:p w14:paraId="1E6BDC15" w14:textId="7CC1BFBE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0.74 ± 0.74</w:t>
            </w:r>
          </w:p>
        </w:tc>
        <w:tc>
          <w:tcPr>
            <w:tcW w:w="1231" w:type="dxa"/>
            <w:vAlign w:val="center"/>
            <w:hideMark/>
          </w:tcPr>
          <w:p w14:paraId="2AE6E04E" w14:textId="1FA335CE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0.7603</w:t>
            </w:r>
          </w:p>
        </w:tc>
      </w:tr>
      <w:tr w:rsidR="006141F8" w:rsidRPr="00381AE6" w14:paraId="4DF5AFF3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58876462" w14:textId="41C79842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HBGI</w:t>
            </w:r>
          </w:p>
        </w:tc>
        <w:tc>
          <w:tcPr>
            <w:tcW w:w="3013" w:type="dxa"/>
            <w:vAlign w:val="center"/>
            <w:hideMark/>
          </w:tcPr>
          <w:p w14:paraId="5D22E6BB" w14:textId="51B357AC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2.73 ± 4.82</w:t>
            </w:r>
          </w:p>
        </w:tc>
        <w:tc>
          <w:tcPr>
            <w:tcW w:w="2238" w:type="dxa"/>
            <w:vAlign w:val="center"/>
            <w:hideMark/>
          </w:tcPr>
          <w:p w14:paraId="1EFA79B0" w14:textId="2D5E291F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2.53 ± 3.70</w:t>
            </w:r>
          </w:p>
        </w:tc>
        <w:tc>
          <w:tcPr>
            <w:tcW w:w="1231" w:type="dxa"/>
            <w:vAlign w:val="center"/>
            <w:hideMark/>
          </w:tcPr>
          <w:p w14:paraId="0A1B220B" w14:textId="43876A78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0.2856</w:t>
            </w:r>
          </w:p>
        </w:tc>
      </w:tr>
      <w:tr w:rsidR="006141F8" w:rsidRPr="00381AE6" w14:paraId="641A8F4A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656BE0B5" w14:textId="39E43630" w:rsidR="006946AB" w:rsidRPr="00381AE6" w:rsidRDefault="006946AB" w:rsidP="006946AB">
            <w:pPr>
              <w:rPr>
                <w:lang w:val="en-US"/>
              </w:rPr>
            </w:pPr>
            <w:r w:rsidRPr="00381AE6">
              <w:rPr>
                <w:lang w:val="en-US"/>
              </w:rPr>
              <w:t>CONGA-24, mg/dL</w:t>
            </w:r>
          </w:p>
        </w:tc>
        <w:tc>
          <w:tcPr>
            <w:tcW w:w="3013" w:type="dxa"/>
            <w:vAlign w:val="center"/>
            <w:hideMark/>
          </w:tcPr>
          <w:p w14:paraId="76985B03" w14:textId="201B1120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24.50 ± 11.55</w:t>
            </w:r>
          </w:p>
        </w:tc>
        <w:tc>
          <w:tcPr>
            <w:tcW w:w="2238" w:type="dxa"/>
            <w:vAlign w:val="center"/>
            <w:hideMark/>
          </w:tcPr>
          <w:p w14:paraId="4DE88B6F" w14:textId="6A13079B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25.11 ± 10.71</w:t>
            </w:r>
          </w:p>
        </w:tc>
        <w:tc>
          <w:tcPr>
            <w:tcW w:w="1231" w:type="dxa"/>
            <w:vAlign w:val="center"/>
            <w:hideMark/>
          </w:tcPr>
          <w:p w14:paraId="6D39F936" w14:textId="62B6CA27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0.4201</w:t>
            </w:r>
          </w:p>
        </w:tc>
      </w:tr>
      <w:tr w:rsidR="006141F8" w:rsidRPr="00381AE6" w14:paraId="67452B54" w14:textId="77777777" w:rsidTr="006141F8">
        <w:trPr>
          <w:tblCellSpacing w:w="15" w:type="dxa"/>
        </w:trPr>
        <w:tc>
          <w:tcPr>
            <w:tcW w:w="0" w:type="auto"/>
            <w:hideMark/>
          </w:tcPr>
          <w:p w14:paraId="69F801B1" w14:textId="22BDB51C" w:rsidR="006946AB" w:rsidRPr="00381AE6" w:rsidRDefault="006946AB" w:rsidP="006946AB">
            <w:pPr>
              <w:rPr>
                <w:lang w:val="en-US"/>
              </w:rPr>
            </w:pPr>
            <w:proofErr w:type="spellStart"/>
            <w:r w:rsidRPr="00381AE6">
              <w:rPr>
                <w:lang w:val="en-US"/>
              </w:rPr>
              <w:t>Hypoglycaemic</w:t>
            </w:r>
            <w:proofErr w:type="spellEnd"/>
            <w:r w:rsidRPr="00381AE6">
              <w:rPr>
                <w:lang w:val="en-US"/>
              </w:rPr>
              <w:t xml:space="preserve"> events, n</w:t>
            </w:r>
          </w:p>
        </w:tc>
        <w:tc>
          <w:tcPr>
            <w:tcW w:w="3013" w:type="dxa"/>
            <w:vAlign w:val="center"/>
            <w:hideMark/>
          </w:tcPr>
          <w:p w14:paraId="6A65CE25" w14:textId="6496839E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5.84 ± 9.70</w:t>
            </w:r>
          </w:p>
        </w:tc>
        <w:tc>
          <w:tcPr>
            <w:tcW w:w="2238" w:type="dxa"/>
            <w:vAlign w:val="center"/>
            <w:hideMark/>
          </w:tcPr>
          <w:p w14:paraId="5EA26264" w14:textId="3BB5BFE6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3.93 ± 6.44</w:t>
            </w:r>
          </w:p>
        </w:tc>
        <w:tc>
          <w:tcPr>
            <w:tcW w:w="1231" w:type="dxa"/>
            <w:vAlign w:val="center"/>
            <w:hideMark/>
          </w:tcPr>
          <w:p w14:paraId="16A58753" w14:textId="10CC2698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0.4406</w:t>
            </w:r>
          </w:p>
        </w:tc>
      </w:tr>
      <w:tr w:rsidR="006141F8" w:rsidRPr="00381AE6" w14:paraId="6780DC2C" w14:textId="77777777" w:rsidTr="006141F8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639C2DD9" w14:textId="53878F38" w:rsidR="006946AB" w:rsidRPr="00381AE6" w:rsidRDefault="006946AB" w:rsidP="006946AB">
            <w:pPr>
              <w:rPr>
                <w:lang w:val="en-US"/>
              </w:rPr>
            </w:pPr>
            <w:proofErr w:type="spellStart"/>
            <w:r w:rsidRPr="00381AE6">
              <w:rPr>
                <w:lang w:val="en-US"/>
              </w:rPr>
              <w:t>Hyperglycaemic</w:t>
            </w:r>
            <w:proofErr w:type="spellEnd"/>
            <w:r w:rsidRPr="00381AE6">
              <w:rPr>
                <w:lang w:val="en-US"/>
              </w:rPr>
              <w:t xml:space="preserve"> events, n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  <w:hideMark/>
          </w:tcPr>
          <w:p w14:paraId="7997D317" w14:textId="7C5F3344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10.91 ± 13.99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vAlign w:val="center"/>
            <w:hideMark/>
          </w:tcPr>
          <w:p w14:paraId="508A23D2" w14:textId="5E9579CD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11.71 ± 11.85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  <w:hideMark/>
          </w:tcPr>
          <w:p w14:paraId="5E8D22E7" w14:textId="599CB374" w:rsidR="006946AB" w:rsidRPr="00381AE6" w:rsidRDefault="006946AB" w:rsidP="006141F8">
            <w:pPr>
              <w:jc w:val="center"/>
              <w:rPr>
                <w:lang w:val="en-US"/>
              </w:rPr>
            </w:pPr>
            <w:r w:rsidRPr="00381AE6">
              <w:rPr>
                <w:lang w:val="en-US"/>
              </w:rPr>
              <w:t>0.1917</w:t>
            </w:r>
          </w:p>
        </w:tc>
      </w:tr>
    </w:tbl>
    <w:p w14:paraId="5A620BE1" w14:textId="77777777" w:rsidR="006946AB" w:rsidRPr="00381AE6" w:rsidRDefault="006946AB" w:rsidP="006141F8">
      <w:pPr>
        <w:ind w:right="3889"/>
        <w:rPr>
          <w:lang w:val="en-US"/>
        </w:rPr>
      </w:pPr>
      <w:r w:rsidRPr="00381AE6">
        <w:rPr>
          <w:lang w:val="en-US"/>
        </w:rPr>
        <w:t xml:space="preserve">DM, diabetes mellitus. MAGE, mean amplitude of </w:t>
      </w:r>
      <w:proofErr w:type="spellStart"/>
      <w:r w:rsidRPr="00381AE6">
        <w:rPr>
          <w:lang w:val="en-US"/>
        </w:rPr>
        <w:t>glycaemic</w:t>
      </w:r>
      <w:proofErr w:type="spellEnd"/>
      <w:r w:rsidRPr="00381AE6">
        <w:rPr>
          <w:lang w:val="en-US"/>
        </w:rPr>
        <w:t xml:space="preserve"> excursions; LBGI, low blood glucose index; HBGI, high blood glucose index; CONGA-24, continuous overall net </w:t>
      </w:r>
      <w:proofErr w:type="spellStart"/>
      <w:r w:rsidRPr="00381AE6">
        <w:rPr>
          <w:lang w:val="en-US"/>
        </w:rPr>
        <w:t>glycaemic</w:t>
      </w:r>
      <w:proofErr w:type="spellEnd"/>
      <w:r w:rsidRPr="00381AE6">
        <w:rPr>
          <w:lang w:val="en-US"/>
        </w:rPr>
        <w:t xml:space="preserve"> action over 24 h; LVEF, left ventricular ejection fraction; MI, myocardial infarction.</w:t>
      </w:r>
    </w:p>
    <w:p w14:paraId="5D75C4C4" w14:textId="77777777" w:rsidR="006946AB" w:rsidRPr="00381AE6" w:rsidRDefault="006946AB" w:rsidP="006946AB">
      <w:pPr>
        <w:ind w:left="284"/>
        <w:rPr>
          <w:lang w:val="en-US"/>
        </w:rPr>
      </w:pPr>
    </w:p>
    <w:p w14:paraId="379D3CB0" w14:textId="77777777" w:rsidR="002B4910" w:rsidRPr="00381AE6" w:rsidRDefault="002B4910" w:rsidP="002B4910">
      <w:pPr>
        <w:rPr>
          <w:lang w:val="en-US"/>
        </w:rPr>
      </w:pPr>
    </w:p>
    <w:p w14:paraId="591BAE26" w14:textId="77777777" w:rsidR="002B4910" w:rsidRPr="00381AE6" w:rsidRDefault="002B4910" w:rsidP="005E7C4E">
      <w:pPr>
        <w:rPr>
          <w:rFonts w:eastAsia="Roboto"/>
          <w:color w:val="212121"/>
          <w:lang w:val="en-US"/>
        </w:rPr>
      </w:pPr>
    </w:p>
    <w:p w14:paraId="5B6CB074" w14:textId="06B5ED90" w:rsidR="00D84574" w:rsidRPr="00381AE6" w:rsidRDefault="00D84574" w:rsidP="00D84574">
      <w:pPr>
        <w:spacing w:line="480" w:lineRule="auto"/>
        <w:rPr>
          <w:rFonts w:eastAsia="Roboto"/>
          <w:b/>
          <w:bCs/>
          <w:color w:val="212121"/>
          <w:highlight w:val="white"/>
          <w:lang w:val="en-US"/>
        </w:rPr>
      </w:pPr>
      <w:proofErr w:type="spellStart"/>
      <w:r w:rsidRPr="00381AE6">
        <w:rPr>
          <w:rFonts w:eastAsia="Roboto"/>
          <w:b/>
          <w:bCs/>
          <w:color w:val="212121"/>
          <w:highlight w:val="white"/>
          <w:lang w:val="en-US"/>
        </w:rPr>
        <w:lastRenderedPageBreak/>
        <w:t>Suplementary</w:t>
      </w:r>
      <w:proofErr w:type="spellEnd"/>
      <w:r w:rsidRPr="00381AE6">
        <w:rPr>
          <w:rFonts w:eastAsia="Roboto"/>
          <w:b/>
          <w:bCs/>
          <w:color w:val="212121"/>
          <w:highlight w:val="white"/>
          <w:lang w:val="en-US"/>
        </w:rPr>
        <w:t xml:space="preserve"> Figure 1:</w:t>
      </w:r>
      <w:r w:rsidRPr="00381AE6">
        <w:rPr>
          <w:rFonts w:ascii="Roboto" w:eastAsia="Roboto" w:hAnsi="Roboto" w:cs="Roboto"/>
          <w:b/>
          <w:bCs/>
          <w:color w:val="212121"/>
          <w:highlight w:val="white"/>
          <w:lang w:val="en-US"/>
        </w:rPr>
        <w:t xml:space="preserve"> </w:t>
      </w:r>
      <w:r w:rsidRPr="00381AE6">
        <w:rPr>
          <w:rFonts w:eastAsia="Roboto"/>
          <w:color w:val="212121"/>
          <w:highlight w:val="white"/>
          <w:lang w:val="en-US"/>
        </w:rPr>
        <w:t>Heatmap presenting averaged time-in-range (A)</w:t>
      </w:r>
      <w:r w:rsidR="00B072EC" w:rsidRPr="00381AE6">
        <w:rPr>
          <w:rFonts w:eastAsia="Roboto"/>
          <w:color w:val="212121"/>
          <w:highlight w:val="white"/>
          <w:lang w:val="en-US"/>
        </w:rPr>
        <w:t xml:space="preserve">, </w:t>
      </w:r>
      <w:r w:rsidRPr="00381AE6">
        <w:rPr>
          <w:rFonts w:eastAsia="Roboto"/>
          <w:color w:val="212121"/>
          <w:highlight w:val="white"/>
          <w:lang w:val="en-US"/>
        </w:rPr>
        <w:t xml:space="preserve">time-above range (B) </w:t>
      </w:r>
      <w:r w:rsidR="00B072EC" w:rsidRPr="00381AE6">
        <w:rPr>
          <w:rFonts w:eastAsia="Roboto"/>
          <w:color w:val="212121"/>
          <w:highlight w:val="white"/>
          <w:lang w:val="en-US"/>
        </w:rPr>
        <w:t xml:space="preserve">and time-in-tight range (C) </w:t>
      </w:r>
      <w:r w:rsidRPr="00381AE6">
        <w:rPr>
          <w:rFonts w:eastAsia="Roboto"/>
          <w:color w:val="212121"/>
          <w:highlight w:val="white"/>
          <w:lang w:val="en-US"/>
        </w:rPr>
        <w:t>within daily hours and weekdays in</w:t>
      </w:r>
      <w:r w:rsidR="00D13C72" w:rsidRPr="00381AE6">
        <w:rPr>
          <w:rFonts w:eastAsia="Roboto"/>
          <w:color w:val="212121"/>
          <w:highlight w:val="white"/>
          <w:lang w:val="en-US"/>
        </w:rPr>
        <w:t xml:space="preserve"> patients without and with diabetes mellitus</w:t>
      </w:r>
      <w:r w:rsidRPr="00381AE6">
        <w:rPr>
          <w:rFonts w:eastAsia="Roboto"/>
          <w:color w:val="212121"/>
          <w:highlight w:val="white"/>
          <w:lang w:val="en-US"/>
        </w:rPr>
        <w:t xml:space="preserve">. Red color </w:t>
      </w:r>
      <w:proofErr w:type="gramStart"/>
      <w:r w:rsidRPr="00381AE6">
        <w:rPr>
          <w:rFonts w:eastAsia="Roboto"/>
          <w:color w:val="212121"/>
          <w:highlight w:val="white"/>
          <w:lang w:val="en-US"/>
        </w:rPr>
        <w:t>represent</w:t>
      </w:r>
      <w:proofErr w:type="gramEnd"/>
      <w:r w:rsidRPr="00381AE6">
        <w:rPr>
          <w:rFonts w:eastAsia="Roboto"/>
          <w:color w:val="212121"/>
          <w:highlight w:val="white"/>
          <w:lang w:val="en-US"/>
        </w:rPr>
        <w:t xml:space="preserve"> higher, while blue color </w:t>
      </w:r>
      <w:proofErr w:type="gramStart"/>
      <w:r w:rsidRPr="00381AE6">
        <w:rPr>
          <w:rFonts w:eastAsia="Roboto"/>
          <w:color w:val="212121"/>
          <w:highlight w:val="white"/>
          <w:lang w:val="en-US"/>
        </w:rPr>
        <w:t>represent</w:t>
      </w:r>
      <w:proofErr w:type="gramEnd"/>
      <w:r w:rsidRPr="00381AE6">
        <w:rPr>
          <w:rFonts w:eastAsia="Roboto"/>
          <w:color w:val="212121"/>
          <w:highlight w:val="white"/>
          <w:lang w:val="en-US"/>
        </w:rPr>
        <w:t xml:space="preserve"> lower % of time in and above ran</w:t>
      </w:r>
      <w:r w:rsidR="00B072EC" w:rsidRPr="00381AE6">
        <w:rPr>
          <w:rFonts w:eastAsia="Roboto"/>
          <w:color w:val="212121"/>
          <w:highlight w:val="white"/>
          <w:lang w:val="en-US"/>
        </w:rPr>
        <w:t>ge.</w:t>
      </w:r>
      <w:r w:rsidR="00AA7161" w:rsidRPr="00381AE6">
        <w:rPr>
          <w:rFonts w:eastAsia="Roboto"/>
          <w:color w:val="212121"/>
          <w:highlight w:val="white"/>
          <w:lang w:val="en-US"/>
        </w:rPr>
        <w:t xml:space="preserve"> </w:t>
      </w:r>
      <w:r w:rsidR="00AA7161" w:rsidRPr="00381AE6">
        <w:rPr>
          <w:rFonts w:eastAsia="Roboto"/>
          <w:color w:val="212121"/>
          <w:lang w:val="en-US"/>
        </w:rPr>
        <w:t>TAR: Time above range; TIR: Time in range; TTR: Time in tight range.</w:t>
      </w:r>
    </w:p>
    <w:p w14:paraId="13D91EBD" w14:textId="77777777" w:rsidR="00B072EC" w:rsidRPr="00381AE6" w:rsidRDefault="00B072EC" w:rsidP="00D84574">
      <w:pPr>
        <w:spacing w:line="480" w:lineRule="auto"/>
        <w:rPr>
          <w:rFonts w:ascii="Roboto" w:eastAsia="Roboto" w:hAnsi="Roboto" w:cs="Roboto"/>
          <w:b/>
          <w:bCs/>
          <w:color w:val="212121"/>
          <w:highlight w:val="white"/>
          <w:lang w:val="en-US"/>
        </w:rPr>
      </w:pPr>
      <w:r w:rsidRPr="00381AE6">
        <w:rPr>
          <w:rFonts w:ascii="Roboto" w:eastAsia="Roboto" w:hAnsi="Roboto" w:cs="Roboto"/>
          <w:b/>
          <w:bCs/>
          <w:noProof/>
          <w:color w:val="212121"/>
          <w:lang w:val="en-US"/>
        </w:rPr>
        <w:drawing>
          <wp:inline distT="0" distB="0" distL="0" distR="0" wp14:anchorId="7966D712" wp14:editId="0B9B8E96">
            <wp:extent cx="8860790" cy="1915160"/>
            <wp:effectExtent l="0" t="0" r="0" b="0"/>
            <wp:docPr id="1139158695" name="Immagine 2" descr="Immagine che contiene Policromia, Rettangolo, line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58695" name="Immagine 2" descr="Immagine che contiene Policromia, Rettangolo, linea, schermata&#10;&#10;Il contenuto generato dall'IA potrebbe non essere corret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A1B6" w14:textId="515F3930" w:rsidR="00B072EC" w:rsidRPr="00381AE6" w:rsidRDefault="00B072EC" w:rsidP="00D84574">
      <w:pPr>
        <w:spacing w:line="480" w:lineRule="auto"/>
        <w:rPr>
          <w:rFonts w:ascii="Roboto" w:eastAsia="Roboto" w:hAnsi="Roboto" w:cs="Roboto"/>
          <w:b/>
          <w:bCs/>
          <w:color w:val="212121"/>
          <w:highlight w:val="white"/>
          <w:lang w:val="en-US"/>
        </w:rPr>
        <w:sectPr w:rsidR="00B072EC" w:rsidRPr="00381AE6" w:rsidSect="002B4910">
          <w:pgSz w:w="16834" w:h="11909" w:orient="landscape"/>
          <w:pgMar w:top="1090" w:right="1440" w:bottom="1134" w:left="1440" w:header="720" w:footer="720" w:gutter="0"/>
          <w:pgNumType w:start="1"/>
          <w:cols w:space="720"/>
          <w:docGrid w:linePitch="299"/>
        </w:sectPr>
      </w:pPr>
      <w:r w:rsidRPr="00381AE6">
        <w:rPr>
          <w:rFonts w:ascii="Roboto" w:eastAsia="Roboto" w:hAnsi="Roboto" w:cs="Roboto"/>
          <w:b/>
          <w:bCs/>
          <w:noProof/>
          <w:color w:val="212121"/>
          <w:lang w:val="en-US"/>
        </w:rPr>
        <w:drawing>
          <wp:inline distT="0" distB="0" distL="0" distR="0" wp14:anchorId="4D21D82E" wp14:editId="36A5A444">
            <wp:extent cx="8860790" cy="1915160"/>
            <wp:effectExtent l="0" t="0" r="0" b="0"/>
            <wp:docPr id="1644248652" name="Immagine 3" descr="Immagine che contiene Policromia, linea, Rettangol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48652" name="Immagine 3" descr="Immagine che contiene Policromia, linea, Rettangolo, schermata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DDAB" w14:textId="66ED2B9C" w:rsidR="005E7C4E" w:rsidRDefault="00C772EE" w:rsidP="005E7C4E">
      <w:pPr>
        <w:spacing w:after="160" w:line="480" w:lineRule="auto"/>
        <w:jc w:val="both"/>
        <w:rPr>
          <w:rFonts w:eastAsia="Cardo"/>
          <w:lang w:val="en-US"/>
        </w:rPr>
      </w:pPr>
      <w:proofErr w:type="spellStart"/>
      <w:r w:rsidRPr="00381AE6">
        <w:rPr>
          <w:rFonts w:eastAsia="Roboto"/>
          <w:b/>
          <w:bCs/>
          <w:color w:val="212121"/>
          <w:highlight w:val="white"/>
          <w:lang w:val="en-US"/>
        </w:rPr>
        <w:lastRenderedPageBreak/>
        <w:t>Suplementary</w:t>
      </w:r>
      <w:proofErr w:type="spellEnd"/>
      <w:r w:rsidRPr="00381AE6">
        <w:rPr>
          <w:rFonts w:eastAsia="Roboto"/>
          <w:b/>
          <w:bCs/>
          <w:color w:val="212121"/>
          <w:highlight w:val="white"/>
          <w:lang w:val="en-US"/>
        </w:rPr>
        <w:t xml:space="preserve"> Figure 2:</w:t>
      </w:r>
      <w:r w:rsidRPr="00381AE6">
        <w:rPr>
          <w:rFonts w:ascii="Roboto" w:eastAsia="Roboto" w:hAnsi="Roboto" w:cs="Roboto"/>
          <w:b/>
          <w:bCs/>
          <w:color w:val="212121"/>
          <w:highlight w:val="white"/>
          <w:lang w:val="en-US"/>
        </w:rPr>
        <w:t xml:space="preserve"> </w:t>
      </w:r>
      <w:r w:rsidRPr="00381AE6">
        <w:rPr>
          <w:rFonts w:eastAsia="Roboto"/>
          <w:color w:val="212121"/>
          <w:lang w:val="en-US"/>
        </w:rPr>
        <w:t xml:space="preserve">Multivariable model for clinical and </w:t>
      </w:r>
      <w:proofErr w:type="spellStart"/>
      <w:r w:rsidRPr="00381AE6">
        <w:rPr>
          <w:rFonts w:eastAsia="Roboto"/>
          <w:color w:val="212121"/>
          <w:lang w:val="en-US"/>
        </w:rPr>
        <w:t>glucometric</w:t>
      </w:r>
      <w:proofErr w:type="spellEnd"/>
      <w:r w:rsidRPr="00381AE6">
        <w:rPr>
          <w:rFonts w:eastAsia="Roboto"/>
          <w:color w:val="212121"/>
          <w:lang w:val="en-US"/>
        </w:rPr>
        <w:t xml:space="preserve"> predictors of time-in-tight-range worsening trajectories between baseline and 4-months follow-up. </w:t>
      </w:r>
      <w:r w:rsidRPr="00381AE6">
        <w:rPr>
          <w:rFonts w:eastAsia="Cardo"/>
          <w:lang w:val="en-US"/>
        </w:rPr>
        <w:t xml:space="preserve"> </w:t>
      </w:r>
      <w:proofErr w:type="spellStart"/>
      <w:r w:rsidRPr="00381AE6">
        <w:rPr>
          <w:rFonts w:eastAsia="Cardo"/>
          <w:lang w:val="en-US"/>
        </w:rPr>
        <w:t>Worseners</w:t>
      </w:r>
      <w:proofErr w:type="spellEnd"/>
      <w:r w:rsidRPr="00381AE6">
        <w:rPr>
          <w:rFonts w:eastAsia="Cardo"/>
          <w:lang w:val="en-US"/>
        </w:rPr>
        <w:t xml:space="preserve"> were defined as a ΔTTR ≤ −5%. </w:t>
      </w:r>
      <w:r w:rsidR="005E7C4E" w:rsidRPr="00381AE6">
        <w:rPr>
          <w:rFonts w:eastAsia="Cardo"/>
          <w:lang w:val="en-US"/>
        </w:rPr>
        <w:t xml:space="preserve">CI: Confidence Interval; CKD: Chronic Kidney Disease; CONGA-24: Continuous Overall Net Glycemic Action-24 hour; COPD: Chronic Obstructive Pulmonary Disease; CV: Coefficient of Variation; MAGE: Mean Amplitude of Glucose Excursions; OR: Odds Ratio. </w:t>
      </w:r>
    </w:p>
    <w:p w14:paraId="630F5D90" w14:textId="1DF251B0" w:rsidR="00E10955" w:rsidRPr="00381AE6" w:rsidRDefault="00E10955" w:rsidP="005E7C4E">
      <w:pPr>
        <w:spacing w:after="160" w:line="480" w:lineRule="auto"/>
        <w:jc w:val="both"/>
        <w:rPr>
          <w:rFonts w:eastAsia="Cardo"/>
          <w:lang w:val="en-US"/>
        </w:rPr>
      </w:pPr>
      <w:r>
        <w:rPr>
          <w:rFonts w:eastAsia="Cardo"/>
          <w:noProof/>
          <w:lang w:val="en-US"/>
        </w:rPr>
        <w:drawing>
          <wp:inline distT="0" distB="0" distL="0" distR="0" wp14:anchorId="74349D42" wp14:editId="128215D4">
            <wp:extent cx="7162800" cy="3808733"/>
            <wp:effectExtent l="0" t="0" r="0" b="1270"/>
            <wp:docPr id="2789872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87276" name="Immagine 2789872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614" cy="38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955" w:rsidRPr="00381AE6" w:rsidSect="00BE1814">
      <w:pgSz w:w="16838" w:h="11906" w:orient="landscape"/>
      <w:pgMar w:top="1440" w:right="1440" w:bottom="1440" w:left="1440" w:header="0" w:footer="0" w:gutter="0"/>
      <w:pgNumType w:start="1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96DD27E-D7EB-F742-AE9B-9B8743D0EE6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1EB715D-833D-8B4E-9CD1-1D9E236416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91C48B-49E6-DF41-9A01-69E1E83B4C43}"/>
    <w:embedBold r:id="rId4" w:fontKey="{5D3995D7-42D4-DE48-BA21-6930DE911D6F}"/>
    <w:embedItalic r:id="rId5" w:fontKey="{F96DC8E1-9CA7-F146-9057-3B05C1999965}"/>
    <w:embedBoldItalic r:id="rId6" w:fontKey="{33303AFA-21E9-6E44-8260-AB43939E30C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FFF9659-A9E8-C541-8875-B81EE8A7C27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49B17F40-55CB-3848-BCD1-56A9B5F0B79D}"/>
  </w:font>
  <w:font w:name="Liberation Sans">
    <w:altName w:val="Arial"/>
    <w:charset w:val="00"/>
    <w:family w:val="swiss"/>
    <w:pitch w:val="variable"/>
    <w:embedRegular r:id="rId9" w:fontKey="{51D1AADE-E9D9-BF48-9E3A-D84E55C3214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DAB467A-4B5D-6644-BBD6-348C15D1FD78}"/>
    <w:embedBold r:id="rId11" w:fontKey="{D79DDF69-2127-DF40-B379-84B5AC1E93D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2" w:fontKey="{1AA0E328-580B-944A-B921-E3D88AD62970}"/>
    <w:embedBold r:id="rId13" w:fontKey="{F7AB967F-8AC7-E343-9526-71D6E0CBB0C2}"/>
  </w:font>
  <w:font w:name="Cardo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F8E75786-65D2-E943-B21D-9ACCC8EDAA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6B93"/>
    <w:multiLevelType w:val="multilevel"/>
    <w:tmpl w:val="854C2E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7EB00B0"/>
    <w:multiLevelType w:val="multilevel"/>
    <w:tmpl w:val="F960645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6566D42"/>
    <w:multiLevelType w:val="hybridMultilevel"/>
    <w:tmpl w:val="2064FEA6"/>
    <w:lvl w:ilvl="0" w:tplc="CDA4BFA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95E77"/>
    <w:multiLevelType w:val="hybridMultilevel"/>
    <w:tmpl w:val="BEDEBBD8"/>
    <w:lvl w:ilvl="0" w:tplc="D2BC077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275F7"/>
    <w:multiLevelType w:val="hybridMultilevel"/>
    <w:tmpl w:val="06AA0808"/>
    <w:lvl w:ilvl="0" w:tplc="1282421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01CD1"/>
    <w:multiLevelType w:val="hybridMultilevel"/>
    <w:tmpl w:val="1B223146"/>
    <w:lvl w:ilvl="0" w:tplc="2EACFF7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884770">
    <w:abstractNumId w:val="2"/>
  </w:num>
  <w:num w:numId="2" w16cid:durableId="1846163911">
    <w:abstractNumId w:val="1"/>
  </w:num>
  <w:num w:numId="3" w16cid:durableId="1424691748">
    <w:abstractNumId w:val="6"/>
  </w:num>
  <w:num w:numId="4" w16cid:durableId="2166354">
    <w:abstractNumId w:val="5"/>
  </w:num>
  <w:num w:numId="5" w16cid:durableId="2005740068">
    <w:abstractNumId w:val="4"/>
  </w:num>
  <w:num w:numId="6" w16cid:durableId="1745300048">
    <w:abstractNumId w:val="3"/>
  </w:num>
  <w:num w:numId="7" w16cid:durableId="1901789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E83"/>
    <w:rsid w:val="0002078B"/>
    <w:rsid w:val="000321F8"/>
    <w:rsid w:val="00073F4A"/>
    <w:rsid w:val="00074865"/>
    <w:rsid w:val="000975B5"/>
    <w:rsid w:val="000B40F2"/>
    <w:rsid w:val="000B6C6D"/>
    <w:rsid w:val="000F2639"/>
    <w:rsid w:val="00101816"/>
    <w:rsid w:val="00103055"/>
    <w:rsid w:val="0010661B"/>
    <w:rsid w:val="00120E47"/>
    <w:rsid w:val="001309EC"/>
    <w:rsid w:val="00172F50"/>
    <w:rsid w:val="001761A5"/>
    <w:rsid w:val="001B3B73"/>
    <w:rsid w:val="001C5CC8"/>
    <w:rsid w:val="001C7A90"/>
    <w:rsid w:val="0024017E"/>
    <w:rsid w:val="00255965"/>
    <w:rsid w:val="0026770D"/>
    <w:rsid w:val="00282915"/>
    <w:rsid w:val="002839FB"/>
    <w:rsid w:val="00283C68"/>
    <w:rsid w:val="002A1961"/>
    <w:rsid w:val="002B4910"/>
    <w:rsid w:val="002B507B"/>
    <w:rsid w:val="002B772E"/>
    <w:rsid w:val="002C3E4C"/>
    <w:rsid w:val="002C7DE5"/>
    <w:rsid w:val="002E1F2D"/>
    <w:rsid w:val="002E2CF0"/>
    <w:rsid w:val="002F169A"/>
    <w:rsid w:val="002F4940"/>
    <w:rsid w:val="002F534F"/>
    <w:rsid w:val="00311F86"/>
    <w:rsid w:val="00331977"/>
    <w:rsid w:val="00334208"/>
    <w:rsid w:val="00341B87"/>
    <w:rsid w:val="00344B26"/>
    <w:rsid w:val="00351483"/>
    <w:rsid w:val="003607AC"/>
    <w:rsid w:val="0036456A"/>
    <w:rsid w:val="00377CBF"/>
    <w:rsid w:val="00381AE6"/>
    <w:rsid w:val="003A5758"/>
    <w:rsid w:val="003B276B"/>
    <w:rsid w:val="003B75F6"/>
    <w:rsid w:val="003D5A86"/>
    <w:rsid w:val="003E5FA0"/>
    <w:rsid w:val="003E71AF"/>
    <w:rsid w:val="003F5EE6"/>
    <w:rsid w:val="0040174E"/>
    <w:rsid w:val="00437491"/>
    <w:rsid w:val="00441D1E"/>
    <w:rsid w:val="00462FC6"/>
    <w:rsid w:val="00476001"/>
    <w:rsid w:val="00481E92"/>
    <w:rsid w:val="004C7505"/>
    <w:rsid w:val="004E0168"/>
    <w:rsid w:val="0053689A"/>
    <w:rsid w:val="00542071"/>
    <w:rsid w:val="00563A6A"/>
    <w:rsid w:val="00573380"/>
    <w:rsid w:val="005813C0"/>
    <w:rsid w:val="0058208B"/>
    <w:rsid w:val="00595EAC"/>
    <w:rsid w:val="005A71C4"/>
    <w:rsid w:val="005C0F6A"/>
    <w:rsid w:val="005E7C4E"/>
    <w:rsid w:val="00603FF5"/>
    <w:rsid w:val="00604523"/>
    <w:rsid w:val="00610BD6"/>
    <w:rsid w:val="006141F8"/>
    <w:rsid w:val="006265EF"/>
    <w:rsid w:val="00640CB8"/>
    <w:rsid w:val="006422B5"/>
    <w:rsid w:val="006946AB"/>
    <w:rsid w:val="006A5922"/>
    <w:rsid w:val="006B7326"/>
    <w:rsid w:val="006C0B6F"/>
    <w:rsid w:val="006C2EEA"/>
    <w:rsid w:val="006C696A"/>
    <w:rsid w:val="006D1185"/>
    <w:rsid w:val="006D60BC"/>
    <w:rsid w:val="00701FDF"/>
    <w:rsid w:val="00714B74"/>
    <w:rsid w:val="00730E47"/>
    <w:rsid w:val="00731D00"/>
    <w:rsid w:val="007439D5"/>
    <w:rsid w:val="007811EC"/>
    <w:rsid w:val="00787D13"/>
    <w:rsid w:val="007928B3"/>
    <w:rsid w:val="007B26A7"/>
    <w:rsid w:val="007B6572"/>
    <w:rsid w:val="007C1CA2"/>
    <w:rsid w:val="007D0441"/>
    <w:rsid w:val="00812D37"/>
    <w:rsid w:val="00816003"/>
    <w:rsid w:val="0082182D"/>
    <w:rsid w:val="00831F8A"/>
    <w:rsid w:val="00861636"/>
    <w:rsid w:val="00887F7B"/>
    <w:rsid w:val="008A7F53"/>
    <w:rsid w:val="008C5995"/>
    <w:rsid w:val="008D22C3"/>
    <w:rsid w:val="008F06C6"/>
    <w:rsid w:val="00902ADF"/>
    <w:rsid w:val="009561D5"/>
    <w:rsid w:val="00956A53"/>
    <w:rsid w:val="00971219"/>
    <w:rsid w:val="00980646"/>
    <w:rsid w:val="009951F3"/>
    <w:rsid w:val="009964E5"/>
    <w:rsid w:val="009B7E83"/>
    <w:rsid w:val="009C02A7"/>
    <w:rsid w:val="009C1540"/>
    <w:rsid w:val="009C2B68"/>
    <w:rsid w:val="009C5DBD"/>
    <w:rsid w:val="009F285D"/>
    <w:rsid w:val="009F526F"/>
    <w:rsid w:val="00A00936"/>
    <w:rsid w:val="00A32892"/>
    <w:rsid w:val="00A363E0"/>
    <w:rsid w:val="00A948E1"/>
    <w:rsid w:val="00AA7161"/>
    <w:rsid w:val="00AA78C7"/>
    <w:rsid w:val="00AD299B"/>
    <w:rsid w:val="00AF0149"/>
    <w:rsid w:val="00B072EC"/>
    <w:rsid w:val="00B106A5"/>
    <w:rsid w:val="00B2342B"/>
    <w:rsid w:val="00B32932"/>
    <w:rsid w:val="00B40753"/>
    <w:rsid w:val="00B5256C"/>
    <w:rsid w:val="00B52C82"/>
    <w:rsid w:val="00B85E81"/>
    <w:rsid w:val="00B85F2D"/>
    <w:rsid w:val="00BA26A7"/>
    <w:rsid w:val="00BB22D2"/>
    <w:rsid w:val="00BE1814"/>
    <w:rsid w:val="00BF547A"/>
    <w:rsid w:val="00C00803"/>
    <w:rsid w:val="00C02C1F"/>
    <w:rsid w:val="00C04C6C"/>
    <w:rsid w:val="00C220FD"/>
    <w:rsid w:val="00C3228B"/>
    <w:rsid w:val="00C4140E"/>
    <w:rsid w:val="00C46833"/>
    <w:rsid w:val="00C772EE"/>
    <w:rsid w:val="00C97D8C"/>
    <w:rsid w:val="00CA335F"/>
    <w:rsid w:val="00CD1255"/>
    <w:rsid w:val="00CD36E5"/>
    <w:rsid w:val="00CF77DC"/>
    <w:rsid w:val="00D13C72"/>
    <w:rsid w:val="00D42A52"/>
    <w:rsid w:val="00D51279"/>
    <w:rsid w:val="00D84574"/>
    <w:rsid w:val="00D97B3C"/>
    <w:rsid w:val="00DA7225"/>
    <w:rsid w:val="00DB7BA7"/>
    <w:rsid w:val="00DC2D41"/>
    <w:rsid w:val="00DD79CA"/>
    <w:rsid w:val="00E10929"/>
    <w:rsid w:val="00E10955"/>
    <w:rsid w:val="00E33BF7"/>
    <w:rsid w:val="00E5312D"/>
    <w:rsid w:val="00E53FCC"/>
    <w:rsid w:val="00E60FE7"/>
    <w:rsid w:val="00E6622E"/>
    <w:rsid w:val="00E7039B"/>
    <w:rsid w:val="00E70442"/>
    <w:rsid w:val="00E75056"/>
    <w:rsid w:val="00E93436"/>
    <w:rsid w:val="00EF2103"/>
    <w:rsid w:val="00F33C3F"/>
    <w:rsid w:val="00F656B5"/>
    <w:rsid w:val="00F9495C"/>
    <w:rsid w:val="00FB2D14"/>
    <w:rsid w:val="00FC123F"/>
    <w:rsid w:val="00FC499D"/>
    <w:rsid w:val="00FC7CFB"/>
    <w:rsid w:val="00FD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41E459"/>
  <w15:docId w15:val="{154D0A81-EC8E-FB44-A349-779F8B59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946AB"/>
    <w:pPr>
      <w:suppressAutoHyphens w:val="0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C1E1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DC1E14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EC30F0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AD0231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AD0231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AD0231"/>
    <w:rPr>
      <w:b/>
      <w:bCs/>
      <w:sz w:val="20"/>
      <w:szCs w:val="20"/>
    </w:rPr>
  </w:style>
  <w:style w:type="paragraph" w:customStyle="1" w:styleId="Ttulo1">
    <w:name w:val="Título1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e"/>
    <w:qFormat/>
    <w:pPr>
      <w:suppressLineNumbers/>
    </w:p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ibliografia">
    <w:name w:val="Bibliography"/>
    <w:basedOn w:val="Normale"/>
    <w:next w:val="Normale"/>
    <w:uiPriority w:val="37"/>
    <w:unhideWhenUsed/>
    <w:qFormat/>
    <w:rsid w:val="00E928BA"/>
  </w:style>
  <w:style w:type="paragraph" w:styleId="NormaleWeb">
    <w:name w:val="Normal (Web)"/>
    <w:basedOn w:val="Normale"/>
    <w:uiPriority w:val="99"/>
    <w:semiHidden/>
    <w:unhideWhenUsed/>
    <w:qFormat/>
    <w:rsid w:val="00B94DCA"/>
  </w:style>
  <w:style w:type="paragraph" w:styleId="Paragrafoelenco">
    <w:name w:val="List Paragraph"/>
    <w:basedOn w:val="Normale"/>
    <w:uiPriority w:val="34"/>
    <w:qFormat/>
    <w:rsid w:val="00B94DCA"/>
    <w:pPr>
      <w:ind w:left="720"/>
      <w:contextualSpacing/>
    </w:pPr>
  </w:style>
  <w:style w:type="paragraph" w:styleId="Revisione">
    <w:name w:val="Revision"/>
    <w:uiPriority w:val="99"/>
    <w:semiHidden/>
    <w:qFormat/>
    <w:rsid w:val="00155F33"/>
  </w:style>
  <w:style w:type="paragraph" w:customStyle="1" w:styleId="Cabeceraypie">
    <w:name w:val="Cabecera y pie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EC30F0"/>
    <w:pPr>
      <w:tabs>
        <w:tab w:val="center" w:pos="4536"/>
        <w:tab w:val="right" w:pos="9072"/>
      </w:tabs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D023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AD0231"/>
    <w:rPr>
      <w:b/>
      <w:bCs/>
    </w:rPr>
  </w:style>
  <w:style w:type="numbering" w:customStyle="1" w:styleId="Ningunalista">
    <w:name w:val="Ninguna lista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lasemplice-2">
    <w:name w:val="Plain Table 2"/>
    <w:basedOn w:val="Tabellanormale"/>
    <w:uiPriority w:val="99"/>
    <w:rsid w:val="00E05C5A"/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Grigliatabella">
    <w:name w:val="Table Grid"/>
    <w:basedOn w:val="Tabellanormale"/>
    <w:uiPriority w:val="39"/>
    <w:rsid w:val="00D13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1237</Words>
  <Characters>7054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Arancha Díaz Expósito</dc:creator>
  <dc:description/>
  <cp:lastModifiedBy>Francesco Costa</cp:lastModifiedBy>
  <cp:revision>17</cp:revision>
  <dcterms:created xsi:type="dcterms:W3CDTF">2026-01-09T12:56:00Z</dcterms:created>
  <dcterms:modified xsi:type="dcterms:W3CDTF">2026-01-12T08:31:00Z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id="FNtQstnv"/&gt;&lt;style id="http://www.zotero.org/styles/vancouver" locale="it-IT" hasBibliography="1" bibliographyStyleHasBeenSet="1"/&gt;&lt;prefs&gt;&lt;pref name="fieldType" value="Field"/&gt;&lt;pref name="dontAskD</vt:lpwstr>
  </property>
  <property fmtid="{D5CDD505-2E9C-101B-9397-08002B2CF9AE}" pid="3" name="ZOTERO_PREF_2">
    <vt:lpwstr>elayCitationUpdates" value="true"/&gt;&lt;/prefs&gt;&lt;/data&gt;</vt:lpwstr>
  </property>
</Properties>
</file>