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3.svg" ContentType="image/svg+xml"/>
  <Override PartName="/word/media/image15.svg" ContentType="image/svg+xml"/>
  <Override PartName="/word/media/image18.svg" ContentType="image/svg+xml"/>
  <Override PartName="/word/media/image20.svg" ContentType="image/svg+xml"/>
  <Override PartName="/word/media/image3.svg" ContentType="image/svg+xml"/>
  <Override PartName="/word/media/image5.svg" ContentType="image/svg+xml"/>
  <Override PartName="/word/media/image8.svg" ContentType="image/sv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2B9412">
      <w:pPr>
        <w:ind w:left="1000" w:hanging="360" w:firstLineChars="0"/>
        <w:jc w:val="center"/>
        <w:rPr>
          <w:rFonts w:cs="Times New Roman"/>
          <w:sz w:val="44"/>
          <w:szCs w:val="44"/>
        </w:rPr>
      </w:pPr>
      <w:bookmarkStart w:id="0" w:name="_Toc21436"/>
      <w:r>
        <w:rPr>
          <w:rFonts w:cs="Times New Roman"/>
          <w:sz w:val="44"/>
          <w:szCs w:val="44"/>
        </w:rPr>
        <w:t>Supporting Information</w:t>
      </w:r>
    </w:p>
    <w:p w14:paraId="0ED4E22B">
      <w:pPr>
        <w:snapToGrid w:val="0"/>
        <w:spacing w:line="300" w:lineRule="auto"/>
        <w:ind w:firstLine="0" w:firstLineChars="0"/>
        <w:jc w:val="center"/>
        <w:rPr>
          <w:rFonts w:cs="Times New Roman"/>
          <w:b/>
          <w:bCs w:val="0"/>
          <w:sz w:val="32"/>
          <w:szCs w:val="32"/>
        </w:rPr>
      </w:pPr>
      <w:r>
        <w:rPr>
          <w:rFonts w:cs="Times New Roman"/>
          <w:b/>
          <w:bCs w:val="0"/>
          <w:sz w:val="32"/>
          <w:szCs w:val="32"/>
        </w:rPr>
        <w:t>Dual-Mechanism Synergistic Enhancement of Room-Temperature Phosphorescence in Carbazole Derivatives</w:t>
      </w:r>
    </w:p>
    <w:p w14:paraId="17F53925">
      <w:pPr>
        <w:snapToGrid w:val="0"/>
        <w:spacing w:after="160" w:line="300" w:lineRule="auto"/>
        <w:ind w:firstLine="0" w:firstLineChars="0"/>
        <w:jc w:val="center"/>
        <w:rPr>
          <w:rFonts w:eastAsia="宋体" w:cs="Times New Roman"/>
          <w:b w:val="0"/>
          <w:sz w:val="21"/>
          <w:szCs w:val="21"/>
          <w:lang w:val="de-DE"/>
        </w:rPr>
      </w:pPr>
      <w:r>
        <w:rPr>
          <w:rFonts w:eastAsia="宋体" w:cs="Times New Roman"/>
          <w:b w:val="0"/>
          <w:sz w:val="21"/>
          <w:szCs w:val="21"/>
          <w:lang w:val="de-DE"/>
        </w:rPr>
        <w:t>Wangen Zhu</w:t>
      </w:r>
      <w:r>
        <w:rPr>
          <w:rFonts w:eastAsia="宋体" w:cs="Times New Roman"/>
          <w:b w:val="0"/>
          <w:sz w:val="21"/>
          <w:szCs w:val="21"/>
          <w:vertAlign w:val="superscript"/>
          <w:lang w:val="de-DE"/>
        </w:rPr>
        <w:t>a</w:t>
      </w:r>
      <w:r>
        <w:rPr>
          <w:rFonts w:eastAsia="宋体" w:cs="Times New Roman"/>
          <w:b w:val="0"/>
          <w:sz w:val="21"/>
          <w:szCs w:val="21"/>
          <w:lang w:val="de-DE"/>
        </w:rPr>
        <w:t>, Chi Zhang</w:t>
      </w:r>
      <w:r>
        <w:rPr>
          <w:rFonts w:eastAsia="宋体" w:cs="Times New Roman"/>
          <w:b w:val="0"/>
          <w:sz w:val="21"/>
          <w:szCs w:val="21"/>
          <w:vertAlign w:val="superscript"/>
          <w:lang w:val="de-DE"/>
        </w:rPr>
        <w:t>a</w:t>
      </w:r>
      <w:r>
        <w:rPr>
          <w:rFonts w:eastAsia="宋体" w:cs="Times New Roman"/>
          <w:b w:val="0"/>
          <w:sz w:val="21"/>
          <w:szCs w:val="21"/>
          <w:lang w:val="de-DE"/>
        </w:rPr>
        <w:t>, Delong Ma</w:t>
      </w:r>
      <w:r>
        <w:rPr>
          <w:rFonts w:eastAsia="宋体" w:cs="Times New Roman"/>
          <w:b w:val="0"/>
          <w:sz w:val="21"/>
          <w:szCs w:val="21"/>
          <w:vertAlign w:val="superscript"/>
          <w:lang w:val="de-DE"/>
        </w:rPr>
        <w:t>a</w:t>
      </w:r>
      <w:r>
        <w:rPr>
          <w:rFonts w:eastAsia="宋体" w:cs="Times New Roman"/>
          <w:b w:val="0"/>
          <w:sz w:val="21"/>
          <w:szCs w:val="21"/>
          <w:lang w:val="de-DE"/>
        </w:rPr>
        <w:t>, Jiaying Yan</w:t>
      </w:r>
      <w:r>
        <w:rPr>
          <w:rFonts w:eastAsia="宋体" w:cs="Times New Roman"/>
          <w:b w:val="0"/>
          <w:sz w:val="21"/>
          <w:szCs w:val="21"/>
          <w:vertAlign w:val="superscript"/>
          <w:lang w:val="de-DE"/>
        </w:rPr>
        <w:t>*ab</w:t>
      </w:r>
      <w:r>
        <w:rPr>
          <w:rFonts w:eastAsia="宋体" w:cs="Times New Roman"/>
          <w:b w:val="0"/>
          <w:sz w:val="21"/>
          <w:szCs w:val="21"/>
          <w:lang w:val="de-DE"/>
        </w:rPr>
        <w:t>, Yong Qi</w:t>
      </w:r>
      <w:r>
        <w:rPr>
          <w:rFonts w:eastAsia="宋体" w:cs="Times New Roman"/>
          <w:b w:val="0"/>
          <w:sz w:val="21"/>
          <w:szCs w:val="21"/>
          <w:vertAlign w:val="superscript"/>
          <w:lang w:val="de-DE"/>
        </w:rPr>
        <w:t>*a</w:t>
      </w:r>
      <w:r>
        <w:rPr>
          <w:rFonts w:eastAsia="宋体" w:cs="Times New Roman"/>
          <w:b w:val="0"/>
          <w:sz w:val="21"/>
          <w:szCs w:val="21"/>
          <w:lang w:val="de-DE"/>
        </w:rPr>
        <w:t>, Nuonuo Zhang</w:t>
      </w:r>
      <w:r>
        <w:rPr>
          <w:rFonts w:eastAsia="宋体" w:cs="Times New Roman"/>
          <w:b w:val="0"/>
          <w:sz w:val="21"/>
          <w:szCs w:val="21"/>
          <w:vertAlign w:val="superscript"/>
          <w:lang w:val="de-DE"/>
        </w:rPr>
        <w:t>*ab</w:t>
      </w:r>
    </w:p>
    <w:p w14:paraId="359DEE09">
      <w:pPr>
        <w:snapToGrid w:val="0"/>
        <w:spacing w:after="160" w:line="300" w:lineRule="auto"/>
        <w:ind w:firstLine="0" w:firstLineChars="0"/>
        <w:jc w:val="center"/>
        <w:rPr>
          <w:rFonts w:eastAsia="宋体" w:cs="Times New Roman"/>
          <w:b w:val="0"/>
          <w:sz w:val="18"/>
          <w:szCs w:val="18"/>
          <w:lang w:val="de-DE"/>
        </w:rPr>
      </w:pPr>
      <w:r>
        <w:rPr>
          <w:rFonts w:eastAsia="宋体" w:cs="Times New Roman"/>
          <w:b w:val="0"/>
          <w:sz w:val="18"/>
          <w:szCs w:val="18"/>
          <w:vertAlign w:val="superscript"/>
          <w:lang w:val="de-DE"/>
        </w:rPr>
        <w:t>a</w:t>
      </w:r>
      <w:r>
        <w:rPr>
          <w:rFonts w:eastAsia="宋体" w:cs="Times New Roman"/>
          <w:b w:val="0"/>
          <w:sz w:val="18"/>
          <w:szCs w:val="18"/>
          <w:lang w:val="de-DE"/>
        </w:rPr>
        <w:t>College of Materials and Chemical Engineering, Key Laboratory of Inorganic Nonmetallic Crystalline and Energy Conversion Materials, China Three Gorges University, Yichang, Hubei 443002, P. R. China</w:t>
      </w:r>
    </w:p>
    <w:p w14:paraId="06C1AA33">
      <w:pPr>
        <w:snapToGrid w:val="0"/>
        <w:spacing w:after="160" w:line="300" w:lineRule="auto"/>
        <w:ind w:firstLine="0" w:firstLineChars="0"/>
        <w:jc w:val="center"/>
        <w:rPr>
          <w:rFonts w:eastAsia="宋体" w:cs="Times New Roman"/>
          <w:b w:val="0"/>
          <w:sz w:val="18"/>
          <w:szCs w:val="18"/>
          <w:lang w:val="de-DE"/>
        </w:rPr>
      </w:pPr>
      <w:r>
        <w:rPr>
          <w:rFonts w:eastAsia="宋体" w:cs="Times New Roman"/>
          <w:b w:val="0"/>
          <w:sz w:val="18"/>
          <w:szCs w:val="18"/>
          <w:vertAlign w:val="superscript"/>
          <w:lang w:val="de-DE"/>
        </w:rPr>
        <w:t>b</w:t>
      </w:r>
      <w:r>
        <w:rPr>
          <w:rFonts w:eastAsia="宋体" w:cs="Times New Roman"/>
          <w:b w:val="0"/>
          <w:sz w:val="18"/>
          <w:szCs w:val="18"/>
          <w:lang w:val="de-DE"/>
        </w:rPr>
        <w:t>Hubei Three Gorges Laboratory, Yichang, Hubei 443007, P. R. China</w:t>
      </w:r>
    </w:p>
    <w:p w14:paraId="4EAB16EE">
      <w:pPr>
        <w:snapToGrid w:val="0"/>
        <w:spacing w:after="160" w:line="300" w:lineRule="auto"/>
        <w:ind w:firstLine="0" w:firstLineChars="0"/>
        <w:jc w:val="center"/>
        <w:rPr>
          <w:rFonts w:eastAsia="宋体" w:cs="Times New Roman"/>
          <w:b w:val="0"/>
          <w:sz w:val="18"/>
          <w:szCs w:val="18"/>
          <w:u w:val="single"/>
          <w:lang w:val="de-DE"/>
        </w:rPr>
      </w:pPr>
      <w:r>
        <w:rPr>
          <w:rFonts w:eastAsia="宋体" w:cs="Times New Roman"/>
          <w:b w:val="0"/>
          <w:sz w:val="18"/>
          <w:szCs w:val="18"/>
          <w:lang w:val="de-DE"/>
        </w:rPr>
        <w:t xml:space="preserve">*Corresponding Email: </w:t>
      </w:r>
      <w:r>
        <w:rPr>
          <w:rFonts w:eastAsia="宋体" w:cs="Times New Roman"/>
          <w:sz w:val="18"/>
          <w:szCs w:val="18"/>
          <w:u w:val="single"/>
          <w:lang w:val="de-DE"/>
        </w:rPr>
        <w:t>yanjiaying327@126.com, qiyong@ctgu.edu.cn and</w:t>
      </w:r>
      <w:r>
        <w:rPr>
          <w:rFonts w:eastAsia="宋体" w:cs="Times New Roman"/>
          <w:b w:val="0"/>
          <w:sz w:val="18"/>
          <w:szCs w:val="18"/>
          <w:u w:val="single"/>
          <w:lang w:val="de-DE"/>
        </w:rPr>
        <w:t xml:space="preserve"> </w:t>
      </w:r>
      <w:r>
        <w:rPr>
          <w:rFonts w:eastAsia="宋体" w:cs="Times New Roman"/>
          <w:bCs/>
          <w:sz w:val="18"/>
          <w:szCs w:val="18"/>
          <w:u w:val="single"/>
          <w:lang w:val="de-DE"/>
        </w:rPr>
        <w:t>nnzhang2015@ctgu.edu.cn.</w:t>
      </w:r>
    </w:p>
    <w:sdt>
      <w:sdtPr>
        <w:rPr>
          <w:rFonts w:ascii="Times New Roman" w:hAnsi="Times New Roman" w:eastAsia="思源黑体 CN Bold" w:cs="Times New Roman"/>
          <w:b/>
          <w:color w:val="auto"/>
          <w:kern w:val="2"/>
          <w:sz w:val="22"/>
          <w:szCs w:val="22"/>
          <w:lang w:val="zh-CN"/>
          <w14:ligatures w14:val="standardContextual"/>
        </w:rPr>
        <w:id w:val="654194393"/>
        <w:docPartObj>
          <w:docPartGallery w:val="Table of Contents"/>
          <w:docPartUnique/>
        </w:docPartObj>
      </w:sdtPr>
      <w:sdtEndPr>
        <w:rPr>
          <w:rFonts w:ascii="Times New Roman" w:hAnsi="Times New Roman" w:eastAsia="思源黑体 CN Bold" w:cs="Times New Roman"/>
          <w:b/>
          <w:bCs/>
          <w:color w:val="auto"/>
          <w:kern w:val="2"/>
          <w:sz w:val="24"/>
          <w:szCs w:val="24"/>
          <w:lang w:val="zh-CN"/>
          <w14:ligatures w14:val="standardContextual"/>
        </w:rPr>
      </w:sdtEndPr>
      <w:sdtContent>
        <w:p w14:paraId="65907414">
          <w:pPr>
            <w:pStyle w:val="23"/>
            <w:spacing w:line="480" w:lineRule="auto"/>
            <w:ind w:firstLine="440"/>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lang w:val="zh-CN"/>
              <w14:textFill>
                <w14:solidFill>
                  <w14:schemeClr w14:val="tx1"/>
                </w14:solidFill>
              </w14:textFill>
            </w:rPr>
            <w:t>Content</w:t>
          </w:r>
        </w:p>
        <w:p w14:paraId="046424F0">
          <w:pPr>
            <w:pStyle w:val="6"/>
            <w:tabs>
              <w:tab w:val="right" w:leader="dot" w:pos="8296"/>
            </w:tabs>
            <w:spacing w:line="720" w:lineRule="auto"/>
            <w:ind w:left="418" w:leftChars="190" w:firstLine="200" w:firstLineChars="83"/>
            <w:rPr>
              <w:rFonts w:hint="eastAsia" w:asciiTheme="minorHAnsi" w:hAnsiTheme="minorHAnsi" w:eastAsiaTheme="minorEastAsia"/>
              <w:b w:val="0"/>
              <w:sz w:val="24"/>
              <w:szCs w:val="24"/>
            </w:rPr>
          </w:pPr>
          <w:r>
            <w:rPr>
              <w:rFonts w:cs="Times New Roman"/>
              <w:sz w:val="24"/>
              <w:szCs w:val="24"/>
            </w:rPr>
            <w:fldChar w:fldCharType="begin"/>
          </w:r>
          <w:r>
            <w:rPr>
              <w:rFonts w:cs="Times New Roman"/>
              <w:sz w:val="24"/>
              <w:szCs w:val="24"/>
            </w:rPr>
            <w:instrText xml:space="preserve"> TOC \o "1-3" \h \z \u </w:instrText>
          </w:r>
          <w:r>
            <w:rPr>
              <w:rFonts w:cs="Times New Roman"/>
              <w:sz w:val="24"/>
              <w:szCs w:val="24"/>
            </w:rPr>
            <w:fldChar w:fldCharType="separate"/>
          </w:r>
          <w:r>
            <w:fldChar w:fldCharType="begin"/>
          </w:r>
          <w:r>
            <w:instrText xml:space="preserve"> HYPERLINK \l "_Toc219315587" </w:instrText>
          </w:r>
          <w:r>
            <w:fldChar w:fldCharType="separate"/>
          </w:r>
          <w:r>
            <w:rPr>
              <w:rStyle w:val="10"/>
              <w:rFonts w:hint="eastAsia"/>
              <w:sz w:val="24"/>
              <w:szCs w:val="24"/>
            </w:rPr>
            <w:t>1. Materials and methods</w:t>
          </w:r>
          <w:r>
            <w:rPr>
              <w:rFonts w:hint="eastAsia"/>
              <w:sz w:val="24"/>
              <w:szCs w:val="24"/>
            </w:rPr>
            <w:tab/>
          </w:r>
          <w:r>
            <w:rPr>
              <w:rFonts w:hint="eastAsia"/>
              <w:sz w:val="24"/>
              <w:szCs w:val="24"/>
            </w:rPr>
            <w:fldChar w:fldCharType="begin"/>
          </w:r>
          <w:r>
            <w:rPr>
              <w:rFonts w:hint="eastAsia"/>
              <w:sz w:val="24"/>
              <w:szCs w:val="24"/>
            </w:rPr>
            <w:instrText xml:space="preserve"> </w:instrText>
          </w:r>
          <w:r>
            <w:rPr>
              <w:sz w:val="24"/>
              <w:szCs w:val="24"/>
            </w:rPr>
            <w:instrText xml:space="preserve">PAGEREF _Toc219315587 \h</w:instrText>
          </w:r>
          <w:r>
            <w:rPr>
              <w:rFonts w:hint="eastAsia"/>
              <w:sz w:val="24"/>
              <w:szCs w:val="24"/>
            </w:rPr>
            <w:instrText xml:space="preserve"> </w:instrText>
          </w:r>
          <w:r>
            <w:rPr>
              <w:rFonts w:hint="eastAsia"/>
              <w:sz w:val="24"/>
              <w:szCs w:val="24"/>
            </w:rPr>
            <w:fldChar w:fldCharType="separate"/>
          </w:r>
          <w:r>
            <w:rPr>
              <w:sz w:val="24"/>
              <w:szCs w:val="24"/>
            </w:rPr>
            <w:t>2</w:t>
          </w:r>
          <w:r>
            <w:rPr>
              <w:rFonts w:hint="eastAsia"/>
              <w:sz w:val="24"/>
              <w:szCs w:val="24"/>
            </w:rPr>
            <w:fldChar w:fldCharType="end"/>
          </w:r>
          <w:r>
            <w:rPr>
              <w:rFonts w:hint="eastAsia"/>
              <w:sz w:val="24"/>
              <w:szCs w:val="24"/>
            </w:rPr>
            <w:fldChar w:fldCharType="end"/>
          </w:r>
        </w:p>
        <w:p w14:paraId="10E9B094">
          <w:pPr>
            <w:pStyle w:val="6"/>
            <w:tabs>
              <w:tab w:val="right" w:leader="dot" w:pos="8296"/>
            </w:tabs>
            <w:spacing w:line="720" w:lineRule="auto"/>
            <w:ind w:left="418" w:leftChars="190" w:firstLine="199" w:firstLineChars="90"/>
            <w:rPr>
              <w:rFonts w:hint="eastAsia" w:asciiTheme="minorHAnsi" w:hAnsiTheme="minorHAnsi" w:eastAsiaTheme="minorEastAsia"/>
              <w:b w:val="0"/>
              <w:sz w:val="24"/>
              <w:szCs w:val="24"/>
            </w:rPr>
          </w:pPr>
          <w:r>
            <w:fldChar w:fldCharType="begin"/>
          </w:r>
          <w:r>
            <w:instrText xml:space="preserve"> HYPERLINK \l "_Toc219315588" </w:instrText>
          </w:r>
          <w:r>
            <w:fldChar w:fldCharType="separate"/>
          </w:r>
          <w:r>
            <w:rPr>
              <w:rStyle w:val="10"/>
              <w:rFonts w:hint="eastAsia"/>
              <w:sz w:val="24"/>
              <w:szCs w:val="24"/>
            </w:rPr>
            <w:t>2. Computational method</w:t>
          </w:r>
          <w:r>
            <w:rPr>
              <w:rFonts w:hint="eastAsia"/>
              <w:sz w:val="24"/>
              <w:szCs w:val="24"/>
            </w:rPr>
            <w:tab/>
          </w:r>
          <w:r>
            <w:rPr>
              <w:rFonts w:hint="eastAsia"/>
              <w:sz w:val="24"/>
              <w:szCs w:val="24"/>
            </w:rPr>
            <w:fldChar w:fldCharType="begin"/>
          </w:r>
          <w:r>
            <w:rPr>
              <w:rFonts w:hint="eastAsia"/>
              <w:sz w:val="24"/>
              <w:szCs w:val="24"/>
            </w:rPr>
            <w:instrText xml:space="preserve"> </w:instrText>
          </w:r>
          <w:r>
            <w:rPr>
              <w:sz w:val="24"/>
              <w:szCs w:val="24"/>
            </w:rPr>
            <w:instrText xml:space="preserve">PAGEREF _Toc219315588 \h</w:instrText>
          </w:r>
          <w:r>
            <w:rPr>
              <w:rFonts w:hint="eastAsia"/>
              <w:sz w:val="24"/>
              <w:szCs w:val="24"/>
            </w:rPr>
            <w:instrText xml:space="preserve"> </w:instrText>
          </w:r>
          <w:r>
            <w:rPr>
              <w:rFonts w:hint="eastAsia"/>
              <w:sz w:val="24"/>
              <w:szCs w:val="24"/>
            </w:rPr>
            <w:fldChar w:fldCharType="separate"/>
          </w:r>
          <w:r>
            <w:rPr>
              <w:sz w:val="24"/>
              <w:szCs w:val="24"/>
            </w:rPr>
            <w:t>2</w:t>
          </w:r>
          <w:r>
            <w:rPr>
              <w:rFonts w:hint="eastAsia"/>
              <w:sz w:val="24"/>
              <w:szCs w:val="24"/>
            </w:rPr>
            <w:fldChar w:fldCharType="end"/>
          </w:r>
          <w:r>
            <w:rPr>
              <w:rFonts w:hint="eastAsia"/>
              <w:sz w:val="24"/>
              <w:szCs w:val="24"/>
            </w:rPr>
            <w:fldChar w:fldCharType="end"/>
          </w:r>
        </w:p>
        <w:p w14:paraId="7027E9BE">
          <w:pPr>
            <w:pStyle w:val="6"/>
            <w:tabs>
              <w:tab w:val="right" w:leader="dot" w:pos="8296"/>
            </w:tabs>
            <w:spacing w:line="720" w:lineRule="auto"/>
            <w:ind w:left="418" w:leftChars="190" w:firstLine="199" w:firstLineChars="90"/>
            <w:rPr>
              <w:rFonts w:hint="eastAsia" w:asciiTheme="minorHAnsi" w:hAnsiTheme="minorHAnsi" w:eastAsiaTheme="minorEastAsia"/>
              <w:b w:val="0"/>
              <w:sz w:val="24"/>
              <w:szCs w:val="24"/>
            </w:rPr>
          </w:pPr>
          <w:r>
            <w:fldChar w:fldCharType="begin"/>
          </w:r>
          <w:r>
            <w:instrText xml:space="preserve"> HYPERLINK \l "_Toc219315589" </w:instrText>
          </w:r>
          <w:r>
            <w:fldChar w:fldCharType="separate"/>
          </w:r>
          <w:r>
            <w:rPr>
              <w:rStyle w:val="10"/>
              <w:rFonts w:hint="eastAsia"/>
              <w:sz w:val="24"/>
              <w:szCs w:val="24"/>
            </w:rPr>
            <w:t>3. Synthesis</w:t>
          </w:r>
          <w:r>
            <w:rPr>
              <w:rFonts w:hint="eastAsia"/>
              <w:sz w:val="24"/>
              <w:szCs w:val="24"/>
            </w:rPr>
            <w:tab/>
          </w:r>
          <w:r>
            <w:rPr>
              <w:rFonts w:hint="eastAsia"/>
              <w:sz w:val="24"/>
              <w:szCs w:val="24"/>
            </w:rPr>
            <w:fldChar w:fldCharType="begin"/>
          </w:r>
          <w:r>
            <w:rPr>
              <w:rFonts w:hint="eastAsia"/>
              <w:sz w:val="24"/>
              <w:szCs w:val="24"/>
            </w:rPr>
            <w:instrText xml:space="preserve"> </w:instrText>
          </w:r>
          <w:r>
            <w:rPr>
              <w:sz w:val="24"/>
              <w:szCs w:val="24"/>
            </w:rPr>
            <w:instrText xml:space="preserve">PAGEREF _Toc219315589 \h</w:instrText>
          </w:r>
          <w:r>
            <w:rPr>
              <w:rFonts w:hint="eastAsia"/>
              <w:sz w:val="24"/>
              <w:szCs w:val="24"/>
            </w:rPr>
            <w:instrText xml:space="preserve"> </w:instrText>
          </w:r>
          <w:r>
            <w:rPr>
              <w:rFonts w:hint="eastAsia"/>
              <w:sz w:val="24"/>
              <w:szCs w:val="24"/>
            </w:rPr>
            <w:fldChar w:fldCharType="separate"/>
          </w:r>
          <w:r>
            <w:rPr>
              <w:sz w:val="24"/>
              <w:szCs w:val="24"/>
            </w:rPr>
            <w:t>2</w:t>
          </w:r>
          <w:r>
            <w:rPr>
              <w:rFonts w:hint="eastAsia"/>
              <w:sz w:val="24"/>
              <w:szCs w:val="24"/>
            </w:rPr>
            <w:fldChar w:fldCharType="end"/>
          </w:r>
          <w:r>
            <w:rPr>
              <w:rFonts w:hint="eastAsia"/>
              <w:sz w:val="24"/>
              <w:szCs w:val="24"/>
            </w:rPr>
            <w:fldChar w:fldCharType="end"/>
          </w:r>
        </w:p>
        <w:p w14:paraId="463EFEE8">
          <w:pPr>
            <w:pStyle w:val="6"/>
            <w:tabs>
              <w:tab w:val="right" w:leader="dot" w:pos="8296"/>
            </w:tabs>
            <w:spacing w:line="720" w:lineRule="auto"/>
            <w:ind w:left="418" w:leftChars="190" w:firstLine="199" w:firstLineChars="90"/>
            <w:rPr>
              <w:rFonts w:hint="eastAsia" w:asciiTheme="minorHAnsi" w:hAnsiTheme="minorHAnsi" w:eastAsiaTheme="minorEastAsia"/>
              <w:b w:val="0"/>
              <w:sz w:val="24"/>
              <w:szCs w:val="24"/>
            </w:rPr>
          </w:pPr>
          <w:r>
            <w:fldChar w:fldCharType="begin"/>
          </w:r>
          <w:r>
            <w:instrText xml:space="preserve"> HYPERLINK \l "_Toc219315590" </w:instrText>
          </w:r>
          <w:r>
            <w:fldChar w:fldCharType="separate"/>
          </w:r>
          <w:r>
            <w:rPr>
              <w:rStyle w:val="10"/>
              <w:rFonts w:hint="eastAsia"/>
              <w:sz w:val="24"/>
              <w:szCs w:val="24"/>
            </w:rPr>
            <w:t xml:space="preserve">4. NMR and HRMS spectra of </w:t>
          </w:r>
          <w:r>
            <w:rPr>
              <w:rStyle w:val="10"/>
              <w:rFonts w:hint="eastAsia"/>
              <w:sz w:val="24"/>
              <w:szCs w:val="24"/>
              <w:lang w:bidi="ar"/>
            </w:rPr>
            <w:t xml:space="preserve">K-CN, </w:t>
          </w:r>
          <w:r>
            <w:rPr>
              <w:rStyle w:val="10"/>
              <w:rFonts w:hint="eastAsia"/>
              <w:sz w:val="24"/>
              <w:szCs w:val="24"/>
            </w:rPr>
            <w:t>K-Br</w:t>
          </w:r>
          <w:r>
            <w:rPr>
              <w:rStyle w:val="10"/>
              <w:rFonts w:hint="eastAsia"/>
              <w:sz w:val="24"/>
              <w:szCs w:val="24"/>
              <w:vertAlign w:val="subscript"/>
            </w:rPr>
            <w:t>2</w:t>
          </w:r>
          <w:r>
            <w:rPr>
              <w:rStyle w:val="10"/>
              <w:rFonts w:hint="eastAsia"/>
              <w:sz w:val="24"/>
              <w:szCs w:val="24"/>
            </w:rPr>
            <w:t>, K-Cl, K-Br</w:t>
          </w:r>
          <w:r>
            <w:rPr>
              <w:rFonts w:hint="eastAsia"/>
              <w:sz w:val="24"/>
              <w:szCs w:val="24"/>
            </w:rPr>
            <w:tab/>
          </w:r>
          <w:r>
            <w:rPr>
              <w:rFonts w:hint="eastAsia"/>
              <w:sz w:val="24"/>
              <w:szCs w:val="24"/>
            </w:rPr>
            <w:fldChar w:fldCharType="begin"/>
          </w:r>
          <w:r>
            <w:rPr>
              <w:rFonts w:hint="eastAsia"/>
              <w:sz w:val="24"/>
              <w:szCs w:val="24"/>
            </w:rPr>
            <w:instrText xml:space="preserve"> </w:instrText>
          </w:r>
          <w:r>
            <w:rPr>
              <w:sz w:val="24"/>
              <w:szCs w:val="24"/>
            </w:rPr>
            <w:instrText xml:space="preserve">PAGEREF _Toc219315590 \h</w:instrText>
          </w:r>
          <w:r>
            <w:rPr>
              <w:rFonts w:hint="eastAsia"/>
              <w:sz w:val="24"/>
              <w:szCs w:val="24"/>
            </w:rPr>
            <w:instrText xml:space="preserve"> </w:instrText>
          </w:r>
          <w:r>
            <w:rPr>
              <w:rFonts w:hint="eastAsia"/>
              <w:sz w:val="24"/>
              <w:szCs w:val="24"/>
            </w:rPr>
            <w:fldChar w:fldCharType="separate"/>
          </w:r>
          <w:r>
            <w:rPr>
              <w:sz w:val="24"/>
              <w:szCs w:val="24"/>
            </w:rPr>
            <w:t>5</w:t>
          </w:r>
          <w:r>
            <w:rPr>
              <w:rFonts w:hint="eastAsia"/>
              <w:sz w:val="24"/>
              <w:szCs w:val="24"/>
            </w:rPr>
            <w:fldChar w:fldCharType="end"/>
          </w:r>
          <w:r>
            <w:rPr>
              <w:rFonts w:hint="eastAsia"/>
              <w:sz w:val="24"/>
              <w:szCs w:val="24"/>
            </w:rPr>
            <w:fldChar w:fldCharType="end"/>
          </w:r>
        </w:p>
        <w:p w14:paraId="79C5DEDF">
          <w:pPr>
            <w:pStyle w:val="6"/>
            <w:tabs>
              <w:tab w:val="right" w:leader="dot" w:pos="8296"/>
            </w:tabs>
            <w:spacing w:line="720" w:lineRule="auto"/>
            <w:ind w:left="418" w:leftChars="190" w:firstLine="199" w:firstLineChars="90"/>
            <w:rPr>
              <w:rFonts w:hint="eastAsia" w:asciiTheme="minorHAnsi" w:hAnsiTheme="minorHAnsi" w:eastAsiaTheme="minorEastAsia"/>
              <w:b w:val="0"/>
              <w:sz w:val="24"/>
              <w:szCs w:val="24"/>
            </w:rPr>
          </w:pPr>
          <w:r>
            <w:fldChar w:fldCharType="begin"/>
          </w:r>
          <w:r>
            <w:instrText xml:space="preserve"> HYPERLINK \l "_Toc219315591" </w:instrText>
          </w:r>
          <w:r>
            <w:fldChar w:fldCharType="separate"/>
          </w:r>
          <w:r>
            <w:rPr>
              <w:rStyle w:val="10"/>
              <w:rFonts w:hint="eastAsia"/>
              <w:sz w:val="24"/>
              <w:szCs w:val="24"/>
            </w:rPr>
            <w:t>5.Single Crystal analysis</w:t>
          </w:r>
          <w:r>
            <w:rPr>
              <w:rFonts w:hint="eastAsia"/>
              <w:sz w:val="24"/>
              <w:szCs w:val="24"/>
            </w:rPr>
            <w:tab/>
          </w:r>
          <w:r>
            <w:rPr>
              <w:rFonts w:hint="eastAsia"/>
              <w:sz w:val="24"/>
              <w:szCs w:val="24"/>
            </w:rPr>
            <w:fldChar w:fldCharType="begin"/>
          </w:r>
          <w:r>
            <w:rPr>
              <w:rFonts w:hint="eastAsia"/>
              <w:sz w:val="24"/>
              <w:szCs w:val="24"/>
            </w:rPr>
            <w:instrText xml:space="preserve"> </w:instrText>
          </w:r>
          <w:r>
            <w:rPr>
              <w:sz w:val="24"/>
              <w:szCs w:val="24"/>
            </w:rPr>
            <w:instrText xml:space="preserve">PAGEREF _Toc219315591 \h</w:instrText>
          </w:r>
          <w:r>
            <w:rPr>
              <w:rFonts w:hint="eastAsia"/>
              <w:sz w:val="24"/>
              <w:szCs w:val="24"/>
            </w:rPr>
            <w:instrText xml:space="preserve"> </w:instrText>
          </w:r>
          <w:r>
            <w:rPr>
              <w:rFonts w:hint="eastAsia"/>
              <w:sz w:val="24"/>
              <w:szCs w:val="24"/>
            </w:rPr>
            <w:fldChar w:fldCharType="separate"/>
          </w:r>
          <w:r>
            <w:rPr>
              <w:sz w:val="24"/>
              <w:szCs w:val="24"/>
            </w:rPr>
            <w:t>10</w:t>
          </w:r>
          <w:r>
            <w:rPr>
              <w:rFonts w:hint="eastAsia"/>
              <w:sz w:val="24"/>
              <w:szCs w:val="24"/>
            </w:rPr>
            <w:fldChar w:fldCharType="end"/>
          </w:r>
          <w:r>
            <w:rPr>
              <w:rFonts w:hint="eastAsia"/>
              <w:sz w:val="24"/>
              <w:szCs w:val="24"/>
            </w:rPr>
            <w:fldChar w:fldCharType="end"/>
          </w:r>
        </w:p>
        <w:p w14:paraId="370413FD">
          <w:pPr>
            <w:pStyle w:val="6"/>
            <w:tabs>
              <w:tab w:val="right" w:leader="dot" w:pos="8296"/>
            </w:tabs>
            <w:spacing w:line="720" w:lineRule="auto"/>
            <w:ind w:left="418" w:leftChars="190" w:firstLine="199" w:firstLineChars="90"/>
            <w:rPr>
              <w:rFonts w:hint="eastAsia" w:asciiTheme="minorHAnsi" w:hAnsiTheme="minorHAnsi" w:eastAsiaTheme="minorEastAsia"/>
              <w:b w:val="0"/>
              <w:sz w:val="24"/>
              <w:szCs w:val="24"/>
            </w:rPr>
          </w:pPr>
          <w:r>
            <w:fldChar w:fldCharType="begin"/>
          </w:r>
          <w:r>
            <w:instrText xml:space="preserve"> HYPERLINK \l "_Toc219315592" </w:instrText>
          </w:r>
          <w:r>
            <w:fldChar w:fldCharType="separate"/>
          </w:r>
          <w:r>
            <w:rPr>
              <w:rStyle w:val="10"/>
              <w:rFonts w:hint="eastAsia"/>
              <w:sz w:val="24"/>
              <w:szCs w:val="24"/>
            </w:rPr>
            <w:t>6. Phosphorescence Spectra and Phosphorescence Lifetime</w:t>
          </w:r>
          <w:r>
            <w:rPr>
              <w:rFonts w:hint="eastAsia"/>
              <w:sz w:val="24"/>
              <w:szCs w:val="24"/>
            </w:rPr>
            <w:tab/>
          </w:r>
          <w:r>
            <w:rPr>
              <w:rFonts w:hint="eastAsia"/>
              <w:sz w:val="24"/>
              <w:szCs w:val="24"/>
            </w:rPr>
            <w:fldChar w:fldCharType="begin"/>
          </w:r>
          <w:r>
            <w:rPr>
              <w:rFonts w:hint="eastAsia"/>
              <w:sz w:val="24"/>
              <w:szCs w:val="24"/>
            </w:rPr>
            <w:instrText xml:space="preserve"> </w:instrText>
          </w:r>
          <w:r>
            <w:rPr>
              <w:sz w:val="24"/>
              <w:szCs w:val="24"/>
            </w:rPr>
            <w:instrText xml:space="preserve">PAGEREF _Toc219315592 \h</w:instrText>
          </w:r>
          <w:r>
            <w:rPr>
              <w:rFonts w:hint="eastAsia"/>
              <w:sz w:val="24"/>
              <w:szCs w:val="24"/>
            </w:rPr>
            <w:instrText xml:space="preserve"> </w:instrText>
          </w:r>
          <w:r>
            <w:rPr>
              <w:rFonts w:hint="eastAsia"/>
              <w:sz w:val="24"/>
              <w:szCs w:val="24"/>
            </w:rPr>
            <w:fldChar w:fldCharType="separate"/>
          </w:r>
          <w:r>
            <w:rPr>
              <w:sz w:val="24"/>
              <w:szCs w:val="24"/>
            </w:rPr>
            <w:t>12</w:t>
          </w:r>
          <w:r>
            <w:rPr>
              <w:rFonts w:hint="eastAsia"/>
              <w:sz w:val="24"/>
              <w:szCs w:val="24"/>
            </w:rPr>
            <w:fldChar w:fldCharType="end"/>
          </w:r>
          <w:r>
            <w:rPr>
              <w:rFonts w:hint="eastAsia"/>
              <w:sz w:val="24"/>
              <w:szCs w:val="24"/>
            </w:rPr>
            <w:fldChar w:fldCharType="end"/>
          </w:r>
        </w:p>
        <w:p w14:paraId="327F97DE">
          <w:pPr>
            <w:pStyle w:val="6"/>
            <w:tabs>
              <w:tab w:val="right" w:leader="dot" w:pos="8296"/>
            </w:tabs>
            <w:spacing w:line="720" w:lineRule="auto"/>
            <w:ind w:left="418" w:leftChars="190" w:firstLine="199" w:firstLineChars="90"/>
            <w:rPr>
              <w:rFonts w:hint="eastAsia" w:asciiTheme="minorHAnsi" w:hAnsiTheme="minorHAnsi" w:eastAsiaTheme="minorEastAsia"/>
              <w:b w:val="0"/>
              <w:sz w:val="24"/>
              <w:szCs w:val="24"/>
            </w:rPr>
          </w:pPr>
          <w:r>
            <w:fldChar w:fldCharType="begin"/>
          </w:r>
          <w:r>
            <w:instrText xml:space="preserve"> HYPERLINK \l "_Toc219315593" </w:instrText>
          </w:r>
          <w:r>
            <w:fldChar w:fldCharType="separate"/>
          </w:r>
          <w:r>
            <w:rPr>
              <w:rStyle w:val="10"/>
              <w:rFonts w:hint="eastAsia"/>
              <w:sz w:val="24"/>
              <w:szCs w:val="24"/>
            </w:rPr>
            <w:t>References</w:t>
          </w:r>
          <w:r>
            <w:rPr>
              <w:rFonts w:hint="eastAsia"/>
              <w:sz w:val="24"/>
              <w:szCs w:val="24"/>
            </w:rPr>
            <w:tab/>
          </w:r>
          <w:r>
            <w:rPr>
              <w:rFonts w:hint="eastAsia"/>
              <w:sz w:val="24"/>
              <w:szCs w:val="24"/>
            </w:rPr>
            <w:fldChar w:fldCharType="begin"/>
          </w:r>
          <w:r>
            <w:rPr>
              <w:rFonts w:hint="eastAsia"/>
              <w:sz w:val="24"/>
              <w:szCs w:val="24"/>
            </w:rPr>
            <w:instrText xml:space="preserve"> </w:instrText>
          </w:r>
          <w:r>
            <w:rPr>
              <w:sz w:val="24"/>
              <w:szCs w:val="24"/>
            </w:rPr>
            <w:instrText xml:space="preserve">PAGEREF _Toc219315593 \h</w:instrText>
          </w:r>
          <w:r>
            <w:rPr>
              <w:rFonts w:hint="eastAsia"/>
              <w:sz w:val="24"/>
              <w:szCs w:val="24"/>
            </w:rPr>
            <w:instrText xml:space="preserve"> </w:instrText>
          </w:r>
          <w:r>
            <w:rPr>
              <w:rFonts w:hint="eastAsia"/>
              <w:sz w:val="24"/>
              <w:szCs w:val="24"/>
            </w:rPr>
            <w:fldChar w:fldCharType="separate"/>
          </w:r>
          <w:r>
            <w:rPr>
              <w:sz w:val="24"/>
              <w:szCs w:val="24"/>
            </w:rPr>
            <w:t>13</w:t>
          </w:r>
          <w:r>
            <w:rPr>
              <w:rFonts w:hint="eastAsia"/>
              <w:sz w:val="24"/>
              <w:szCs w:val="24"/>
            </w:rPr>
            <w:fldChar w:fldCharType="end"/>
          </w:r>
          <w:r>
            <w:rPr>
              <w:rFonts w:hint="eastAsia"/>
              <w:sz w:val="24"/>
              <w:szCs w:val="24"/>
            </w:rPr>
            <w:fldChar w:fldCharType="end"/>
          </w:r>
        </w:p>
        <w:p w14:paraId="392901F8">
          <w:pPr>
            <w:spacing w:line="720" w:lineRule="auto"/>
            <w:ind w:firstLine="480"/>
            <w:rPr>
              <w:rFonts w:cs="Times New Roman"/>
              <w:sz w:val="24"/>
              <w:szCs w:val="24"/>
            </w:rPr>
          </w:pPr>
          <w:r>
            <w:rPr>
              <w:rFonts w:cs="Times New Roman"/>
              <w:bCs/>
              <w:sz w:val="24"/>
              <w:szCs w:val="24"/>
              <w:lang w:val="zh-CN"/>
            </w:rPr>
            <w:fldChar w:fldCharType="end"/>
          </w:r>
        </w:p>
      </w:sdtContent>
    </w:sdt>
    <w:p w14:paraId="4BB1858B">
      <w:pPr>
        <w:ind w:firstLine="440"/>
        <w:rPr>
          <w:rFonts w:cs="Times New Roman"/>
        </w:rPr>
      </w:pPr>
    </w:p>
    <w:p w14:paraId="2F51D131">
      <w:pPr>
        <w:ind w:firstLine="440"/>
        <w:rPr>
          <w:rFonts w:cs="Times New Roman"/>
        </w:rPr>
      </w:pPr>
    </w:p>
    <w:p w14:paraId="6AE17290">
      <w:pPr>
        <w:ind w:firstLine="440"/>
        <w:rPr>
          <w:rFonts w:cs="Times New Roman"/>
        </w:rPr>
      </w:pPr>
    </w:p>
    <w:p w14:paraId="00CF76FC">
      <w:pPr>
        <w:ind w:firstLine="440"/>
        <w:rPr>
          <w:rFonts w:cs="Times New Roman"/>
        </w:rPr>
      </w:pPr>
    </w:p>
    <w:p w14:paraId="4E375992">
      <w:pPr>
        <w:ind w:firstLine="440"/>
        <w:rPr>
          <w:rFonts w:cs="Times New Roman"/>
        </w:rPr>
      </w:pPr>
    </w:p>
    <w:p w14:paraId="4E3F8D87">
      <w:pPr>
        <w:ind w:firstLine="440"/>
        <w:rPr>
          <w:rFonts w:cs="Times New Roman"/>
        </w:rPr>
      </w:pPr>
    </w:p>
    <w:p w14:paraId="699B0D1A">
      <w:pPr>
        <w:ind w:firstLine="0" w:firstLineChars="0"/>
        <w:rPr>
          <w:rFonts w:hint="eastAsia" w:cs="Times New Roman"/>
        </w:rPr>
      </w:pPr>
    </w:p>
    <w:p w14:paraId="6BE45240">
      <w:pPr>
        <w:pStyle w:val="3"/>
        <w:ind w:firstLine="0" w:firstLineChars="0"/>
        <w:rPr>
          <w:rFonts w:ascii="Times New Roman" w:hAnsi="Times New Roman"/>
          <w:sz w:val="28"/>
          <w:szCs w:val="28"/>
        </w:rPr>
      </w:pPr>
      <w:bookmarkStart w:id="1" w:name="_Toc219315587"/>
      <w:r>
        <w:rPr>
          <w:rFonts w:hint="eastAsia" w:ascii="Times New Roman" w:hAnsi="Times New Roman"/>
          <w:sz w:val="28"/>
          <w:szCs w:val="28"/>
        </w:rPr>
        <w:t xml:space="preserve">1. </w:t>
      </w:r>
      <w:r>
        <w:rPr>
          <w:rFonts w:ascii="Times New Roman" w:hAnsi="Times New Roman"/>
          <w:sz w:val="28"/>
          <w:szCs w:val="28"/>
        </w:rPr>
        <w:t>Materials and methods</w:t>
      </w:r>
      <w:bookmarkEnd w:id="0"/>
      <w:bookmarkEnd w:id="1"/>
    </w:p>
    <w:p w14:paraId="31344129">
      <w:pPr>
        <w:pStyle w:val="15"/>
      </w:pPr>
      <w:r>
        <w:t xml:space="preserve">All reagents and solvents were obtained from commercial sources and used without further purification, unless otherwise noted. All chromatographic separations were carried out on silica gel (300-400 mesh). </w:t>
      </w:r>
      <w:r>
        <w:rPr>
          <w:vertAlign w:val="superscript"/>
        </w:rPr>
        <w:t>1</w:t>
      </w:r>
      <w:r>
        <w:t xml:space="preserve">H NMR and 13C NMR spectra were recorded on Bruker 400 MHz spectrometer at 298 K. Chloroform-d was used as solvent and TMS as internal reference. The chemical shifts were reported in parts per million (δ) relative to the appropriate reference signal: Chloroform-d (the quintet centered at 7.26 ppm). High resolution mass spectra were measured on Bruker APCI or SYNAPT G2 analysis instrument. </w:t>
      </w:r>
      <w:r>
        <w:rPr>
          <w:lang w:eastAsia="zh-CN"/>
        </w:rPr>
        <w:t>Both the phosphorescence spectrum and phosphorescence lifetime are measured by Steady-state Transient Fluorescence Spectrometer.</w:t>
      </w:r>
    </w:p>
    <w:p w14:paraId="3CB4888D">
      <w:pPr>
        <w:pStyle w:val="3"/>
        <w:ind w:firstLine="0" w:firstLineChars="0"/>
        <w:rPr>
          <w:rFonts w:ascii="Times New Roman" w:hAnsi="Times New Roman"/>
          <w:sz w:val="28"/>
          <w:szCs w:val="28"/>
        </w:rPr>
      </w:pPr>
      <w:bookmarkStart w:id="2" w:name="_Toc346738219"/>
      <w:bookmarkStart w:id="3" w:name="_Toc374817053"/>
      <w:bookmarkStart w:id="4" w:name="_Toc1858"/>
      <w:bookmarkStart w:id="5" w:name="_Toc10936"/>
      <w:bookmarkStart w:id="6" w:name="_Toc14974"/>
      <w:bookmarkStart w:id="7" w:name="_Toc6493"/>
      <w:bookmarkStart w:id="8" w:name="_Toc219315588"/>
      <w:bookmarkStart w:id="9" w:name="_Toc9261"/>
      <w:bookmarkStart w:id="10" w:name="_Toc453080765"/>
      <w:bookmarkStart w:id="11" w:name="_Toc4141"/>
      <w:bookmarkStart w:id="12" w:name="_Toc10219"/>
      <w:r>
        <w:rPr>
          <w:rFonts w:ascii="Times New Roman" w:hAnsi="Times New Roman"/>
          <w:sz w:val="28"/>
          <w:szCs w:val="28"/>
        </w:rPr>
        <w:t>2. Computational method</w:t>
      </w:r>
      <w:bookmarkEnd w:id="2"/>
      <w:bookmarkEnd w:id="3"/>
      <w:bookmarkEnd w:id="4"/>
      <w:bookmarkEnd w:id="5"/>
      <w:bookmarkEnd w:id="6"/>
      <w:bookmarkEnd w:id="7"/>
      <w:bookmarkEnd w:id="8"/>
      <w:bookmarkEnd w:id="9"/>
      <w:bookmarkEnd w:id="10"/>
      <w:bookmarkEnd w:id="11"/>
      <w:bookmarkEnd w:id="12"/>
    </w:p>
    <w:p w14:paraId="74E76E13">
      <w:pPr>
        <w:pStyle w:val="15"/>
        <w:rPr>
          <w:lang w:val="en-GB"/>
        </w:rPr>
      </w:pPr>
      <w:r>
        <w:rPr>
          <w:color w:val="000000"/>
        </w:rPr>
        <w:t xml:space="preserve">DFT calculations on the </w:t>
      </w:r>
      <w:r>
        <w:t xml:space="preserve">B3LYP/6-311G+(d,p) level within IEFPCM for toluene have been performed to gain an improved understanding of the electronic characteristics of </w:t>
      </w:r>
      <w:r>
        <w:rPr>
          <w:color w:val="000000"/>
        </w:rPr>
        <w:t xml:space="preserve">dyes </w:t>
      </w:r>
      <w:r>
        <w:rPr>
          <w:b/>
          <w:bCs/>
          <w:color w:val="000000"/>
        </w:rPr>
        <w:t>K-CN</w:t>
      </w:r>
      <w:r>
        <w:rPr>
          <w:color w:val="000000"/>
        </w:rPr>
        <w:t xml:space="preserve">, </w:t>
      </w:r>
      <w:r>
        <w:rPr>
          <w:b/>
          <w:bCs/>
          <w:color w:val="000000"/>
        </w:rPr>
        <w:t>K-Br</w:t>
      </w:r>
      <w:r>
        <w:rPr>
          <w:b/>
          <w:bCs/>
          <w:color w:val="000000"/>
          <w:vertAlign w:val="subscript"/>
          <w:lang w:eastAsia="zh-CN"/>
        </w:rPr>
        <w:t>2</w:t>
      </w:r>
      <w:r>
        <w:rPr>
          <w:b/>
          <w:bCs/>
          <w:color w:val="000000"/>
          <w:lang w:eastAsia="zh-CN"/>
        </w:rPr>
        <w:t>，</w:t>
      </w:r>
      <w:r>
        <w:rPr>
          <w:b/>
          <w:bCs/>
          <w:color w:val="000000"/>
        </w:rPr>
        <w:t>K-Cl</w:t>
      </w:r>
      <w:r>
        <w:rPr>
          <w:color w:val="000000"/>
          <w:lang w:eastAsia="zh-CN"/>
        </w:rPr>
        <w:t xml:space="preserve"> </w:t>
      </w:r>
      <w:r>
        <w:rPr>
          <w:color w:val="000000"/>
        </w:rPr>
        <w:t xml:space="preserve">and </w:t>
      </w:r>
      <w:r>
        <w:rPr>
          <w:b/>
          <w:bCs/>
          <w:color w:val="000000"/>
        </w:rPr>
        <w:t>K-Br</w:t>
      </w:r>
      <w:r>
        <w:rPr>
          <w:b/>
          <w:bCs/>
          <w:color w:val="000000"/>
          <w:vertAlign w:val="subscript"/>
          <w:lang w:eastAsia="zh-CN"/>
        </w:rPr>
        <w:t xml:space="preserve"> </w:t>
      </w:r>
      <w:r>
        <w:rPr>
          <w:color w:val="000000"/>
        </w:rPr>
        <w:t>with the Gaussian 16 package</w:t>
      </w:r>
      <w:r>
        <w:rPr>
          <w:color w:val="000000"/>
          <w:vertAlign w:val="superscript"/>
        </w:rPr>
        <w:t>[S1]</w:t>
      </w:r>
      <w:r>
        <w:rPr>
          <w:color w:val="000000"/>
        </w:rPr>
        <w:t>.</w:t>
      </w:r>
      <w:r>
        <w:t xml:space="preserve"> Vertical electronic transitions were calculated by TD-DFT with the same functional and basis set.</w:t>
      </w:r>
      <w:r>
        <w:rPr>
          <w:lang w:eastAsia="zh-CN"/>
        </w:rPr>
        <w:t xml:space="preserve"> T</w:t>
      </w:r>
      <w:r>
        <w:t>he spin-orbit coupling (SOC) values associated with transitions between individual orbitals were determined independently with the ORCA program</w:t>
      </w:r>
      <w:r>
        <w:rPr>
          <w:vertAlign w:val="superscript"/>
        </w:rPr>
        <w:t>[</w:t>
      </w:r>
      <w:r>
        <w:rPr>
          <w:vertAlign w:val="superscript"/>
          <w:lang w:eastAsia="zh-CN"/>
        </w:rPr>
        <w:t>S2</w:t>
      </w:r>
      <w:r>
        <w:rPr>
          <w:vertAlign w:val="superscript"/>
        </w:rPr>
        <w:t>]</w:t>
      </w:r>
      <w:r>
        <w:t>.</w:t>
      </w:r>
    </w:p>
    <w:p w14:paraId="603596F1">
      <w:pPr>
        <w:pStyle w:val="3"/>
        <w:ind w:firstLine="0" w:firstLineChars="0"/>
        <w:rPr>
          <w:rFonts w:ascii="Times New Roman" w:hAnsi="Times New Roman"/>
          <w:sz w:val="28"/>
          <w:szCs w:val="28"/>
        </w:rPr>
      </w:pPr>
      <w:bookmarkStart w:id="13" w:name="_Toc31378"/>
      <w:bookmarkStart w:id="14" w:name="_Toc219315589"/>
      <w:bookmarkStart w:id="15" w:name="_Toc165965271"/>
      <w:r>
        <w:rPr>
          <w:rFonts w:ascii="Times New Roman" w:hAnsi="Times New Roman"/>
          <w:sz w:val="28"/>
          <w:szCs w:val="28"/>
        </w:rPr>
        <w:t xml:space="preserve">3. </w:t>
      </w:r>
      <w:bookmarkStart w:id="16" w:name="_Hlk217589182"/>
      <w:r>
        <w:rPr>
          <w:rFonts w:ascii="Times New Roman" w:hAnsi="Times New Roman"/>
          <w:sz w:val="28"/>
          <w:szCs w:val="28"/>
        </w:rPr>
        <w:t>Synthesis</w:t>
      </w:r>
      <w:bookmarkEnd w:id="13"/>
      <w:bookmarkEnd w:id="14"/>
      <w:bookmarkEnd w:id="15"/>
      <w:bookmarkEnd w:id="16"/>
      <w:r>
        <w:rPr>
          <w:rFonts w:ascii="Times New Roman" w:hAnsi="Times New Roman"/>
          <w:sz w:val="28"/>
          <w:szCs w:val="28"/>
        </w:rPr>
        <w:t xml:space="preserve"> </w:t>
      </w:r>
    </w:p>
    <w:p w14:paraId="161B229A">
      <w:pPr>
        <w:pStyle w:val="15"/>
        <w:rPr>
          <w:bCs/>
          <w:szCs w:val="24"/>
          <w:lang w:eastAsia="zh-CN"/>
        </w:rPr>
      </w:pPr>
      <w:r>
        <w:t>The synthesis procedure and characterization of</w:t>
      </w:r>
      <w:r>
        <w:rPr>
          <w:szCs w:val="24"/>
        </w:rPr>
        <w:t xml:space="preserve"> </w:t>
      </w:r>
      <w:r>
        <w:rPr>
          <w:b/>
          <w:bCs/>
          <w:szCs w:val="24"/>
          <w:lang w:bidi="ar"/>
        </w:rPr>
        <w:t>K-CN</w:t>
      </w:r>
      <w:r>
        <w:rPr>
          <w:szCs w:val="24"/>
          <w:lang w:bidi="ar"/>
        </w:rPr>
        <w:t xml:space="preserve">, </w:t>
      </w:r>
      <w:r>
        <w:rPr>
          <w:b/>
          <w:bCs/>
          <w:szCs w:val="24"/>
        </w:rPr>
        <w:t>K-Br</w:t>
      </w:r>
      <w:r>
        <w:rPr>
          <w:b/>
          <w:bCs/>
          <w:szCs w:val="24"/>
          <w:vertAlign w:val="subscript"/>
        </w:rPr>
        <w:t>2</w:t>
      </w:r>
      <w:r>
        <w:rPr>
          <w:szCs w:val="24"/>
        </w:rPr>
        <w:t>,</w:t>
      </w:r>
      <w:r>
        <w:rPr>
          <w:b/>
          <w:bCs/>
          <w:szCs w:val="24"/>
        </w:rPr>
        <w:t xml:space="preserve"> K-Cl</w:t>
      </w:r>
      <w:r>
        <w:rPr>
          <w:szCs w:val="24"/>
        </w:rPr>
        <w:t xml:space="preserve">, </w:t>
      </w:r>
      <w:r>
        <w:rPr>
          <w:b/>
          <w:bCs/>
          <w:szCs w:val="24"/>
        </w:rPr>
        <w:t>K-Br</w:t>
      </w:r>
      <w:r>
        <w:rPr>
          <w:bCs/>
          <w:szCs w:val="24"/>
          <w:lang w:bidi="ar"/>
        </w:rPr>
        <w:t>.</w:t>
      </w:r>
    </w:p>
    <w:p w14:paraId="346BDC02">
      <w:pPr>
        <w:pStyle w:val="15"/>
      </w:pPr>
      <w:r>
        <w:t>Under the action of the activator EDCI and the catalyst DMAP, the activated intermediate undergoes a condensation reaction with the N-H bond on the parent carbazole, yielding a series of products with different substituents (-CN, -Br</w:t>
      </w:r>
      <w:r>
        <w:rPr>
          <w:vertAlign w:val="subscript"/>
        </w:rPr>
        <w:t>2</w:t>
      </w:r>
      <w:r>
        <w:rPr>
          <w:lang w:eastAsia="zh-CN"/>
        </w:rPr>
        <w:t xml:space="preserve">, </w:t>
      </w:r>
      <w:r>
        <w:t>-Cl, -Br,) with a yield of 68.5-79%. The results indicate that the reaction conditions are mild, the yield is relatively high, and the methyl group on the pyrrole ring also increases the solubility of the products in this system, which is beneficial for the application of room temperature phosphorescent materials. At room temperature, N-methyl-2-pyrrolecarboxylic acid (1.5 mmol, 188 mg), 3-cyano carbazole (1 mmol, 325 mg), 1-ethyl-3-(3-dimethylaminopropyl)carbodiimide EDCI (3 mmol, 576 mg), and 4-dimethylaminopyridine DMAP (2 mmol, 448 mg) were added to a reaction flask in 10 mL of dichloromethane and reacted at 50°C for 12 hours, monitoring the reaction process by thin-layer chromatography. The reaction solution was extracted with dichloromethane and evaporated to obtain the crude product. Finally, the obtained crude product was subjected to column chromatography (silica gel, dichloromethane/petroleum ether (1:1, v/v)) to yield a white solid</w:t>
      </w:r>
      <w:r>
        <w:rPr>
          <w:b/>
          <w:bCs/>
        </w:rPr>
        <w:t xml:space="preserve"> K-CN</w:t>
      </w:r>
      <w:r>
        <w:t xml:space="preserve"> (yield 68.5%). Other products were synthesized by the same method. Using 3,6-dibromocarbazole, 3-chlorocarbazole, 3-bromocarbazol, the respective reaction products </w:t>
      </w:r>
      <w:r>
        <w:rPr>
          <w:b/>
          <w:bCs/>
        </w:rPr>
        <w:t>K-Br</w:t>
      </w:r>
      <w:r>
        <w:rPr>
          <w:b/>
          <w:bCs/>
          <w:vertAlign w:val="subscript"/>
        </w:rPr>
        <w:t>2</w:t>
      </w:r>
      <w:r>
        <w:t xml:space="preserve">, </w:t>
      </w:r>
      <w:r>
        <w:rPr>
          <w:b/>
          <w:bCs/>
        </w:rPr>
        <w:t>K-Cl</w:t>
      </w:r>
      <w:r>
        <w:t>, K-</w:t>
      </w:r>
      <w:r>
        <w:rPr>
          <w:b/>
          <w:bCs/>
        </w:rPr>
        <w:t>Br</w:t>
      </w:r>
      <w:r>
        <w:t>,</w:t>
      </w:r>
      <w:r>
        <w:rPr>
          <w:rFonts w:hint="eastAsia"/>
          <w:lang w:eastAsia="zh-CN"/>
        </w:rPr>
        <w:t xml:space="preserve"> </w:t>
      </w:r>
      <w:r>
        <w:t>were obtained.</w:t>
      </w:r>
    </w:p>
    <w:p w14:paraId="18D7B89B">
      <w:pPr>
        <w:pStyle w:val="15"/>
        <w:jc w:val="left"/>
        <w:rPr>
          <w:sz w:val="22"/>
          <w:szCs w:val="22"/>
        </w:rPr>
      </w:pPr>
      <w:bookmarkStart w:id="17" w:name="_Hlk212490485"/>
      <w:r>
        <w:object>
          <v:shape id="_x0000_i1025" o:spt="75" type="#_x0000_t75" style="height:85.3pt;width:414.55pt;" o:ole="t" filled="f" o:preferrelative="t" stroked="f" coordsize="21600,21600">
            <v:path/>
            <v:fill on="f" focussize="0,0"/>
            <v:stroke on="f" joinstyle="miter"/>
            <v:imagedata r:id="rId13" o:title=""/>
            <o:lock v:ext="edit" aspectratio="t"/>
            <w10:wrap type="none"/>
            <w10:anchorlock/>
          </v:shape>
          <o:OLEObject Type="Embed" ProgID="ChemDraw.Document.6.0" ShapeID="_x0000_i1025" DrawAspect="Content" ObjectID="_1468075725" r:id="rId12">
            <o:LockedField>false</o:LockedField>
          </o:OLEObject>
        </w:object>
      </w:r>
      <w:bookmarkEnd w:id="17"/>
      <w:bookmarkStart w:id="18" w:name="OLE_LINK6"/>
      <w:r>
        <w:rPr>
          <w:sz w:val="22"/>
          <w:szCs w:val="22"/>
          <w:lang w:bidi="ar"/>
        </w:rPr>
        <w:t xml:space="preserve">Scheme S1. </w:t>
      </w:r>
      <w:bookmarkStart w:id="19" w:name="_Hlk217583092"/>
      <w:r>
        <w:rPr>
          <w:sz w:val="22"/>
          <w:szCs w:val="22"/>
          <w:lang w:bidi="ar"/>
        </w:rPr>
        <w:t xml:space="preserve">Synthetic routes of the target compound </w:t>
      </w:r>
      <w:r>
        <w:rPr>
          <w:b/>
          <w:bCs/>
          <w:sz w:val="22"/>
          <w:szCs w:val="22"/>
          <w:lang w:bidi="ar"/>
        </w:rPr>
        <w:t>K-CN</w:t>
      </w:r>
      <w:r>
        <w:rPr>
          <w:sz w:val="22"/>
          <w:szCs w:val="22"/>
          <w:lang w:bidi="ar"/>
        </w:rPr>
        <w:t xml:space="preserve">, </w:t>
      </w:r>
      <w:r>
        <w:rPr>
          <w:b/>
          <w:bCs/>
          <w:sz w:val="22"/>
          <w:szCs w:val="22"/>
        </w:rPr>
        <w:t>K-Br</w:t>
      </w:r>
      <w:r>
        <w:rPr>
          <w:b/>
          <w:bCs/>
          <w:sz w:val="22"/>
          <w:szCs w:val="22"/>
          <w:vertAlign w:val="subscript"/>
        </w:rPr>
        <w:t>2</w:t>
      </w:r>
      <w:r>
        <w:rPr>
          <w:sz w:val="22"/>
          <w:szCs w:val="22"/>
        </w:rPr>
        <w:t xml:space="preserve">, </w:t>
      </w:r>
      <w:r>
        <w:rPr>
          <w:b/>
          <w:bCs/>
          <w:sz w:val="22"/>
          <w:szCs w:val="22"/>
        </w:rPr>
        <w:t>K-Cl</w:t>
      </w:r>
      <w:r>
        <w:rPr>
          <w:sz w:val="22"/>
          <w:szCs w:val="22"/>
        </w:rPr>
        <w:t xml:space="preserve">, </w:t>
      </w:r>
      <w:r>
        <w:rPr>
          <w:b/>
          <w:bCs/>
          <w:sz w:val="22"/>
          <w:szCs w:val="22"/>
        </w:rPr>
        <w:t>K-Br</w:t>
      </w:r>
      <w:r>
        <w:rPr>
          <w:sz w:val="22"/>
          <w:szCs w:val="22"/>
          <w:lang w:bidi="ar"/>
        </w:rPr>
        <w:t>.</w:t>
      </w:r>
    </w:p>
    <w:bookmarkEnd w:id="18"/>
    <w:bookmarkEnd w:id="19"/>
    <w:p w14:paraId="7AD13297">
      <w:pPr>
        <w:pStyle w:val="15"/>
        <w:rPr>
          <w:lang w:eastAsia="zh-CN"/>
        </w:rPr>
      </w:pPr>
      <w:r>
        <w:rPr>
          <w:b/>
          <w:bCs/>
        </w:rPr>
        <w:t>K-CN</w:t>
      </w:r>
      <w:r>
        <w:t>:</w:t>
      </w:r>
      <w:r>
        <w:rPr>
          <w:rFonts w:eastAsia="思源黑体 CN Bold"/>
          <w:b/>
          <w:kern w:val="2"/>
          <w:sz w:val="23"/>
          <w:szCs w:val="23"/>
          <w:shd w:val="clear" w:color="auto" w:fill="FCFCFC"/>
          <w:lang w:eastAsia="zh-CN"/>
          <w14:ligatures w14:val="standardContextual"/>
        </w:rPr>
        <w:t xml:space="preserve"> </w:t>
      </w:r>
      <w:r>
        <w:t xml:space="preserve">Yield: 68.5%; white solid. </w:t>
      </w:r>
      <w:r>
        <w:rPr>
          <w:vertAlign w:val="superscript"/>
        </w:rPr>
        <w:t>1</w:t>
      </w:r>
      <w:r>
        <w:t xml:space="preserve">HNMR(400MHz,Chloroform-d)δ8.32(dd, </w:t>
      </w:r>
      <w:r>
        <w:rPr>
          <w:i/>
          <w:iCs/>
        </w:rPr>
        <w:t>J</w:t>
      </w:r>
      <w:r>
        <w:t xml:space="preserve"> = 1.7, 0.7 Hz, 1H), 8.04 (m, 1H), 7.83 (dd,</w:t>
      </w:r>
      <w:r>
        <w:rPr>
          <w:i/>
          <w:iCs/>
        </w:rPr>
        <w:t xml:space="preserve"> J</w:t>
      </w:r>
      <w:r>
        <w:t xml:space="preserve"> = 8.7, 0.7 Hz, 1H), 7.72 (dt, </w:t>
      </w:r>
      <w:r>
        <w:rPr>
          <w:i/>
          <w:iCs/>
        </w:rPr>
        <w:t>J</w:t>
      </w:r>
      <w:r>
        <w:t xml:space="preserve"> = 8.3, 0.9 Hz, 1H), 7.61 (dd, </w:t>
      </w:r>
      <w:r>
        <w:rPr>
          <w:i/>
          <w:iCs/>
        </w:rPr>
        <w:t>J</w:t>
      </w:r>
      <w:r>
        <w:t xml:space="preserve"> = 8.6, 1.6 Hz, 1H), 7.45 (ddd, </w:t>
      </w:r>
      <w:r>
        <w:rPr>
          <w:i/>
          <w:iCs/>
        </w:rPr>
        <w:t>J</w:t>
      </w:r>
      <w:r>
        <w:t xml:space="preserve"> = 8.4, 7.2, 1.4 Hz, 1H), 7.39 (td, </w:t>
      </w:r>
      <w:r>
        <w:rPr>
          <w:i/>
          <w:iCs/>
        </w:rPr>
        <w:t>J</w:t>
      </w:r>
      <w:r>
        <w:t xml:space="preserve"> = 7.5, 1.1 Hz, 1H), 7.04 (t,</w:t>
      </w:r>
      <w:r>
        <w:rPr>
          <w:i/>
          <w:iCs/>
        </w:rPr>
        <w:t xml:space="preserve"> J </w:t>
      </w:r>
      <w:r>
        <w:t xml:space="preserve">= 2.1 Hz, 1H), 6.68 (dd, </w:t>
      </w:r>
      <w:r>
        <w:rPr>
          <w:i/>
          <w:iCs/>
        </w:rPr>
        <w:t>J</w:t>
      </w:r>
      <w:r>
        <w:t xml:space="preserve"> = 4.1, 1.7 Hz, 1H), 6.19 (dd,</w:t>
      </w:r>
      <w:r>
        <w:rPr>
          <w:i/>
          <w:iCs/>
        </w:rPr>
        <w:t xml:space="preserve"> J</w:t>
      </w:r>
      <w:r>
        <w:t xml:space="preserve"> = 4.1, 2.5 Hz, 1H), 4.05 (s, 3H).</w:t>
      </w:r>
      <w:r>
        <w:rPr>
          <w:vertAlign w:val="superscript"/>
        </w:rPr>
        <w:t>13</w:t>
      </w:r>
      <w:r>
        <w:t>C NMR (101 MHz, Chloroform-d) δ 160.4, 141.6, 140.3, 132.2, 129.6, 127.8, 125.6, 125.5, 124.7, 123.8, 123.3, 121.7, 120.4, 119.8, 115.4, 114.9, 109.2, 105.6, 36.8. HRMS(ESI) Calcd for C</w:t>
      </w:r>
      <w:r>
        <w:rPr>
          <w:vertAlign w:val="subscript"/>
        </w:rPr>
        <w:t>19</w:t>
      </w:r>
      <w:r>
        <w:t>H</w:t>
      </w:r>
      <w:r>
        <w:rPr>
          <w:vertAlign w:val="subscript"/>
        </w:rPr>
        <w:t>13</w:t>
      </w:r>
      <w:r>
        <w:t>N</w:t>
      </w:r>
      <w:r>
        <w:rPr>
          <w:vertAlign w:val="subscript"/>
        </w:rPr>
        <w:t>3</w:t>
      </w:r>
      <w:r>
        <w:t>O [M+Na]</w:t>
      </w:r>
      <w:r>
        <w:rPr>
          <w:vertAlign w:val="superscript"/>
        </w:rPr>
        <w:t>+</w:t>
      </w:r>
      <w:r>
        <w:t>:322.0956, found 322.0957</w:t>
      </w:r>
      <w:r>
        <w:rPr>
          <w:lang w:eastAsia="zh-CN"/>
        </w:rPr>
        <w:t>.</w:t>
      </w:r>
    </w:p>
    <w:p w14:paraId="468EC97C">
      <w:pPr>
        <w:pStyle w:val="15"/>
        <w:rPr>
          <w:lang w:eastAsia="zh-CN"/>
        </w:rPr>
      </w:pPr>
      <w:r>
        <w:rPr>
          <w:b/>
          <w:bCs/>
        </w:rPr>
        <w:t>K-Br</w:t>
      </w:r>
      <w:r>
        <w:rPr>
          <w:b/>
          <w:bCs/>
          <w:vertAlign w:val="subscript"/>
        </w:rPr>
        <w:t>2</w:t>
      </w:r>
      <w:r>
        <w:t xml:space="preserve">: Yield: </w:t>
      </w:r>
      <w:r>
        <w:rPr>
          <w:lang w:eastAsia="zh-CN"/>
        </w:rPr>
        <w:t>72</w:t>
      </w:r>
      <w:r>
        <w:t>.5%; white solid.</w:t>
      </w:r>
      <w:r>
        <w:rPr>
          <w:rFonts w:hint="eastAsia"/>
          <w:lang w:eastAsia="zh-CN"/>
        </w:rPr>
        <w:t xml:space="preserve"> </w:t>
      </w:r>
      <w:r>
        <w:rPr>
          <w:vertAlign w:val="superscript"/>
        </w:rPr>
        <w:t>1</w:t>
      </w:r>
      <w:r>
        <w:t xml:space="preserve">HNMR(400MHz,Chloroform-d) δ 7.90 (d, </w:t>
      </w:r>
      <w:r>
        <w:rPr>
          <w:i/>
          <w:iCs/>
        </w:rPr>
        <w:t>J</w:t>
      </w:r>
      <w:r>
        <w:t xml:space="preserve"> = 1.7 Hz, 2H), 7.82 (d, </w:t>
      </w:r>
      <w:r>
        <w:rPr>
          <w:i/>
          <w:iCs/>
        </w:rPr>
        <w:t>J</w:t>
      </w:r>
      <w:r>
        <w:t xml:space="preserve"> = 8.3 Hz, 2H), 7.44 (dd, </w:t>
      </w:r>
      <w:r>
        <w:rPr>
          <w:i/>
          <w:iCs/>
        </w:rPr>
        <w:t>J</w:t>
      </w:r>
      <w:r>
        <w:t xml:space="preserve"> = 8.3, 1.7 Hz, 2H), 7.03 (t, </w:t>
      </w:r>
      <w:r>
        <w:rPr>
          <w:i/>
          <w:iCs/>
        </w:rPr>
        <w:t>J</w:t>
      </w:r>
      <w:r>
        <w:t xml:space="preserve"> = 2.1 Hz, 1H), 6.70 (dd,</w:t>
      </w:r>
      <w:r>
        <w:rPr>
          <w:i/>
          <w:iCs/>
        </w:rPr>
        <w:t xml:space="preserve"> J</w:t>
      </w:r>
      <w:r>
        <w:t xml:space="preserve"> = 4.2, 1.7 Hz, 1H), 6.21 (dd, </w:t>
      </w:r>
      <w:r>
        <w:rPr>
          <w:i/>
          <w:iCs/>
        </w:rPr>
        <w:t>J</w:t>
      </w:r>
      <w:r>
        <w:t xml:space="preserve"> = 4.2, 2.5 Hz, 1H), 4.04 (s, 3H).</w:t>
      </w:r>
      <w:r>
        <w:rPr>
          <w:vertAlign w:val="superscript"/>
        </w:rPr>
        <w:t>13</w:t>
      </w:r>
      <w:r>
        <w:t>C NMR (101 MHz, Chloroform-d) δ 160.3, 140.4, 132.1, 126.2, 125.2, 123.6, 121.5, 121.0, 120.4, 118.0, 109.2, 36.8.</w:t>
      </w:r>
      <w:r>
        <w:rPr>
          <w:rFonts w:hint="eastAsia"/>
          <w:lang w:eastAsia="zh-CN"/>
        </w:rPr>
        <w:t xml:space="preserve"> </w:t>
      </w:r>
      <w:r>
        <w:t>HRMS(ESI) Calcd for C</w:t>
      </w:r>
      <w:r>
        <w:rPr>
          <w:vertAlign w:val="subscript"/>
        </w:rPr>
        <w:t>18</w:t>
      </w:r>
      <w:r>
        <w:t>H</w:t>
      </w:r>
      <w:r>
        <w:rPr>
          <w:vertAlign w:val="subscript"/>
        </w:rPr>
        <w:t>12</w:t>
      </w:r>
      <w:r>
        <w:t>Br</w:t>
      </w:r>
      <w:r>
        <w:rPr>
          <w:vertAlign w:val="subscript"/>
        </w:rPr>
        <w:t>2</w:t>
      </w:r>
      <w:r>
        <w:t>N</w:t>
      </w:r>
      <w:r>
        <w:rPr>
          <w:vertAlign w:val="subscript"/>
        </w:rPr>
        <w:t>2</w:t>
      </w:r>
      <w:r>
        <w:t>O [M+Na]</w:t>
      </w:r>
      <w:r>
        <w:rPr>
          <w:vertAlign w:val="superscript"/>
        </w:rPr>
        <w:t>+</w:t>
      </w:r>
      <w:r>
        <w:t>:452.9214, found 452.9213</w:t>
      </w:r>
      <w:r>
        <w:rPr>
          <w:lang w:eastAsia="zh-CN"/>
        </w:rPr>
        <w:t>.</w:t>
      </w:r>
    </w:p>
    <w:p w14:paraId="6ED472FC">
      <w:pPr>
        <w:pStyle w:val="15"/>
        <w:rPr>
          <w:lang w:eastAsia="zh-CN"/>
        </w:rPr>
      </w:pPr>
      <w:r>
        <w:rPr>
          <w:b/>
          <w:bCs/>
        </w:rPr>
        <w:t>K-Cl</w:t>
      </w:r>
      <w:r>
        <w:t xml:space="preserve">: Yield: </w:t>
      </w:r>
      <w:r>
        <w:rPr>
          <w:lang w:eastAsia="zh-CN"/>
        </w:rPr>
        <w:t>71.3</w:t>
      </w:r>
      <w:r>
        <w:t xml:space="preserve">%; white solid. </w:t>
      </w:r>
      <w:r>
        <w:rPr>
          <w:vertAlign w:val="superscript"/>
        </w:rPr>
        <w:t>1</w:t>
      </w:r>
      <w:r>
        <w:t>HNMR(400MHz,Chloroform-d) δ 7.97 (m, 2H), 7.71 (m, 2H), 7.39 (ddd,</w:t>
      </w:r>
      <w:r>
        <w:rPr>
          <w:i/>
          <w:iCs/>
        </w:rPr>
        <w:t xml:space="preserve"> J</w:t>
      </w:r>
      <w:r>
        <w:t xml:space="preserve"> = 8.3, 7.2, 1.5 Hz, 1H), 7.35 (m, 1H), 7.32 (m, 1H), 6.98 (t, J = 2.1 Hz, 1H), 6.69 (dd, </w:t>
      </w:r>
      <w:r>
        <w:rPr>
          <w:i/>
          <w:iCs/>
        </w:rPr>
        <w:t xml:space="preserve">J </w:t>
      </w:r>
      <w:r>
        <w:t xml:space="preserve">= 4.1, 1.7 Hz, 1H), 6.19 (dd, </w:t>
      </w:r>
      <w:r>
        <w:rPr>
          <w:i/>
          <w:iCs/>
        </w:rPr>
        <w:t xml:space="preserve">J </w:t>
      </w:r>
      <w:r>
        <w:t>= 4.1, 2.5 Hz, 1H), 3.99 (s, 3H).</w:t>
      </w:r>
      <w:r>
        <w:rPr>
          <w:vertAlign w:val="superscript"/>
        </w:rPr>
        <w:t>13</w:t>
      </w:r>
      <w:r>
        <w:t>C NMR (101 MHz, Chloroform-d) δ 160.9, 140.1, 138.0, 131.1, 128.3, 127.2, 126.9, 126.5, 126.0, 124.5, 123.0, 120.8, 120.1, 119.7, 116.1, 115.1, 108.9, 36.6.HRMS(ESI) Calcd for C</w:t>
      </w:r>
      <w:r>
        <w:rPr>
          <w:vertAlign w:val="subscript"/>
        </w:rPr>
        <w:t>18</w:t>
      </w:r>
      <w:r>
        <w:t>H</w:t>
      </w:r>
      <w:r>
        <w:rPr>
          <w:vertAlign w:val="subscript"/>
        </w:rPr>
        <w:t>13</w:t>
      </w:r>
      <w:r>
        <w:t>ClN</w:t>
      </w:r>
      <w:r>
        <w:rPr>
          <w:vertAlign w:val="subscript"/>
        </w:rPr>
        <w:t>2</w:t>
      </w:r>
      <w:r>
        <w:t>O [M+Na]</w:t>
      </w:r>
      <w:r>
        <w:rPr>
          <w:vertAlign w:val="superscript"/>
        </w:rPr>
        <w:t>+</w:t>
      </w:r>
      <w:r>
        <w:t>:331.0614, found 331.0617</w:t>
      </w:r>
      <w:r>
        <w:rPr>
          <w:lang w:eastAsia="zh-CN"/>
        </w:rPr>
        <w:t>.</w:t>
      </w:r>
    </w:p>
    <w:p w14:paraId="36EAE861">
      <w:pPr>
        <w:pStyle w:val="15"/>
        <w:rPr>
          <w:lang w:eastAsia="zh-CN"/>
        </w:rPr>
      </w:pPr>
      <w:r>
        <w:rPr>
          <w:b/>
          <w:bCs/>
        </w:rPr>
        <w:t>K-Br</w:t>
      </w:r>
      <w:r>
        <w:t xml:space="preserve">: Yield: </w:t>
      </w:r>
      <w:r>
        <w:rPr>
          <w:lang w:eastAsia="zh-CN"/>
        </w:rPr>
        <w:t>79</w:t>
      </w:r>
      <w:r>
        <w:t xml:space="preserve">%; white solid. </w:t>
      </w:r>
      <w:r>
        <w:rPr>
          <w:vertAlign w:val="superscript"/>
        </w:rPr>
        <w:t>1</w:t>
      </w:r>
      <w:r>
        <w:t xml:space="preserve">HNMR(400MHz,Chloroform-d)δ8.13 (d, </w:t>
      </w:r>
      <w:r>
        <w:rPr>
          <w:i/>
          <w:iCs/>
        </w:rPr>
        <w:t>J</w:t>
      </w:r>
      <w:r>
        <w:t xml:space="preserve"> = 2.0 Hz, 1H), 7.97 (dd, </w:t>
      </w:r>
      <w:r>
        <w:rPr>
          <w:i/>
          <w:iCs/>
        </w:rPr>
        <w:t>J</w:t>
      </w:r>
      <w:r>
        <w:t xml:space="preserve"> = 7.4, 1.4 Hz, 1H), 7.72 (m, 1H), 7.64 (d,</w:t>
      </w:r>
      <w:r>
        <w:rPr>
          <w:i/>
          <w:iCs/>
        </w:rPr>
        <w:t xml:space="preserve"> J</w:t>
      </w:r>
      <w:r>
        <w:t xml:space="preserve"> = 8.8 Hz, 1H), 7.45 (dd, </w:t>
      </w:r>
      <w:r>
        <w:rPr>
          <w:i/>
          <w:iCs/>
        </w:rPr>
        <w:t>J</w:t>
      </w:r>
      <w:r>
        <w:t xml:space="preserve"> = 8.8, 2.0 Hz, 1H), 7.39 (ddd,</w:t>
      </w:r>
      <w:r>
        <w:rPr>
          <w:i/>
          <w:iCs/>
        </w:rPr>
        <w:t xml:space="preserve"> J</w:t>
      </w:r>
      <w:r>
        <w:t xml:space="preserve"> = 8.4, 7.3, 1.5 Hz, 1H), 7.34 (td,</w:t>
      </w:r>
      <w:r>
        <w:rPr>
          <w:i/>
          <w:iCs/>
        </w:rPr>
        <w:t xml:space="preserve"> J </w:t>
      </w:r>
      <w:r>
        <w:t xml:space="preserve">= 7.4, 1.2 Hz, 1H), 6.98 (t, </w:t>
      </w:r>
      <w:r>
        <w:rPr>
          <w:i/>
          <w:iCs/>
        </w:rPr>
        <w:t>J</w:t>
      </w:r>
      <w:r>
        <w:t xml:space="preserve"> = 2.1 Hz, 1H), 6.69 (dd, </w:t>
      </w:r>
      <w:r>
        <w:rPr>
          <w:i/>
          <w:iCs/>
        </w:rPr>
        <w:t>J</w:t>
      </w:r>
      <w:r>
        <w:t xml:space="preserve"> = 4.1, 1.7 Hz, 1H), 6.18 (dd, </w:t>
      </w:r>
      <w:r>
        <w:rPr>
          <w:i/>
          <w:iCs/>
        </w:rPr>
        <w:t>J</w:t>
      </w:r>
      <w:r>
        <w:t xml:space="preserve"> = 4.1, 2.5 Hz, 1H), 3.99 (s, 3H).</w:t>
      </w:r>
      <w:r>
        <w:rPr>
          <w:vertAlign w:val="superscript"/>
        </w:rPr>
        <w:t>13</w:t>
      </w:r>
      <w:r>
        <w:t>C NMR (101 MHz, Chloroform-d) δ 160.9, 140.0, 138.4, 131.1, 129.2, 127.4, 127.2, 125.9, 124.3，123.0, 122.8, 120.8, 120.1, 116.5, 115.8, 115.0, 108.9, 36.6.HRMS(ESI) Calcd for C</w:t>
      </w:r>
      <w:r>
        <w:rPr>
          <w:vertAlign w:val="subscript"/>
        </w:rPr>
        <w:t>18</w:t>
      </w:r>
      <w:r>
        <w:t>H</w:t>
      </w:r>
      <w:r>
        <w:rPr>
          <w:vertAlign w:val="subscript"/>
        </w:rPr>
        <w:t>13</w:t>
      </w:r>
      <w:r>
        <w:t>BrN</w:t>
      </w:r>
      <w:r>
        <w:rPr>
          <w:vertAlign w:val="subscript"/>
        </w:rPr>
        <w:t>2</w:t>
      </w:r>
      <w:r>
        <w:t>O [M+Na]</w:t>
      </w:r>
      <w:r>
        <w:rPr>
          <w:vertAlign w:val="superscript"/>
        </w:rPr>
        <w:t>+</w:t>
      </w:r>
      <w:r>
        <w:t>:375.0109, found 375.0117</w:t>
      </w:r>
      <w:r>
        <w:rPr>
          <w:lang w:eastAsia="zh-CN"/>
        </w:rPr>
        <w:t>.</w:t>
      </w:r>
    </w:p>
    <w:p w14:paraId="612D0A05">
      <w:pPr>
        <w:pStyle w:val="3"/>
        <w:ind w:firstLine="0" w:firstLineChars="0"/>
        <w:rPr>
          <w:rFonts w:ascii="Times New Roman" w:hAnsi="Times New Roman"/>
          <w:color w:val="000000"/>
          <w:sz w:val="28"/>
          <w:szCs w:val="28"/>
        </w:rPr>
      </w:pPr>
      <w:bookmarkStart w:id="20" w:name="_Toc219315590"/>
      <w:r>
        <w:rPr>
          <w:rFonts w:ascii="Times New Roman" w:hAnsi="Times New Roman"/>
          <w:sz w:val="28"/>
          <w:szCs w:val="28"/>
        </w:rPr>
        <w:t xml:space="preserve">4. NMR and HRMS spectra of </w:t>
      </w:r>
      <w:r>
        <w:rPr>
          <w:rFonts w:ascii="Times New Roman" w:hAnsi="Times New Roman"/>
          <w:b/>
          <w:bCs w:val="0"/>
          <w:sz w:val="28"/>
          <w:szCs w:val="28"/>
          <w:lang w:bidi="ar"/>
        </w:rPr>
        <w:t>K-CN</w:t>
      </w:r>
      <w:r>
        <w:rPr>
          <w:rFonts w:ascii="Times New Roman" w:hAnsi="Times New Roman"/>
          <w:sz w:val="28"/>
          <w:szCs w:val="28"/>
          <w:lang w:bidi="ar"/>
        </w:rPr>
        <w:t xml:space="preserve">, </w:t>
      </w:r>
      <w:r>
        <w:rPr>
          <w:rFonts w:ascii="Times New Roman" w:hAnsi="Times New Roman"/>
          <w:b/>
          <w:bCs w:val="0"/>
          <w:sz w:val="28"/>
          <w:szCs w:val="28"/>
        </w:rPr>
        <w:t>K-Br</w:t>
      </w:r>
      <w:r>
        <w:rPr>
          <w:rFonts w:ascii="Times New Roman" w:hAnsi="Times New Roman"/>
          <w:b/>
          <w:bCs w:val="0"/>
          <w:sz w:val="28"/>
          <w:szCs w:val="28"/>
          <w:vertAlign w:val="subscript"/>
        </w:rPr>
        <w:t>2</w:t>
      </w:r>
      <w:r>
        <w:rPr>
          <w:rFonts w:ascii="Times New Roman" w:hAnsi="Times New Roman"/>
          <w:sz w:val="28"/>
          <w:szCs w:val="28"/>
        </w:rPr>
        <w:t xml:space="preserve">, </w:t>
      </w:r>
      <w:r>
        <w:rPr>
          <w:rFonts w:ascii="Times New Roman" w:hAnsi="Times New Roman"/>
          <w:b/>
          <w:bCs w:val="0"/>
          <w:sz w:val="28"/>
          <w:szCs w:val="28"/>
        </w:rPr>
        <w:t>K-Cl</w:t>
      </w:r>
      <w:r>
        <w:rPr>
          <w:rFonts w:ascii="Times New Roman" w:hAnsi="Times New Roman"/>
          <w:sz w:val="28"/>
          <w:szCs w:val="28"/>
        </w:rPr>
        <w:t xml:space="preserve">, </w:t>
      </w:r>
      <w:r>
        <w:rPr>
          <w:rFonts w:ascii="Times New Roman" w:hAnsi="Times New Roman"/>
          <w:b/>
          <w:bCs w:val="0"/>
          <w:sz w:val="28"/>
          <w:szCs w:val="28"/>
        </w:rPr>
        <w:t>K-Br</w:t>
      </w:r>
      <w:bookmarkEnd w:id="20"/>
    </w:p>
    <w:p w14:paraId="09D4297A">
      <w:pPr>
        <w:ind w:firstLine="0" w:firstLineChars="0"/>
        <w:rPr>
          <w:rFonts w:cs="Times New Roman"/>
          <w:b w:val="0"/>
          <w:bCs/>
        </w:rPr>
      </w:pPr>
      <w:r>
        <w:rPr>
          <w:rFonts w:cs="Times New Roman"/>
          <w:b w:val="0"/>
          <w:bCs/>
        </w:rPr>
        <w:drawing>
          <wp:inline distT="0" distB="0" distL="0" distR="0">
            <wp:extent cx="5401310" cy="3535680"/>
            <wp:effectExtent l="0" t="0" r="8890" b="7620"/>
            <wp:docPr id="260501801"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501801" name="图形 1"/>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5402110" cy="3536151"/>
                    </a:xfrm>
                    <a:prstGeom prst="rect">
                      <a:avLst/>
                    </a:prstGeom>
                  </pic:spPr>
                </pic:pic>
              </a:graphicData>
            </a:graphic>
          </wp:inline>
        </w:drawing>
      </w:r>
    </w:p>
    <w:p w14:paraId="5736B930">
      <w:pPr>
        <w:ind w:firstLine="0" w:firstLineChars="0"/>
        <w:jc w:val="left"/>
        <w:rPr>
          <w:rFonts w:cs="Times New Roman"/>
          <w:b w:val="0"/>
          <w:color w:val="000000"/>
          <w:sz w:val="24"/>
          <w:szCs w:val="24"/>
        </w:rPr>
      </w:pPr>
      <w:bookmarkStart w:id="21" w:name="OLE_LINK2"/>
      <w:r>
        <w:rPr>
          <w:rFonts w:cs="Times New Roman"/>
          <w:b w:val="0"/>
          <w:color w:val="000000"/>
          <w:sz w:val="24"/>
          <w:szCs w:val="24"/>
        </w:rPr>
        <w:t xml:space="preserve">Figure S1. </w:t>
      </w:r>
      <w:r>
        <w:rPr>
          <w:rFonts w:cs="Times New Roman"/>
          <w:b w:val="0"/>
          <w:color w:val="000000"/>
          <w:sz w:val="24"/>
          <w:szCs w:val="24"/>
          <w:vertAlign w:val="superscript"/>
        </w:rPr>
        <w:t>1</w:t>
      </w:r>
      <w:r>
        <w:rPr>
          <w:rFonts w:cs="Times New Roman"/>
          <w:b w:val="0"/>
          <w:color w:val="000000"/>
          <w:sz w:val="24"/>
          <w:szCs w:val="24"/>
        </w:rPr>
        <w:t xml:space="preserve">H NMR spectra of </w:t>
      </w:r>
      <w:r>
        <w:rPr>
          <w:rFonts w:cs="Times New Roman"/>
          <w:bCs/>
          <w:color w:val="000000"/>
          <w:sz w:val="24"/>
          <w:szCs w:val="24"/>
        </w:rPr>
        <w:t xml:space="preserve">K-Cl </w:t>
      </w:r>
      <w:r>
        <w:rPr>
          <w:rFonts w:cs="Times New Roman"/>
          <w:b w:val="0"/>
          <w:color w:val="000000"/>
          <w:sz w:val="24"/>
          <w:szCs w:val="24"/>
        </w:rPr>
        <w:t xml:space="preserve">in </w:t>
      </w:r>
      <w:r>
        <w:rPr>
          <w:rFonts w:cs="Times New Roman"/>
          <w:b w:val="0"/>
          <w:color w:val="000000" w:themeColor="text1"/>
          <w:sz w:val="24"/>
          <w:szCs w:val="24"/>
          <w14:textFill>
            <w14:solidFill>
              <w14:schemeClr w14:val="tx1"/>
            </w14:solidFill>
          </w14:textFill>
        </w:rPr>
        <w:t>Chloroform-</w:t>
      </w:r>
      <w:r>
        <w:rPr>
          <w:rFonts w:cs="Times New Roman"/>
          <w:b w:val="0"/>
          <w:i/>
          <w:iCs/>
          <w:color w:val="000000" w:themeColor="text1"/>
          <w:sz w:val="24"/>
          <w:szCs w:val="24"/>
          <w14:textFill>
            <w14:solidFill>
              <w14:schemeClr w14:val="tx1"/>
            </w14:solidFill>
          </w14:textFill>
        </w:rPr>
        <w:t>d</w:t>
      </w:r>
      <w:r>
        <w:rPr>
          <w:rFonts w:cs="Times New Roman"/>
          <w:b w:val="0"/>
          <w:i/>
          <w:iCs/>
          <w:color w:val="000000" w:themeColor="text1"/>
          <w:sz w:val="24"/>
          <w:szCs w:val="24"/>
          <w:vertAlign w:val="subscript"/>
          <w14:textFill>
            <w14:solidFill>
              <w14:schemeClr w14:val="tx1"/>
            </w14:solidFill>
          </w14:textFill>
        </w:rPr>
        <w:t xml:space="preserve"> </w:t>
      </w:r>
      <w:r>
        <w:rPr>
          <w:rFonts w:cs="Times New Roman"/>
          <w:b w:val="0"/>
          <w:color w:val="000000"/>
          <w:sz w:val="24"/>
          <w:szCs w:val="24"/>
        </w:rPr>
        <w:t xml:space="preserve">(red star denotes the solvent residual peak of </w:t>
      </w:r>
      <w:r>
        <w:rPr>
          <w:rFonts w:cs="Times New Roman"/>
          <w:b w:val="0"/>
          <w:color w:val="000000" w:themeColor="text1"/>
          <w:sz w:val="24"/>
          <w:szCs w:val="24"/>
          <w14:textFill>
            <w14:solidFill>
              <w14:schemeClr w14:val="tx1"/>
            </w14:solidFill>
          </w14:textFill>
        </w:rPr>
        <w:t>Chloroform-</w:t>
      </w:r>
      <w:r>
        <w:rPr>
          <w:rFonts w:cs="Times New Roman"/>
          <w:b w:val="0"/>
          <w:i/>
          <w:iCs/>
          <w:color w:val="000000" w:themeColor="text1"/>
          <w:sz w:val="24"/>
          <w:szCs w:val="24"/>
          <w14:textFill>
            <w14:solidFill>
              <w14:schemeClr w14:val="tx1"/>
            </w14:solidFill>
          </w14:textFill>
        </w:rPr>
        <w:t>d</w:t>
      </w:r>
      <w:r>
        <w:rPr>
          <w:rFonts w:cs="Times New Roman"/>
          <w:b w:val="0"/>
          <w:color w:val="000000"/>
          <w:sz w:val="24"/>
          <w:szCs w:val="24"/>
        </w:rPr>
        <w:t xml:space="preserve">) </w:t>
      </w:r>
      <w:bookmarkEnd w:id="21"/>
    </w:p>
    <w:p w14:paraId="7F9EC2BE">
      <w:pPr>
        <w:ind w:firstLine="0" w:firstLineChars="0"/>
        <w:rPr>
          <w:rFonts w:cs="Times New Roman"/>
          <w:b w:val="0"/>
          <w:bCs/>
        </w:rPr>
      </w:pPr>
      <w:r>
        <w:rPr>
          <w:rFonts w:cs="Times New Roman"/>
          <w:b w:val="0"/>
          <w:bCs/>
        </w:rPr>
        <w:drawing>
          <wp:inline distT="0" distB="0" distL="0" distR="0">
            <wp:extent cx="5630545" cy="3703320"/>
            <wp:effectExtent l="0" t="0" r="8255" b="0"/>
            <wp:docPr id="1232833202"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33202" name="图形 1"/>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5631510" cy="3703942"/>
                    </a:xfrm>
                    <a:prstGeom prst="rect">
                      <a:avLst/>
                    </a:prstGeom>
                  </pic:spPr>
                </pic:pic>
              </a:graphicData>
            </a:graphic>
          </wp:inline>
        </w:drawing>
      </w:r>
    </w:p>
    <w:p w14:paraId="30326CB9">
      <w:pPr>
        <w:ind w:firstLine="0" w:firstLineChars="0"/>
        <w:rPr>
          <w:rFonts w:cs="Times New Roman"/>
          <w:b w:val="0"/>
          <w:bCs/>
          <w:sz w:val="24"/>
          <w:szCs w:val="24"/>
        </w:rPr>
      </w:pPr>
      <w:r>
        <w:rPr>
          <w:rFonts w:cs="Times New Roman"/>
          <w:b w:val="0"/>
          <w:bCs/>
          <w:color w:val="000000"/>
          <w:sz w:val="24"/>
          <w:szCs w:val="24"/>
        </w:rPr>
        <w:t xml:space="preserve">Figure S2. </w:t>
      </w:r>
      <w:r>
        <w:rPr>
          <w:rFonts w:cs="Times New Roman"/>
          <w:b w:val="0"/>
          <w:bCs/>
          <w:color w:val="000000"/>
          <w:sz w:val="24"/>
          <w:szCs w:val="24"/>
          <w:vertAlign w:val="superscript"/>
        </w:rPr>
        <w:t>13</w:t>
      </w:r>
      <w:r>
        <w:rPr>
          <w:rFonts w:cs="Times New Roman"/>
          <w:b w:val="0"/>
          <w:bCs/>
          <w:color w:val="000000"/>
          <w:sz w:val="24"/>
          <w:szCs w:val="24"/>
        </w:rPr>
        <w:t>C NMR spectra of</w:t>
      </w:r>
      <w:r>
        <w:rPr>
          <w:rFonts w:cs="Times New Roman"/>
          <w:color w:val="000000"/>
          <w:sz w:val="24"/>
          <w:szCs w:val="24"/>
        </w:rPr>
        <w:t xml:space="preserve"> K-Cl </w:t>
      </w:r>
      <w:r>
        <w:rPr>
          <w:rFonts w:cs="Times New Roman"/>
          <w:b w:val="0"/>
          <w:bCs/>
          <w:color w:val="000000"/>
          <w:sz w:val="24"/>
          <w:szCs w:val="24"/>
        </w:rPr>
        <w:t xml:space="preserve">in </w:t>
      </w:r>
      <w:r>
        <w:rPr>
          <w:rFonts w:cs="Times New Roman"/>
          <w:b w:val="0"/>
          <w:bCs/>
          <w:color w:val="000000" w:themeColor="text1"/>
          <w:sz w:val="24"/>
          <w:szCs w:val="24"/>
          <w14:textFill>
            <w14:solidFill>
              <w14:schemeClr w14:val="tx1"/>
            </w14:solidFill>
          </w14:textFill>
        </w:rPr>
        <w:t>Chloroform-</w:t>
      </w:r>
      <w:r>
        <w:rPr>
          <w:rFonts w:cs="Times New Roman"/>
          <w:b w:val="0"/>
          <w:bCs/>
          <w:i/>
          <w:iCs/>
          <w:color w:val="000000" w:themeColor="text1"/>
          <w:sz w:val="24"/>
          <w:szCs w:val="24"/>
          <w14:textFill>
            <w14:solidFill>
              <w14:schemeClr w14:val="tx1"/>
            </w14:solidFill>
          </w14:textFill>
        </w:rPr>
        <w:t>d</w:t>
      </w:r>
      <w:r>
        <w:rPr>
          <w:rFonts w:cs="Times New Roman"/>
          <w:b w:val="0"/>
          <w:bCs/>
          <w:i/>
          <w:iCs/>
          <w:color w:val="000000" w:themeColor="text1"/>
          <w:sz w:val="24"/>
          <w:szCs w:val="24"/>
          <w:vertAlign w:val="subscript"/>
          <w14:textFill>
            <w14:solidFill>
              <w14:schemeClr w14:val="tx1"/>
            </w14:solidFill>
          </w14:textFill>
        </w:rPr>
        <w:t xml:space="preserve"> </w:t>
      </w:r>
      <w:r>
        <w:rPr>
          <w:rFonts w:cs="Times New Roman"/>
          <w:b w:val="0"/>
          <w:bCs/>
          <w:color w:val="000000"/>
          <w:sz w:val="24"/>
          <w:szCs w:val="24"/>
        </w:rPr>
        <w:t xml:space="preserve">(red star denotes the solvent residual peak of </w:t>
      </w:r>
      <w:r>
        <w:rPr>
          <w:rFonts w:cs="Times New Roman"/>
          <w:b w:val="0"/>
          <w:bCs/>
          <w:color w:val="000000" w:themeColor="text1"/>
          <w:sz w:val="24"/>
          <w:szCs w:val="24"/>
          <w14:textFill>
            <w14:solidFill>
              <w14:schemeClr w14:val="tx1"/>
            </w14:solidFill>
          </w14:textFill>
        </w:rPr>
        <w:t>Chloroform-</w:t>
      </w:r>
      <w:r>
        <w:rPr>
          <w:rFonts w:cs="Times New Roman"/>
          <w:b w:val="0"/>
          <w:bCs/>
          <w:i/>
          <w:iCs/>
          <w:color w:val="000000" w:themeColor="text1"/>
          <w:sz w:val="24"/>
          <w:szCs w:val="24"/>
          <w14:textFill>
            <w14:solidFill>
              <w14:schemeClr w14:val="tx1"/>
            </w14:solidFill>
          </w14:textFill>
        </w:rPr>
        <w:t>d</w:t>
      </w:r>
      <w:r>
        <w:rPr>
          <w:rFonts w:cs="Times New Roman"/>
          <w:b w:val="0"/>
          <w:bCs/>
          <w:color w:val="000000"/>
          <w:sz w:val="24"/>
          <w:szCs w:val="24"/>
        </w:rPr>
        <w:t>)</w:t>
      </w:r>
    </w:p>
    <w:p w14:paraId="13858CC7">
      <w:pPr>
        <w:ind w:firstLine="0" w:firstLineChars="0"/>
        <w:rPr>
          <w:rFonts w:cs="Times New Roman"/>
          <w:b w:val="0"/>
          <w:bCs/>
        </w:rPr>
      </w:pPr>
      <w:r>
        <w:rPr>
          <w:rFonts w:cs="Times New Roman"/>
          <w:b w:val="0"/>
          <w:bCs/>
        </w:rPr>
        <w:drawing>
          <wp:inline distT="0" distB="0" distL="0" distR="0">
            <wp:extent cx="5320030" cy="3129280"/>
            <wp:effectExtent l="0" t="0" r="0" b="0"/>
            <wp:docPr id="10519145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14587" name="图片 1"/>
                    <pic:cNvPicPr>
                      <a:picLocks noChangeAspect="1" noChangeArrowheads="1"/>
                    </pic:cNvPicPr>
                  </pic:nvPicPr>
                  <pic:blipFill>
                    <a:blip r:embed="rId18">
                      <a:extLst>
                        <a:ext uri="{28A0092B-C50C-407E-A947-70E740481C1C}">
                          <a14:useLocalDpi xmlns:a14="http://schemas.microsoft.com/office/drawing/2010/main" val="0"/>
                        </a:ext>
                      </a:extLst>
                    </a:blip>
                    <a:srcRect l="2049"/>
                    <a:stretch>
                      <a:fillRect/>
                    </a:stretch>
                  </pic:blipFill>
                  <pic:spPr>
                    <a:xfrm>
                      <a:off x="0" y="0"/>
                      <a:ext cx="5321543" cy="3130482"/>
                    </a:xfrm>
                    <a:prstGeom prst="rect">
                      <a:avLst/>
                    </a:prstGeom>
                    <a:noFill/>
                    <a:ln>
                      <a:noFill/>
                    </a:ln>
                  </pic:spPr>
                </pic:pic>
              </a:graphicData>
            </a:graphic>
          </wp:inline>
        </w:drawing>
      </w:r>
    </w:p>
    <w:p w14:paraId="41BB5281">
      <w:pPr>
        <w:widowControl/>
        <w:ind w:firstLine="0" w:firstLineChars="0"/>
        <w:jc w:val="left"/>
        <w:rPr>
          <w:rFonts w:cs="Times New Roman"/>
          <w:b w:val="0"/>
          <w:color w:val="000000"/>
          <w:sz w:val="24"/>
          <w:szCs w:val="24"/>
        </w:rPr>
      </w:pPr>
      <w:r>
        <w:rPr>
          <w:rFonts w:cs="Times New Roman"/>
          <w:b w:val="0"/>
          <w:color w:val="000000"/>
          <w:sz w:val="24"/>
          <w:szCs w:val="24"/>
        </w:rPr>
        <w:t>Figure S3. HR-MS spectra of</w:t>
      </w:r>
      <w:r>
        <w:rPr>
          <w:rFonts w:cs="Times New Roman"/>
          <w:bCs/>
          <w:color w:val="000000"/>
          <w:sz w:val="24"/>
          <w:szCs w:val="24"/>
        </w:rPr>
        <w:t xml:space="preserve"> K-Cl</w:t>
      </w:r>
      <w:r>
        <w:rPr>
          <w:rFonts w:cs="Times New Roman"/>
          <w:b w:val="0"/>
          <w:color w:val="000000"/>
          <w:sz w:val="24"/>
          <w:szCs w:val="24"/>
        </w:rPr>
        <w:t>.</w:t>
      </w:r>
    </w:p>
    <w:p w14:paraId="25CC92D8">
      <w:pPr>
        <w:ind w:firstLine="440"/>
        <w:rPr>
          <w:rFonts w:cs="Times New Roman"/>
          <w:b w:val="0"/>
          <w:bCs/>
        </w:rPr>
      </w:pPr>
    </w:p>
    <w:p w14:paraId="5DE2827C">
      <w:pPr>
        <w:ind w:firstLine="0" w:firstLineChars="0"/>
        <w:rPr>
          <w:rFonts w:cs="Times New Roman"/>
          <w:b w:val="0"/>
          <w:bCs/>
        </w:rPr>
      </w:pPr>
      <w:r>
        <w:rPr>
          <w:rFonts w:cs="Times New Roman"/>
          <w:b w:val="0"/>
          <w:bCs/>
        </w:rPr>
        <w:drawing>
          <wp:inline distT="0" distB="0" distL="0" distR="0">
            <wp:extent cx="5486400" cy="3489960"/>
            <wp:effectExtent l="0" t="0" r="0" b="0"/>
            <wp:docPr id="1570322443"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322443" name="图形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488274" cy="3491457"/>
                    </a:xfrm>
                    <a:prstGeom prst="rect">
                      <a:avLst/>
                    </a:prstGeom>
                  </pic:spPr>
                </pic:pic>
              </a:graphicData>
            </a:graphic>
          </wp:inline>
        </w:drawing>
      </w:r>
    </w:p>
    <w:p w14:paraId="0F835559">
      <w:pPr>
        <w:ind w:firstLine="0" w:firstLineChars="0"/>
        <w:jc w:val="left"/>
        <w:rPr>
          <w:rFonts w:cs="Times New Roman"/>
          <w:bCs/>
          <w:color w:val="000000"/>
          <w:sz w:val="24"/>
          <w:szCs w:val="24"/>
        </w:rPr>
      </w:pPr>
      <w:r>
        <w:rPr>
          <w:rFonts w:cs="Times New Roman"/>
          <w:b w:val="0"/>
          <w:color w:val="000000"/>
          <w:sz w:val="24"/>
          <w:szCs w:val="24"/>
        </w:rPr>
        <w:t xml:space="preserve">Figure S4. </w:t>
      </w:r>
      <w:r>
        <w:rPr>
          <w:rFonts w:cs="Times New Roman"/>
          <w:b w:val="0"/>
          <w:color w:val="000000"/>
          <w:sz w:val="24"/>
          <w:szCs w:val="24"/>
          <w:vertAlign w:val="superscript"/>
        </w:rPr>
        <w:t>1</w:t>
      </w:r>
      <w:r>
        <w:rPr>
          <w:rFonts w:cs="Times New Roman"/>
          <w:b w:val="0"/>
          <w:color w:val="000000"/>
          <w:sz w:val="24"/>
          <w:szCs w:val="24"/>
        </w:rPr>
        <w:t xml:space="preserve">H NMR spectra of </w:t>
      </w:r>
      <w:r>
        <w:rPr>
          <w:rFonts w:cs="Times New Roman"/>
          <w:bCs/>
          <w:color w:val="000000"/>
          <w:sz w:val="24"/>
          <w:szCs w:val="24"/>
        </w:rPr>
        <w:t>K-Br</w:t>
      </w:r>
      <w:r>
        <w:rPr>
          <w:rFonts w:cs="Times New Roman"/>
          <w:bCs/>
          <w:color w:val="000000"/>
          <w:sz w:val="24"/>
          <w:szCs w:val="24"/>
          <w:vertAlign w:val="subscript"/>
        </w:rPr>
        <w:t>2</w:t>
      </w:r>
      <w:r>
        <w:rPr>
          <w:rFonts w:cs="Times New Roman"/>
          <w:b w:val="0"/>
          <w:color w:val="000000"/>
          <w:sz w:val="24"/>
          <w:szCs w:val="24"/>
        </w:rPr>
        <w:t xml:space="preserve"> in </w:t>
      </w:r>
      <w:r>
        <w:rPr>
          <w:rFonts w:cs="Times New Roman"/>
          <w:b w:val="0"/>
          <w:color w:val="000000" w:themeColor="text1"/>
          <w:sz w:val="24"/>
          <w:szCs w:val="24"/>
          <w14:textFill>
            <w14:solidFill>
              <w14:schemeClr w14:val="tx1"/>
            </w14:solidFill>
          </w14:textFill>
        </w:rPr>
        <w:t>Chloroform-</w:t>
      </w:r>
      <w:r>
        <w:rPr>
          <w:rFonts w:cs="Times New Roman"/>
          <w:b w:val="0"/>
          <w:i/>
          <w:iCs/>
          <w:color w:val="000000" w:themeColor="text1"/>
          <w:sz w:val="24"/>
          <w:szCs w:val="24"/>
          <w14:textFill>
            <w14:solidFill>
              <w14:schemeClr w14:val="tx1"/>
            </w14:solidFill>
          </w14:textFill>
        </w:rPr>
        <w:t>d</w:t>
      </w:r>
      <w:r>
        <w:rPr>
          <w:rFonts w:cs="Times New Roman"/>
          <w:b w:val="0"/>
          <w:i/>
          <w:iCs/>
          <w:color w:val="000000" w:themeColor="text1"/>
          <w:sz w:val="24"/>
          <w:szCs w:val="24"/>
          <w:vertAlign w:val="subscript"/>
          <w14:textFill>
            <w14:solidFill>
              <w14:schemeClr w14:val="tx1"/>
            </w14:solidFill>
          </w14:textFill>
        </w:rPr>
        <w:t xml:space="preserve"> </w:t>
      </w:r>
      <w:r>
        <w:rPr>
          <w:rFonts w:cs="Times New Roman"/>
          <w:b w:val="0"/>
          <w:color w:val="000000"/>
          <w:sz w:val="24"/>
          <w:szCs w:val="24"/>
        </w:rPr>
        <w:t xml:space="preserve">(red star denotes the solvent residual peak of </w:t>
      </w:r>
      <w:r>
        <w:rPr>
          <w:rFonts w:cs="Times New Roman"/>
          <w:b w:val="0"/>
          <w:color w:val="000000" w:themeColor="text1"/>
          <w:sz w:val="24"/>
          <w:szCs w:val="24"/>
          <w14:textFill>
            <w14:solidFill>
              <w14:schemeClr w14:val="tx1"/>
            </w14:solidFill>
          </w14:textFill>
        </w:rPr>
        <w:t>Chloroform-</w:t>
      </w:r>
      <w:r>
        <w:rPr>
          <w:rFonts w:cs="Times New Roman"/>
          <w:b w:val="0"/>
          <w:i/>
          <w:iCs/>
          <w:color w:val="000000" w:themeColor="text1"/>
          <w:sz w:val="24"/>
          <w:szCs w:val="24"/>
          <w14:textFill>
            <w14:solidFill>
              <w14:schemeClr w14:val="tx1"/>
            </w14:solidFill>
          </w14:textFill>
        </w:rPr>
        <w:t xml:space="preserve">d </w:t>
      </w:r>
      <w:r>
        <w:rPr>
          <w:rFonts w:cs="Times New Roman"/>
          <w:b w:val="0"/>
          <w:color w:val="000000" w:themeColor="text1"/>
          <w:sz w:val="24"/>
          <w:szCs w:val="24"/>
          <w14:textFill>
            <w14:solidFill>
              <w14:schemeClr w14:val="tx1"/>
            </w14:solidFill>
          </w14:textFill>
        </w:rPr>
        <w:t>)</w:t>
      </w:r>
      <w:bookmarkStart w:id="22" w:name="OLE_LINK1"/>
      <w:r>
        <w:rPr>
          <w:rFonts w:cs="Times New Roman"/>
          <w:bCs/>
        </w:rPr>
        <w:object>
          <v:shape id="_x0000_i1026" o:spt="75" type="#_x0000_t75" style="height:271.5pt;width:415.05pt;" o:ole="t" filled="f" o:preferrelative="t" stroked="f" coordsize="21600,21600">
            <v:path/>
            <v:fill on="f" focussize="0,0"/>
            <v:stroke on="f" joinstyle="miter"/>
            <v:imagedata r:id="rId22" o:title=""/>
            <o:lock v:ext="edit" aspectratio="t"/>
            <w10:wrap type="none"/>
            <w10:anchorlock/>
          </v:shape>
          <o:OLEObject Type="Embed" ProgID="MestReNova.Document.1" ShapeID="_x0000_i1026" DrawAspect="Content" ObjectID="_1468075726" r:id="rId21">
            <o:LockedField>false</o:LockedField>
          </o:OLEObject>
        </w:object>
      </w:r>
      <w:bookmarkEnd w:id="22"/>
    </w:p>
    <w:p w14:paraId="034DD782">
      <w:pPr>
        <w:ind w:firstLine="0" w:firstLineChars="0"/>
        <w:jc w:val="left"/>
        <w:rPr>
          <w:rFonts w:cs="Times New Roman"/>
          <w:b w:val="0"/>
          <w:bCs/>
          <w:sz w:val="24"/>
          <w:szCs w:val="24"/>
        </w:rPr>
      </w:pPr>
      <w:r>
        <w:rPr>
          <w:rFonts w:cs="Times New Roman"/>
          <w:b w:val="0"/>
          <w:bCs/>
          <w:color w:val="000000"/>
          <w:sz w:val="24"/>
          <w:szCs w:val="24"/>
        </w:rPr>
        <w:t xml:space="preserve">Figure S5. </w:t>
      </w:r>
      <w:r>
        <w:rPr>
          <w:rFonts w:cs="Times New Roman"/>
          <w:b w:val="0"/>
          <w:bCs/>
          <w:color w:val="000000"/>
          <w:sz w:val="24"/>
          <w:szCs w:val="24"/>
          <w:vertAlign w:val="superscript"/>
        </w:rPr>
        <w:t>13</w:t>
      </w:r>
      <w:r>
        <w:rPr>
          <w:rFonts w:cs="Times New Roman"/>
          <w:b w:val="0"/>
          <w:bCs/>
          <w:color w:val="000000"/>
          <w:sz w:val="24"/>
          <w:szCs w:val="24"/>
        </w:rPr>
        <w:t xml:space="preserve">C NMR spectra of </w:t>
      </w:r>
      <w:r>
        <w:rPr>
          <w:rFonts w:cs="Times New Roman"/>
          <w:color w:val="000000"/>
          <w:sz w:val="24"/>
          <w:szCs w:val="24"/>
        </w:rPr>
        <w:t>K-Br</w:t>
      </w:r>
      <w:r>
        <w:rPr>
          <w:rFonts w:cs="Times New Roman"/>
          <w:color w:val="000000"/>
          <w:sz w:val="24"/>
          <w:szCs w:val="24"/>
          <w:vertAlign w:val="subscript"/>
        </w:rPr>
        <w:t>2</w:t>
      </w:r>
      <w:r>
        <w:rPr>
          <w:rFonts w:cs="Times New Roman"/>
          <w:b w:val="0"/>
          <w:bCs/>
          <w:color w:val="000000"/>
          <w:sz w:val="24"/>
          <w:szCs w:val="24"/>
        </w:rPr>
        <w:t xml:space="preserve"> in </w:t>
      </w:r>
      <w:r>
        <w:rPr>
          <w:rFonts w:cs="Times New Roman"/>
          <w:b w:val="0"/>
          <w:bCs/>
          <w:color w:val="000000" w:themeColor="text1"/>
          <w:sz w:val="24"/>
          <w:szCs w:val="24"/>
          <w14:textFill>
            <w14:solidFill>
              <w14:schemeClr w14:val="tx1"/>
            </w14:solidFill>
          </w14:textFill>
        </w:rPr>
        <w:t>Chloroform-</w:t>
      </w:r>
      <w:r>
        <w:rPr>
          <w:rFonts w:cs="Times New Roman"/>
          <w:b w:val="0"/>
          <w:bCs/>
          <w:i/>
          <w:iCs/>
          <w:color w:val="000000" w:themeColor="text1"/>
          <w:sz w:val="24"/>
          <w:szCs w:val="24"/>
          <w14:textFill>
            <w14:solidFill>
              <w14:schemeClr w14:val="tx1"/>
            </w14:solidFill>
          </w14:textFill>
        </w:rPr>
        <w:t>d</w:t>
      </w:r>
      <w:r>
        <w:rPr>
          <w:rFonts w:cs="Times New Roman"/>
          <w:b w:val="0"/>
          <w:bCs/>
          <w:i/>
          <w:iCs/>
          <w:color w:val="000000" w:themeColor="text1"/>
          <w:sz w:val="24"/>
          <w:szCs w:val="24"/>
          <w:vertAlign w:val="subscript"/>
          <w14:textFill>
            <w14:solidFill>
              <w14:schemeClr w14:val="tx1"/>
            </w14:solidFill>
          </w14:textFill>
        </w:rPr>
        <w:t xml:space="preserve"> </w:t>
      </w:r>
      <w:r>
        <w:rPr>
          <w:rFonts w:cs="Times New Roman"/>
          <w:b w:val="0"/>
          <w:bCs/>
          <w:color w:val="000000"/>
          <w:sz w:val="24"/>
          <w:szCs w:val="24"/>
        </w:rPr>
        <w:t xml:space="preserve">(red star denotes the solvent residual peak of </w:t>
      </w:r>
      <w:r>
        <w:rPr>
          <w:rFonts w:cs="Times New Roman"/>
          <w:b w:val="0"/>
          <w:bCs/>
          <w:color w:val="000000" w:themeColor="text1"/>
          <w:sz w:val="24"/>
          <w:szCs w:val="24"/>
          <w14:textFill>
            <w14:solidFill>
              <w14:schemeClr w14:val="tx1"/>
            </w14:solidFill>
          </w14:textFill>
        </w:rPr>
        <w:t>Chloroform-</w:t>
      </w:r>
      <w:r>
        <w:rPr>
          <w:rFonts w:cs="Times New Roman"/>
          <w:b w:val="0"/>
          <w:bCs/>
          <w:i/>
          <w:iCs/>
          <w:color w:val="000000" w:themeColor="text1"/>
          <w:sz w:val="24"/>
          <w:szCs w:val="24"/>
          <w14:textFill>
            <w14:solidFill>
              <w14:schemeClr w14:val="tx1"/>
            </w14:solidFill>
          </w14:textFill>
        </w:rPr>
        <w:t>d</w:t>
      </w:r>
      <w:r>
        <w:rPr>
          <w:rFonts w:cs="Times New Roman"/>
          <w:b w:val="0"/>
          <w:bCs/>
          <w:color w:val="000000"/>
          <w:sz w:val="24"/>
          <w:szCs w:val="24"/>
        </w:rPr>
        <w:t>)</w:t>
      </w:r>
    </w:p>
    <w:p w14:paraId="319F67AD">
      <w:pPr>
        <w:ind w:firstLine="440"/>
        <w:rPr>
          <w:rFonts w:cs="Times New Roman"/>
          <w:b w:val="0"/>
          <w:bCs/>
        </w:rPr>
      </w:pPr>
    </w:p>
    <w:p w14:paraId="5E042DD2">
      <w:pPr>
        <w:ind w:firstLine="0" w:firstLineChars="0"/>
        <w:rPr>
          <w:rFonts w:cs="Times New Roman"/>
          <w:b w:val="0"/>
          <w:bCs/>
        </w:rPr>
      </w:pPr>
      <w:r>
        <w:rPr>
          <w:rFonts w:cs="Times New Roman"/>
          <w:b w:val="0"/>
          <w:bCs/>
        </w:rPr>
        <w:drawing>
          <wp:inline distT="0" distB="0" distL="0" distR="0">
            <wp:extent cx="5318760" cy="3200400"/>
            <wp:effectExtent l="0" t="0" r="0" b="0"/>
            <wp:docPr id="12846459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645908" name="图片 1"/>
                    <pic:cNvPicPr>
                      <a:picLocks noChangeAspect="1" noChangeArrowheads="1"/>
                    </pic:cNvPicPr>
                  </pic:nvPicPr>
                  <pic:blipFill>
                    <a:blip r:embed="rId23">
                      <a:extLst>
                        <a:ext uri="{28A0092B-C50C-407E-A947-70E740481C1C}">
                          <a14:useLocalDpi xmlns:a14="http://schemas.microsoft.com/office/drawing/2010/main" val="0"/>
                        </a:ext>
                      </a:extLst>
                    </a:blip>
                    <a:srcRect l="2659" r="2035"/>
                    <a:stretch>
                      <a:fillRect/>
                    </a:stretch>
                  </pic:blipFill>
                  <pic:spPr>
                    <a:xfrm>
                      <a:off x="0" y="0"/>
                      <a:ext cx="5319073" cy="3200400"/>
                    </a:xfrm>
                    <a:prstGeom prst="rect">
                      <a:avLst/>
                    </a:prstGeom>
                    <a:noFill/>
                    <a:ln>
                      <a:noFill/>
                    </a:ln>
                  </pic:spPr>
                </pic:pic>
              </a:graphicData>
            </a:graphic>
          </wp:inline>
        </w:drawing>
      </w:r>
    </w:p>
    <w:p w14:paraId="5D0B0C64">
      <w:pPr>
        <w:widowControl/>
        <w:ind w:firstLine="0" w:firstLineChars="0"/>
        <w:rPr>
          <w:rFonts w:cs="Times New Roman"/>
          <w:b w:val="0"/>
          <w:color w:val="000000"/>
          <w:sz w:val="24"/>
          <w:szCs w:val="24"/>
        </w:rPr>
      </w:pPr>
      <w:r>
        <w:rPr>
          <w:rFonts w:cs="Times New Roman"/>
          <w:b w:val="0"/>
          <w:color w:val="000000"/>
          <w:sz w:val="24"/>
          <w:szCs w:val="24"/>
        </w:rPr>
        <w:t xml:space="preserve">Figure S6. HR-MS spectra of </w:t>
      </w:r>
      <w:r>
        <w:rPr>
          <w:rFonts w:cs="Times New Roman"/>
          <w:bCs/>
          <w:color w:val="000000"/>
          <w:sz w:val="24"/>
          <w:szCs w:val="24"/>
        </w:rPr>
        <w:t>K-Br</w:t>
      </w:r>
      <w:r>
        <w:rPr>
          <w:rFonts w:cs="Times New Roman"/>
          <w:bCs/>
          <w:color w:val="000000"/>
          <w:sz w:val="24"/>
          <w:szCs w:val="24"/>
          <w:vertAlign w:val="subscript"/>
        </w:rPr>
        <w:t>2</w:t>
      </w:r>
      <w:r>
        <w:rPr>
          <w:rFonts w:cs="Times New Roman"/>
          <w:b w:val="0"/>
          <w:sz w:val="24"/>
          <w:szCs w:val="24"/>
        </w:rPr>
        <w:drawing>
          <wp:anchor distT="0" distB="0" distL="114300" distR="114300" simplePos="0" relativeHeight="251659264" behindDoc="0" locked="0" layoutInCell="1" allowOverlap="1">
            <wp:simplePos x="0" y="0"/>
            <wp:positionH relativeFrom="column">
              <wp:posOffset>6880860</wp:posOffset>
            </wp:positionH>
            <wp:positionV relativeFrom="paragraph">
              <wp:posOffset>374650</wp:posOffset>
            </wp:positionV>
            <wp:extent cx="1514475" cy="1466850"/>
            <wp:effectExtent l="0" t="0" r="0" b="635"/>
            <wp:wrapNone/>
            <wp:docPr id="207990756" name="图片 924226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90756" name="图片 924226684"/>
                    <pic:cNvPicPr>
                      <a:picLocks noChangeAspect="1"/>
                    </pic:cNvPicPr>
                  </pic:nvPicPr>
                  <pic:blipFill>
                    <a:blip r:embed="rId24"/>
                    <a:stretch>
                      <a:fillRect/>
                    </a:stretch>
                  </pic:blipFill>
                  <pic:spPr>
                    <a:xfrm>
                      <a:off x="0" y="0"/>
                      <a:ext cx="1514374" cy="1466683"/>
                    </a:xfrm>
                    <a:prstGeom prst="rect">
                      <a:avLst/>
                    </a:prstGeom>
                  </pic:spPr>
                </pic:pic>
              </a:graphicData>
            </a:graphic>
          </wp:anchor>
        </w:drawing>
      </w:r>
    </w:p>
    <w:p w14:paraId="75A15F88">
      <w:pPr>
        <w:widowControl/>
        <w:ind w:firstLine="0" w:firstLineChars="0"/>
        <w:rPr>
          <w:rFonts w:cs="Times New Roman"/>
          <w:b w:val="0"/>
          <w:bCs/>
        </w:rPr>
      </w:pPr>
      <w:r>
        <w:rPr>
          <w:rFonts w:cs="Times New Roman"/>
          <w:b w:val="0"/>
          <w:bCs/>
        </w:rPr>
        <w:drawing>
          <wp:inline distT="0" distB="0" distL="0" distR="0">
            <wp:extent cx="5274310" cy="3396615"/>
            <wp:effectExtent l="0" t="0" r="2540" b="0"/>
            <wp:docPr id="1877281872"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81872" name="图形 1"/>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5274310" cy="3396615"/>
                    </a:xfrm>
                    <a:prstGeom prst="rect">
                      <a:avLst/>
                    </a:prstGeom>
                  </pic:spPr>
                </pic:pic>
              </a:graphicData>
            </a:graphic>
          </wp:inline>
        </w:drawing>
      </w:r>
    </w:p>
    <w:p w14:paraId="551C9791">
      <w:pPr>
        <w:ind w:firstLine="0" w:firstLineChars="0"/>
        <w:rPr>
          <w:rFonts w:cs="Times New Roman"/>
          <w:b w:val="0"/>
          <w:sz w:val="24"/>
          <w:szCs w:val="24"/>
        </w:rPr>
      </w:pPr>
      <w:r>
        <w:rPr>
          <w:rFonts w:cs="Times New Roman"/>
          <w:b w:val="0"/>
          <w:color w:val="000000"/>
          <w:sz w:val="24"/>
          <w:szCs w:val="24"/>
        </w:rPr>
        <w:t xml:space="preserve">Figure S7. </w:t>
      </w:r>
      <w:r>
        <w:rPr>
          <w:rFonts w:cs="Times New Roman"/>
          <w:b w:val="0"/>
          <w:color w:val="000000"/>
          <w:sz w:val="24"/>
          <w:szCs w:val="24"/>
          <w:vertAlign w:val="superscript"/>
        </w:rPr>
        <w:t>1</w:t>
      </w:r>
      <w:r>
        <w:rPr>
          <w:rFonts w:cs="Times New Roman"/>
          <w:b w:val="0"/>
          <w:color w:val="000000"/>
          <w:sz w:val="24"/>
          <w:szCs w:val="24"/>
        </w:rPr>
        <w:t xml:space="preserve">H NMR spectra of </w:t>
      </w:r>
      <w:r>
        <w:rPr>
          <w:rFonts w:cs="Times New Roman"/>
          <w:bCs/>
          <w:color w:val="000000"/>
          <w:sz w:val="24"/>
          <w:szCs w:val="24"/>
        </w:rPr>
        <w:t>K-CN</w:t>
      </w:r>
      <w:r>
        <w:rPr>
          <w:rFonts w:cs="Times New Roman"/>
          <w:b w:val="0"/>
          <w:color w:val="000000"/>
          <w:sz w:val="24"/>
          <w:szCs w:val="24"/>
        </w:rPr>
        <w:t xml:space="preserve"> in </w:t>
      </w:r>
      <w:r>
        <w:rPr>
          <w:rFonts w:cs="Times New Roman"/>
          <w:b w:val="0"/>
          <w:color w:val="000000" w:themeColor="text1"/>
          <w:sz w:val="24"/>
          <w:szCs w:val="24"/>
          <w14:textFill>
            <w14:solidFill>
              <w14:schemeClr w14:val="tx1"/>
            </w14:solidFill>
          </w14:textFill>
        </w:rPr>
        <w:t>Chloroform-</w:t>
      </w:r>
      <w:r>
        <w:rPr>
          <w:rFonts w:cs="Times New Roman"/>
          <w:b w:val="0"/>
          <w:i/>
          <w:iCs/>
          <w:color w:val="000000" w:themeColor="text1"/>
          <w:sz w:val="24"/>
          <w:szCs w:val="24"/>
          <w14:textFill>
            <w14:solidFill>
              <w14:schemeClr w14:val="tx1"/>
            </w14:solidFill>
          </w14:textFill>
        </w:rPr>
        <w:t>d</w:t>
      </w:r>
      <w:r>
        <w:rPr>
          <w:rFonts w:cs="Times New Roman"/>
          <w:b w:val="0"/>
          <w:i/>
          <w:iCs/>
          <w:color w:val="000000" w:themeColor="text1"/>
          <w:sz w:val="24"/>
          <w:szCs w:val="24"/>
          <w:vertAlign w:val="subscript"/>
          <w14:textFill>
            <w14:solidFill>
              <w14:schemeClr w14:val="tx1"/>
            </w14:solidFill>
          </w14:textFill>
        </w:rPr>
        <w:t xml:space="preserve"> </w:t>
      </w:r>
      <w:r>
        <w:rPr>
          <w:rFonts w:cs="Times New Roman"/>
          <w:b w:val="0"/>
          <w:color w:val="000000"/>
          <w:sz w:val="24"/>
          <w:szCs w:val="24"/>
        </w:rPr>
        <w:t xml:space="preserve">( red star denotes the solvent residual peak of </w:t>
      </w:r>
      <w:r>
        <w:rPr>
          <w:rFonts w:cs="Times New Roman"/>
          <w:b w:val="0"/>
          <w:color w:val="000000" w:themeColor="text1"/>
          <w:sz w:val="24"/>
          <w:szCs w:val="24"/>
          <w14:textFill>
            <w14:solidFill>
              <w14:schemeClr w14:val="tx1"/>
            </w14:solidFill>
          </w14:textFill>
        </w:rPr>
        <w:t>Chloroform-</w:t>
      </w:r>
      <w:r>
        <w:rPr>
          <w:rFonts w:cs="Times New Roman"/>
          <w:b w:val="0"/>
          <w:i/>
          <w:iCs/>
          <w:color w:val="000000" w:themeColor="text1"/>
          <w:sz w:val="24"/>
          <w:szCs w:val="24"/>
          <w14:textFill>
            <w14:solidFill>
              <w14:schemeClr w14:val="tx1"/>
            </w14:solidFill>
          </w14:textFill>
        </w:rPr>
        <w:t xml:space="preserve">d </w:t>
      </w:r>
      <w:r>
        <w:rPr>
          <w:rFonts w:cs="Times New Roman"/>
          <w:b w:val="0"/>
          <w:color w:val="000000" w:themeColor="text1"/>
          <w:sz w:val="24"/>
          <w:szCs w:val="24"/>
          <w14:textFill>
            <w14:solidFill>
              <w14:schemeClr w14:val="tx1"/>
            </w14:solidFill>
          </w14:textFill>
        </w:rPr>
        <w:t>)</w:t>
      </w:r>
    </w:p>
    <w:p w14:paraId="34A0BE12">
      <w:pPr>
        <w:ind w:firstLine="440"/>
        <w:rPr>
          <w:rFonts w:cs="Times New Roman"/>
          <w:b w:val="0"/>
          <w:bCs/>
        </w:rPr>
      </w:pPr>
    </w:p>
    <w:p w14:paraId="7B16522C">
      <w:pPr>
        <w:ind w:firstLine="0" w:firstLineChars="0"/>
        <w:rPr>
          <w:rFonts w:cs="Times New Roman"/>
          <w:b w:val="0"/>
          <w:bCs/>
        </w:rPr>
      </w:pPr>
      <w:r>
        <w:rPr>
          <w:rFonts w:cs="Times New Roman"/>
          <w:b w:val="0"/>
          <w:bCs/>
        </w:rPr>
        <w:drawing>
          <wp:inline distT="0" distB="0" distL="0" distR="0">
            <wp:extent cx="5274310" cy="3480435"/>
            <wp:effectExtent l="0" t="0" r="2540" b="5715"/>
            <wp:docPr id="125000941"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0941" name="图形 1"/>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274310" cy="3480435"/>
                    </a:xfrm>
                    <a:prstGeom prst="rect">
                      <a:avLst/>
                    </a:prstGeom>
                  </pic:spPr>
                </pic:pic>
              </a:graphicData>
            </a:graphic>
          </wp:inline>
        </w:drawing>
      </w:r>
    </w:p>
    <w:p w14:paraId="46A28AA5">
      <w:pPr>
        <w:ind w:firstLine="0" w:firstLineChars="0"/>
        <w:rPr>
          <w:rFonts w:cs="Times New Roman"/>
          <w:b w:val="0"/>
          <w:bCs/>
          <w:sz w:val="24"/>
          <w:szCs w:val="24"/>
        </w:rPr>
      </w:pPr>
      <w:r>
        <w:rPr>
          <w:rFonts w:cs="Times New Roman"/>
          <w:b w:val="0"/>
          <w:bCs/>
          <w:color w:val="000000"/>
          <w:sz w:val="24"/>
          <w:szCs w:val="24"/>
        </w:rPr>
        <w:t xml:space="preserve">Figure S8. </w:t>
      </w:r>
      <w:r>
        <w:rPr>
          <w:rFonts w:cs="Times New Roman"/>
          <w:b w:val="0"/>
          <w:bCs/>
          <w:color w:val="000000"/>
          <w:sz w:val="24"/>
          <w:szCs w:val="24"/>
          <w:vertAlign w:val="superscript"/>
        </w:rPr>
        <w:t>13</w:t>
      </w:r>
      <w:r>
        <w:rPr>
          <w:rFonts w:cs="Times New Roman"/>
          <w:b w:val="0"/>
          <w:bCs/>
          <w:color w:val="000000"/>
          <w:sz w:val="24"/>
          <w:szCs w:val="24"/>
        </w:rPr>
        <w:t xml:space="preserve">C NMR spectra of </w:t>
      </w:r>
      <w:r>
        <w:rPr>
          <w:rFonts w:cs="Times New Roman"/>
          <w:color w:val="000000"/>
          <w:sz w:val="24"/>
          <w:szCs w:val="24"/>
        </w:rPr>
        <w:t>K-CN</w:t>
      </w:r>
      <w:r>
        <w:rPr>
          <w:rFonts w:cs="Times New Roman"/>
          <w:b w:val="0"/>
          <w:bCs/>
          <w:color w:val="000000"/>
          <w:sz w:val="24"/>
          <w:szCs w:val="24"/>
        </w:rPr>
        <w:t xml:space="preserve"> in </w:t>
      </w:r>
      <w:r>
        <w:rPr>
          <w:rFonts w:cs="Times New Roman"/>
          <w:b w:val="0"/>
          <w:bCs/>
          <w:color w:val="000000" w:themeColor="text1"/>
          <w:sz w:val="24"/>
          <w:szCs w:val="24"/>
          <w14:textFill>
            <w14:solidFill>
              <w14:schemeClr w14:val="tx1"/>
            </w14:solidFill>
          </w14:textFill>
        </w:rPr>
        <w:t>Chloroform-</w:t>
      </w:r>
      <w:r>
        <w:rPr>
          <w:rFonts w:cs="Times New Roman"/>
          <w:b w:val="0"/>
          <w:bCs/>
          <w:i/>
          <w:iCs/>
          <w:color w:val="000000" w:themeColor="text1"/>
          <w:sz w:val="24"/>
          <w:szCs w:val="24"/>
          <w14:textFill>
            <w14:solidFill>
              <w14:schemeClr w14:val="tx1"/>
            </w14:solidFill>
          </w14:textFill>
        </w:rPr>
        <w:t>d</w:t>
      </w:r>
      <w:r>
        <w:rPr>
          <w:rFonts w:cs="Times New Roman"/>
          <w:b w:val="0"/>
          <w:bCs/>
          <w:i/>
          <w:iCs/>
          <w:color w:val="000000" w:themeColor="text1"/>
          <w:sz w:val="24"/>
          <w:szCs w:val="24"/>
          <w:vertAlign w:val="subscript"/>
          <w14:textFill>
            <w14:solidFill>
              <w14:schemeClr w14:val="tx1"/>
            </w14:solidFill>
          </w14:textFill>
        </w:rPr>
        <w:t xml:space="preserve"> </w:t>
      </w:r>
      <w:r>
        <w:rPr>
          <w:rFonts w:cs="Times New Roman"/>
          <w:b w:val="0"/>
          <w:bCs/>
          <w:color w:val="000000"/>
          <w:sz w:val="24"/>
          <w:szCs w:val="24"/>
        </w:rPr>
        <w:t xml:space="preserve">(red star denotes the solvent residual peak of </w:t>
      </w:r>
      <w:r>
        <w:rPr>
          <w:rFonts w:cs="Times New Roman"/>
          <w:b w:val="0"/>
          <w:bCs/>
          <w:color w:val="000000" w:themeColor="text1"/>
          <w:sz w:val="24"/>
          <w:szCs w:val="24"/>
          <w14:textFill>
            <w14:solidFill>
              <w14:schemeClr w14:val="tx1"/>
            </w14:solidFill>
          </w14:textFill>
        </w:rPr>
        <w:t>Chloroform-</w:t>
      </w:r>
      <w:r>
        <w:rPr>
          <w:rFonts w:cs="Times New Roman"/>
          <w:b w:val="0"/>
          <w:bCs/>
          <w:i/>
          <w:iCs/>
          <w:color w:val="000000" w:themeColor="text1"/>
          <w:sz w:val="24"/>
          <w:szCs w:val="24"/>
          <w14:textFill>
            <w14:solidFill>
              <w14:schemeClr w14:val="tx1"/>
            </w14:solidFill>
          </w14:textFill>
        </w:rPr>
        <w:t xml:space="preserve">d </w:t>
      </w:r>
      <w:r>
        <w:rPr>
          <w:rFonts w:cs="Times New Roman"/>
          <w:b w:val="0"/>
          <w:bCs/>
          <w:color w:val="000000"/>
          <w:sz w:val="24"/>
          <w:szCs w:val="24"/>
        </w:rPr>
        <w:t>)</w:t>
      </w:r>
    </w:p>
    <w:p w14:paraId="78D597CC">
      <w:pPr>
        <w:ind w:firstLine="0" w:firstLineChars="0"/>
        <w:rPr>
          <w:rFonts w:cs="Times New Roman"/>
          <w:b w:val="0"/>
          <w:bCs/>
        </w:rPr>
      </w:pPr>
      <w:r>
        <w:rPr>
          <w:rFonts w:cs="Times New Roman"/>
          <w:b w:val="0"/>
          <w:bCs/>
        </w:rPr>
        <w:drawing>
          <wp:inline distT="0" distB="0" distL="0" distR="0">
            <wp:extent cx="5231130" cy="3080385"/>
            <wp:effectExtent l="0" t="0" r="7620" b="5715"/>
            <wp:docPr id="16887904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790423" name="图片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47081" cy="3089752"/>
                    </a:xfrm>
                    <a:prstGeom prst="rect">
                      <a:avLst/>
                    </a:prstGeom>
                    <a:noFill/>
                    <a:ln>
                      <a:noFill/>
                    </a:ln>
                  </pic:spPr>
                </pic:pic>
              </a:graphicData>
            </a:graphic>
          </wp:inline>
        </w:drawing>
      </w:r>
    </w:p>
    <w:p w14:paraId="29715720">
      <w:pPr>
        <w:widowControl/>
        <w:ind w:firstLine="0" w:firstLineChars="0"/>
        <w:rPr>
          <w:rFonts w:cs="Times New Roman"/>
          <w:bCs/>
          <w:color w:val="000000"/>
          <w:sz w:val="24"/>
          <w:szCs w:val="24"/>
        </w:rPr>
      </w:pPr>
      <w:bookmarkStart w:id="23" w:name="OLE_LINK3"/>
      <w:r>
        <w:rPr>
          <w:rFonts w:cs="Times New Roman"/>
          <w:b w:val="0"/>
          <w:color w:val="000000"/>
          <w:sz w:val="24"/>
          <w:szCs w:val="24"/>
        </w:rPr>
        <w:t xml:space="preserve">Figure S9. HR-MS spectra of </w:t>
      </w:r>
      <w:r>
        <w:rPr>
          <w:rFonts w:cs="Times New Roman"/>
          <w:color w:val="000000"/>
          <w:sz w:val="24"/>
          <w:szCs w:val="24"/>
        </w:rPr>
        <w:t>K-CN</w:t>
      </w:r>
      <w:bookmarkEnd w:id="23"/>
    </w:p>
    <w:p w14:paraId="2DED9609">
      <w:pPr>
        <w:ind w:firstLine="0" w:firstLineChars="0"/>
        <w:rPr>
          <w:rFonts w:cs="Times New Roman"/>
          <w:b w:val="0"/>
          <w:bCs/>
        </w:rPr>
      </w:pPr>
      <w:r>
        <w:rPr>
          <w:rFonts w:cs="Times New Roman"/>
          <w:b w:val="0"/>
          <w:bCs/>
        </w:rPr>
        <w:drawing>
          <wp:inline distT="0" distB="0" distL="0" distR="0">
            <wp:extent cx="5274310" cy="3419475"/>
            <wp:effectExtent l="0" t="0" r="2540" b="9525"/>
            <wp:docPr id="1596176052"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176052" name="图形 1"/>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a:off x="0" y="0"/>
                      <a:ext cx="5274310" cy="3419475"/>
                    </a:xfrm>
                    <a:prstGeom prst="rect">
                      <a:avLst/>
                    </a:prstGeom>
                  </pic:spPr>
                </pic:pic>
              </a:graphicData>
            </a:graphic>
          </wp:inline>
        </w:drawing>
      </w:r>
    </w:p>
    <w:p w14:paraId="619B51E9">
      <w:pPr>
        <w:ind w:firstLine="0" w:firstLineChars="0"/>
        <w:rPr>
          <w:rFonts w:cs="Times New Roman"/>
          <w:b w:val="0"/>
          <w:sz w:val="24"/>
          <w:szCs w:val="24"/>
        </w:rPr>
      </w:pPr>
      <w:r>
        <w:rPr>
          <w:rFonts w:cs="Times New Roman"/>
          <w:b w:val="0"/>
          <w:color w:val="000000"/>
          <w:sz w:val="24"/>
          <w:szCs w:val="24"/>
        </w:rPr>
        <w:t xml:space="preserve">Figure S10. </w:t>
      </w:r>
      <w:r>
        <w:rPr>
          <w:rFonts w:cs="Times New Roman"/>
          <w:b w:val="0"/>
          <w:color w:val="000000"/>
          <w:sz w:val="24"/>
          <w:szCs w:val="24"/>
          <w:vertAlign w:val="superscript"/>
        </w:rPr>
        <w:t>1</w:t>
      </w:r>
      <w:r>
        <w:rPr>
          <w:rFonts w:cs="Times New Roman"/>
          <w:b w:val="0"/>
          <w:color w:val="000000"/>
          <w:sz w:val="24"/>
          <w:szCs w:val="24"/>
        </w:rPr>
        <w:t xml:space="preserve">H NMR spectra of </w:t>
      </w:r>
      <w:r>
        <w:rPr>
          <w:rFonts w:cs="Times New Roman"/>
          <w:bCs/>
          <w:color w:val="000000"/>
          <w:sz w:val="24"/>
          <w:szCs w:val="24"/>
        </w:rPr>
        <w:t>K-Br</w:t>
      </w:r>
      <w:r>
        <w:rPr>
          <w:rFonts w:cs="Times New Roman"/>
          <w:b w:val="0"/>
          <w:color w:val="000000"/>
          <w:sz w:val="24"/>
          <w:szCs w:val="24"/>
        </w:rPr>
        <w:t xml:space="preserve"> in </w:t>
      </w:r>
      <w:r>
        <w:rPr>
          <w:rFonts w:cs="Times New Roman"/>
          <w:b w:val="0"/>
          <w:color w:val="000000" w:themeColor="text1"/>
          <w:sz w:val="24"/>
          <w:szCs w:val="24"/>
          <w14:textFill>
            <w14:solidFill>
              <w14:schemeClr w14:val="tx1"/>
            </w14:solidFill>
          </w14:textFill>
        </w:rPr>
        <w:t>Chloroform-</w:t>
      </w:r>
      <w:r>
        <w:rPr>
          <w:rFonts w:cs="Times New Roman"/>
          <w:b w:val="0"/>
          <w:i/>
          <w:iCs/>
          <w:color w:val="000000" w:themeColor="text1"/>
          <w:sz w:val="24"/>
          <w:szCs w:val="24"/>
          <w14:textFill>
            <w14:solidFill>
              <w14:schemeClr w14:val="tx1"/>
            </w14:solidFill>
          </w14:textFill>
        </w:rPr>
        <w:t>d</w:t>
      </w:r>
      <w:r>
        <w:rPr>
          <w:rFonts w:cs="Times New Roman"/>
          <w:b w:val="0"/>
          <w:i/>
          <w:iCs/>
          <w:color w:val="000000" w:themeColor="text1"/>
          <w:sz w:val="24"/>
          <w:szCs w:val="24"/>
          <w:vertAlign w:val="subscript"/>
          <w14:textFill>
            <w14:solidFill>
              <w14:schemeClr w14:val="tx1"/>
            </w14:solidFill>
          </w14:textFill>
        </w:rPr>
        <w:t xml:space="preserve"> </w:t>
      </w:r>
      <w:r>
        <w:rPr>
          <w:rFonts w:cs="Times New Roman"/>
          <w:b w:val="0"/>
          <w:color w:val="000000"/>
          <w:sz w:val="24"/>
          <w:szCs w:val="24"/>
        </w:rPr>
        <w:t xml:space="preserve">( red star denotes the solvent residual peak of </w:t>
      </w:r>
      <w:r>
        <w:rPr>
          <w:rFonts w:cs="Times New Roman"/>
          <w:b w:val="0"/>
          <w:color w:val="000000" w:themeColor="text1"/>
          <w:sz w:val="24"/>
          <w:szCs w:val="24"/>
          <w14:textFill>
            <w14:solidFill>
              <w14:schemeClr w14:val="tx1"/>
            </w14:solidFill>
          </w14:textFill>
        </w:rPr>
        <w:t>Chloroform-</w:t>
      </w:r>
      <w:r>
        <w:rPr>
          <w:rFonts w:cs="Times New Roman"/>
          <w:b w:val="0"/>
          <w:i/>
          <w:iCs/>
          <w:color w:val="000000" w:themeColor="text1"/>
          <w:sz w:val="24"/>
          <w:szCs w:val="24"/>
          <w14:textFill>
            <w14:solidFill>
              <w14:schemeClr w14:val="tx1"/>
            </w14:solidFill>
          </w14:textFill>
        </w:rPr>
        <w:t xml:space="preserve">d </w:t>
      </w:r>
      <w:r>
        <w:rPr>
          <w:rFonts w:cs="Times New Roman"/>
          <w:b w:val="0"/>
          <w:color w:val="000000" w:themeColor="text1"/>
          <w:sz w:val="24"/>
          <w:szCs w:val="24"/>
          <w14:textFill>
            <w14:solidFill>
              <w14:schemeClr w14:val="tx1"/>
            </w14:solidFill>
          </w14:textFill>
        </w:rPr>
        <w:t>)</w:t>
      </w:r>
    </w:p>
    <w:p w14:paraId="698AAE12">
      <w:pPr>
        <w:ind w:firstLine="440"/>
        <w:rPr>
          <w:rFonts w:cs="Times New Roman"/>
          <w:b w:val="0"/>
          <w:bCs/>
        </w:rPr>
      </w:pPr>
    </w:p>
    <w:p w14:paraId="5268C352">
      <w:pPr>
        <w:ind w:firstLine="0" w:firstLineChars="0"/>
        <w:rPr>
          <w:rFonts w:cs="Times New Roman"/>
          <w:b w:val="0"/>
          <w:bCs/>
        </w:rPr>
      </w:pPr>
      <w:r>
        <w:rPr>
          <w:rFonts w:cs="Times New Roman"/>
          <w:b w:val="0"/>
          <w:bCs/>
        </w:rPr>
        <w:drawing>
          <wp:inline distT="0" distB="0" distL="0" distR="0">
            <wp:extent cx="5274310" cy="3460750"/>
            <wp:effectExtent l="0" t="0" r="2540" b="6350"/>
            <wp:docPr id="1433010568"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10568" name="图形 1"/>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0" y="0"/>
                      <a:ext cx="5274310" cy="3460750"/>
                    </a:xfrm>
                    <a:prstGeom prst="rect">
                      <a:avLst/>
                    </a:prstGeom>
                  </pic:spPr>
                </pic:pic>
              </a:graphicData>
            </a:graphic>
          </wp:inline>
        </w:drawing>
      </w:r>
    </w:p>
    <w:p w14:paraId="39DE6B12">
      <w:pPr>
        <w:ind w:firstLine="0" w:firstLineChars="0"/>
        <w:rPr>
          <w:rFonts w:cs="Times New Roman"/>
          <w:b w:val="0"/>
          <w:bCs/>
          <w:color w:val="000000"/>
          <w:sz w:val="24"/>
          <w:szCs w:val="24"/>
        </w:rPr>
      </w:pPr>
      <w:r>
        <w:rPr>
          <w:rFonts w:cs="Times New Roman"/>
          <w:b w:val="0"/>
          <w:bCs/>
          <w:color w:val="000000"/>
          <w:sz w:val="24"/>
          <w:szCs w:val="24"/>
        </w:rPr>
        <w:t xml:space="preserve">Figure S11. </w:t>
      </w:r>
      <w:r>
        <w:rPr>
          <w:rFonts w:cs="Times New Roman"/>
          <w:b w:val="0"/>
          <w:bCs/>
          <w:color w:val="000000"/>
          <w:sz w:val="24"/>
          <w:szCs w:val="24"/>
          <w:vertAlign w:val="superscript"/>
        </w:rPr>
        <w:t>13</w:t>
      </w:r>
      <w:r>
        <w:rPr>
          <w:rFonts w:cs="Times New Roman"/>
          <w:b w:val="0"/>
          <w:bCs/>
          <w:color w:val="000000"/>
          <w:sz w:val="24"/>
          <w:szCs w:val="24"/>
        </w:rPr>
        <w:t xml:space="preserve">C NMR spectra of </w:t>
      </w:r>
      <w:r>
        <w:rPr>
          <w:rFonts w:cs="Times New Roman"/>
          <w:color w:val="000000"/>
          <w:sz w:val="24"/>
          <w:szCs w:val="24"/>
        </w:rPr>
        <w:t>K-Br</w:t>
      </w:r>
      <w:r>
        <w:rPr>
          <w:rFonts w:cs="Times New Roman"/>
          <w:b w:val="0"/>
          <w:bCs/>
          <w:color w:val="000000"/>
          <w:sz w:val="24"/>
          <w:szCs w:val="24"/>
        </w:rPr>
        <w:t xml:space="preserve"> in </w:t>
      </w:r>
      <w:r>
        <w:rPr>
          <w:rFonts w:cs="Times New Roman"/>
          <w:b w:val="0"/>
          <w:bCs/>
          <w:color w:val="000000" w:themeColor="text1"/>
          <w:sz w:val="24"/>
          <w:szCs w:val="24"/>
          <w14:textFill>
            <w14:solidFill>
              <w14:schemeClr w14:val="tx1"/>
            </w14:solidFill>
          </w14:textFill>
        </w:rPr>
        <w:t>Chloroform-</w:t>
      </w:r>
      <w:r>
        <w:rPr>
          <w:rFonts w:cs="Times New Roman"/>
          <w:b w:val="0"/>
          <w:bCs/>
          <w:i/>
          <w:iCs/>
          <w:color w:val="000000" w:themeColor="text1"/>
          <w:sz w:val="24"/>
          <w:szCs w:val="24"/>
          <w14:textFill>
            <w14:solidFill>
              <w14:schemeClr w14:val="tx1"/>
            </w14:solidFill>
          </w14:textFill>
        </w:rPr>
        <w:t>d</w:t>
      </w:r>
      <w:r>
        <w:rPr>
          <w:rFonts w:cs="Times New Roman"/>
          <w:b w:val="0"/>
          <w:bCs/>
          <w:i/>
          <w:iCs/>
          <w:color w:val="000000" w:themeColor="text1"/>
          <w:sz w:val="24"/>
          <w:szCs w:val="24"/>
          <w:vertAlign w:val="subscript"/>
          <w14:textFill>
            <w14:solidFill>
              <w14:schemeClr w14:val="tx1"/>
            </w14:solidFill>
          </w14:textFill>
        </w:rPr>
        <w:t xml:space="preserve"> </w:t>
      </w:r>
      <w:r>
        <w:rPr>
          <w:rFonts w:cs="Times New Roman"/>
          <w:b w:val="0"/>
          <w:bCs/>
          <w:color w:val="000000"/>
          <w:sz w:val="24"/>
          <w:szCs w:val="24"/>
        </w:rPr>
        <w:t xml:space="preserve">(red star denotes the solvent residual peak of </w:t>
      </w:r>
      <w:r>
        <w:rPr>
          <w:rFonts w:cs="Times New Roman"/>
          <w:b w:val="0"/>
          <w:bCs/>
          <w:color w:val="000000" w:themeColor="text1"/>
          <w:sz w:val="24"/>
          <w:szCs w:val="24"/>
          <w14:textFill>
            <w14:solidFill>
              <w14:schemeClr w14:val="tx1"/>
            </w14:solidFill>
          </w14:textFill>
        </w:rPr>
        <w:t>Chloroform-</w:t>
      </w:r>
      <w:r>
        <w:rPr>
          <w:rFonts w:cs="Times New Roman"/>
          <w:b w:val="0"/>
          <w:bCs/>
          <w:i/>
          <w:iCs/>
          <w:color w:val="000000" w:themeColor="text1"/>
          <w:sz w:val="24"/>
          <w:szCs w:val="24"/>
          <w14:textFill>
            <w14:solidFill>
              <w14:schemeClr w14:val="tx1"/>
            </w14:solidFill>
          </w14:textFill>
        </w:rPr>
        <w:t xml:space="preserve">d </w:t>
      </w:r>
      <w:r>
        <w:rPr>
          <w:rFonts w:cs="Times New Roman"/>
          <w:b w:val="0"/>
          <w:bCs/>
          <w:color w:val="000000"/>
          <w:sz w:val="24"/>
          <w:szCs w:val="24"/>
        </w:rPr>
        <w:t>)</w:t>
      </w:r>
    </w:p>
    <w:p w14:paraId="764821EA">
      <w:pPr>
        <w:ind w:firstLine="440"/>
        <w:rPr>
          <w:rFonts w:cs="Times New Roman"/>
          <w:b w:val="0"/>
          <w:bCs/>
        </w:rPr>
      </w:pPr>
    </w:p>
    <w:p w14:paraId="3904B015">
      <w:pPr>
        <w:ind w:firstLine="0" w:firstLineChars="0"/>
        <w:rPr>
          <w:rFonts w:cs="Times New Roman"/>
          <w:b w:val="0"/>
          <w:bCs/>
        </w:rPr>
      </w:pPr>
      <w:r>
        <w:rPr>
          <w:rFonts w:cs="Times New Roman"/>
          <w:b w:val="0"/>
          <w:bCs/>
        </w:rPr>
        <w:drawing>
          <wp:inline distT="0" distB="0" distL="0" distR="0">
            <wp:extent cx="5274310" cy="3146425"/>
            <wp:effectExtent l="0" t="0" r="2540" b="0"/>
            <wp:docPr id="16879565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956545" name="图片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274310" cy="3146425"/>
                    </a:xfrm>
                    <a:prstGeom prst="rect">
                      <a:avLst/>
                    </a:prstGeom>
                    <a:noFill/>
                    <a:ln>
                      <a:noFill/>
                    </a:ln>
                  </pic:spPr>
                </pic:pic>
              </a:graphicData>
            </a:graphic>
          </wp:inline>
        </w:drawing>
      </w:r>
    </w:p>
    <w:p w14:paraId="33A01157">
      <w:pPr>
        <w:widowControl/>
        <w:ind w:firstLine="0" w:firstLineChars="0"/>
        <w:rPr>
          <w:rFonts w:cs="Times New Roman"/>
          <w:b w:val="0"/>
          <w:color w:val="000000"/>
          <w:sz w:val="24"/>
          <w:szCs w:val="24"/>
        </w:rPr>
      </w:pPr>
      <w:r>
        <w:rPr>
          <w:rFonts w:cs="Times New Roman"/>
          <w:b w:val="0"/>
          <w:color w:val="000000"/>
          <w:sz w:val="24"/>
          <w:szCs w:val="24"/>
        </w:rPr>
        <w:t xml:space="preserve">Figure S12. HR-MS spectra of </w:t>
      </w:r>
      <w:r>
        <w:rPr>
          <w:rFonts w:cs="Times New Roman"/>
          <w:bCs/>
          <w:color w:val="000000"/>
          <w:sz w:val="24"/>
          <w:szCs w:val="24"/>
        </w:rPr>
        <w:t>K-Br</w:t>
      </w:r>
    </w:p>
    <w:p w14:paraId="1BE3E3A5">
      <w:pPr>
        <w:pStyle w:val="3"/>
        <w:ind w:firstLine="0" w:firstLineChars="0"/>
        <w:rPr>
          <w:rFonts w:ascii="Times New Roman" w:hAnsi="Times New Roman"/>
          <w:sz w:val="28"/>
          <w:szCs w:val="28"/>
        </w:rPr>
      </w:pPr>
      <w:bookmarkStart w:id="24" w:name="_Toc219315591"/>
      <w:r>
        <w:rPr>
          <w:rFonts w:ascii="Times New Roman" w:hAnsi="Times New Roman"/>
          <w:sz w:val="28"/>
          <w:szCs w:val="28"/>
        </w:rPr>
        <w:t>5.</w:t>
      </w:r>
      <w:bookmarkStart w:id="25" w:name="_Hlk217589220"/>
      <w:r>
        <w:rPr>
          <w:rFonts w:ascii="Times New Roman" w:hAnsi="Times New Roman"/>
          <w:sz w:val="28"/>
          <w:szCs w:val="28"/>
        </w:rPr>
        <w:t>Single Crystal analysis</w:t>
      </w:r>
      <w:bookmarkEnd w:id="24"/>
      <w:bookmarkEnd w:id="25"/>
    </w:p>
    <w:p w14:paraId="69C43CB1">
      <w:pPr>
        <w:ind w:firstLine="0" w:firstLineChars="0"/>
        <w:rPr>
          <w:rFonts w:cs="Times New Roman"/>
          <w:b w:val="0"/>
          <w:bCs/>
          <w:sz w:val="24"/>
          <w:szCs w:val="24"/>
        </w:rPr>
      </w:pPr>
      <w:r>
        <w:rPr>
          <w:rFonts w:cs="Times New Roman"/>
          <w:b w:val="0"/>
          <w:bCs/>
          <w:sz w:val="24"/>
          <w:szCs w:val="24"/>
        </w:rPr>
        <w:t>Table S1. The crystal structures of</w:t>
      </w:r>
      <w:r>
        <w:rPr>
          <w:rFonts w:cs="Times New Roman"/>
          <w:sz w:val="24"/>
          <w:szCs w:val="24"/>
        </w:rPr>
        <w:t xml:space="preserve"> K-CN</w:t>
      </w:r>
      <w:r>
        <w:rPr>
          <w:rFonts w:cs="Times New Roman"/>
          <w:b w:val="0"/>
          <w:bCs/>
          <w:sz w:val="24"/>
          <w:szCs w:val="24"/>
        </w:rPr>
        <w:t xml:space="preserve"> were determined by single-crystal X-ray diffraction (SCXRD) measurements</w:t>
      </w:r>
    </w:p>
    <w:tbl>
      <w:tblPr>
        <w:tblStyle w:val="8"/>
        <w:tblpPr w:leftFromText="180" w:rightFromText="180" w:vertAnchor="page" w:horzAnchor="margin" w:tblpY="227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26"/>
        <w:gridCol w:w="4396"/>
      </w:tblGrid>
      <w:tr w14:paraId="255DA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421" w:type="pct"/>
          </w:tcPr>
          <w:p w14:paraId="12ED63EE">
            <w:pPr>
              <w:ind w:firstLine="440"/>
              <w:jc w:val="center"/>
              <w:rPr>
                <w:rFonts w:eastAsia="微软雅黑" w:cs="Times New Roman"/>
                <w:b w:val="0"/>
                <w:bCs/>
              </w:rPr>
            </w:pPr>
            <w:r>
              <w:rPr>
                <w:rFonts w:eastAsia="微软雅黑" w:cs="Times New Roman"/>
                <w:b w:val="0"/>
                <w:bCs/>
              </w:rPr>
              <w:t>Identification code</w:t>
            </w:r>
          </w:p>
        </w:tc>
        <w:tc>
          <w:tcPr>
            <w:tcW w:w="2579" w:type="pct"/>
            <w:vAlign w:val="center"/>
          </w:tcPr>
          <w:p w14:paraId="381F571C">
            <w:pPr>
              <w:ind w:firstLine="440"/>
              <w:jc w:val="center"/>
              <w:rPr>
                <w:rFonts w:cs="Times New Roman"/>
                <w:b w:val="0"/>
                <w:bCs/>
              </w:rPr>
            </w:pPr>
            <w:r>
              <w:rPr>
                <w:rFonts w:eastAsia="微软雅黑" w:cs="Times New Roman"/>
                <w:b w:val="0"/>
                <w:bCs/>
              </w:rPr>
              <w:t>K-CN</w:t>
            </w:r>
          </w:p>
        </w:tc>
      </w:tr>
      <w:tr w14:paraId="634D9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421" w:type="pct"/>
          </w:tcPr>
          <w:p w14:paraId="152D6C25">
            <w:pPr>
              <w:ind w:firstLine="440"/>
              <w:jc w:val="center"/>
              <w:rPr>
                <w:rFonts w:cs="Times New Roman"/>
                <w:b w:val="0"/>
                <w:bCs/>
              </w:rPr>
            </w:pPr>
            <w:r>
              <w:rPr>
                <w:rFonts w:eastAsia="微软雅黑" w:cs="Times New Roman"/>
                <w:b w:val="0"/>
                <w:bCs/>
              </w:rPr>
              <w:t>Empirical formula</w:t>
            </w:r>
          </w:p>
        </w:tc>
        <w:tc>
          <w:tcPr>
            <w:tcW w:w="2579" w:type="pct"/>
            <w:vAlign w:val="center"/>
          </w:tcPr>
          <w:p w14:paraId="0A9A7A2C">
            <w:pPr>
              <w:ind w:firstLine="440"/>
              <w:jc w:val="center"/>
              <w:rPr>
                <w:rFonts w:cs="Times New Roman"/>
                <w:b w:val="0"/>
                <w:bCs/>
              </w:rPr>
            </w:pPr>
            <w:r>
              <w:rPr>
                <w:rFonts w:eastAsia="微软雅黑" w:cs="Times New Roman"/>
                <w:b w:val="0"/>
                <w:bCs/>
              </w:rPr>
              <w:t>C</w:t>
            </w:r>
            <w:r>
              <w:rPr>
                <w:rFonts w:eastAsia="微软雅黑" w:cs="Times New Roman"/>
                <w:b w:val="0"/>
                <w:bCs/>
                <w:vertAlign w:val="subscript"/>
              </w:rPr>
              <w:t>19</w:t>
            </w:r>
            <w:r>
              <w:rPr>
                <w:rFonts w:eastAsia="微软雅黑" w:cs="Times New Roman"/>
                <w:b w:val="0"/>
                <w:bCs/>
              </w:rPr>
              <w:t>H</w:t>
            </w:r>
            <w:r>
              <w:rPr>
                <w:rFonts w:eastAsia="微软雅黑" w:cs="Times New Roman"/>
                <w:b w:val="0"/>
                <w:bCs/>
                <w:vertAlign w:val="subscript"/>
              </w:rPr>
              <w:t>13</w:t>
            </w:r>
            <w:r>
              <w:rPr>
                <w:rFonts w:eastAsia="微软雅黑" w:cs="Times New Roman"/>
                <w:b w:val="0"/>
                <w:bCs/>
              </w:rPr>
              <w:t>N</w:t>
            </w:r>
            <w:r>
              <w:rPr>
                <w:rFonts w:eastAsia="微软雅黑" w:cs="Times New Roman"/>
                <w:b w:val="0"/>
                <w:bCs/>
                <w:vertAlign w:val="subscript"/>
              </w:rPr>
              <w:t>3</w:t>
            </w:r>
            <w:r>
              <w:rPr>
                <w:rFonts w:eastAsia="微软雅黑" w:cs="Times New Roman"/>
                <w:b w:val="0"/>
                <w:bCs/>
              </w:rPr>
              <w:t>O</w:t>
            </w:r>
          </w:p>
        </w:tc>
      </w:tr>
      <w:tr w14:paraId="087EC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421" w:type="pct"/>
          </w:tcPr>
          <w:p w14:paraId="33736B7B">
            <w:pPr>
              <w:ind w:firstLine="440"/>
              <w:jc w:val="center"/>
              <w:rPr>
                <w:rFonts w:cs="Times New Roman"/>
                <w:b w:val="0"/>
                <w:bCs/>
              </w:rPr>
            </w:pPr>
            <w:r>
              <w:rPr>
                <w:rFonts w:eastAsia="微软雅黑" w:cs="Times New Roman"/>
                <w:b w:val="0"/>
                <w:bCs/>
              </w:rPr>
              <w:t>Formula weight</w:t>
            </w:r>
          </w:p>
        </w:tc>
        <w:tc>
          <w:tcPr>
            <w:tcW w:w="2579" w:type="pct"/>
            <w:vAlign w:val="center"/>
          </w:tcPr>
          <w:p w14:paraId="6DEF1829">
            <w:pPr>
              <w:ind w:firstLine="440"/>
              <w:jc w:val="center"/>
              <w:rPr>
                <w:rFonts w:cs="Times New Roman"/>
                <w:b w:val="0"/>
                <w:bCs/>
              </w:rPr>
            </w:pPr>
            <w:r>
              <w:rPr>
                <w:rFonts w:eastAsia="微软雅黑" w:cs="Times New Roman"/>
                <w:b w:val="0"/>
                <w:bCs/>
              </w:rPr>
              <w:t>299.32</w:t>
            </w:r>
          </w:p>
        </w:tc>
      </w:tr>
      <w:tr w14:paraId="7CB47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421" w:type="pct"/>
          </w:tcPr>
          <w:p w14:paraId="035FB794">
            <w:pPr>
              <w:ind w:firstLine="440"/>
              <w:jc w:val="center"/>
              <w:rPr>
                <w:rFonts w:cs="Times New Roman"/>
                <w:b w:val="0"/>
                <w:bCs/>
              </w:rPr>
            </w:pPr>
            <w:r>
              <w:rPr>
                <w:rFonts w:eastAsia="微软雅黑" w:cs="Times New Roman"/>
                <w:b w:val="0"/>
                <w:bCs/>
              </w:rPr>
              <w:t>Temperature/K</w:t>
            </w:r>
          </w:p>
        </w:tc>
        <w:tc>
          <w:tcPr>
            <w:tcW w:w="2579" w:type="pct"/>
            <w:vAlign w:val="center"/>
          </w:tcPr>
          <w:p w14:paraId="0A125786">
            <w:pPr>
              <w:ind w:firstLine="440"/>
              <w:jc w:val="center"/>
              <w:rPr>
                <w:rFonts w:cs="Times New Roman"/>
                <w:b w:val="0"/>
                <w:bCs/>
              </w:rPr>
            </w:pPr>
            <w:r>
              <w:rPr>
                <w:rFonts w:eastAsia="微软雅黑" w:cs="Times New Roman"/>
                <w:b w:val="0"/>
                <w:bCs/>
              </w:rPr>
              <w:t>169.99(10)</w:t>
            </w:r>
          </w:p>
        </w:tc>
      </w:tr>
      <w:tr w14:paraId="119F4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421" w:type="pct"/>
          </w:tcPr>
          <w:p w14:paraId="3146B071">
            <w:pPr>
              <w:ind w:firstLine="440"/>
              <w:jc w:val="center"/>
              <w:rPr>
                <w:rFonts w:cs="Times New Roman"/>
                <w:b w:val="0"/>
                <w:bCs/>
              </w:rPr>
            </w:pPr>
            <w:r>
              <w:rPr>
                <w:rFonts w:eastAsia="微软雅黑" w:cs="Times New Roman"/>
                <w:b w:val="0"/>
                <w:bCs/>
              </w:rPr>
              <w:t>Crystal system</w:t>
            </w:r>
          </w:p>
        </w:tc>
        <w:tc>
          <w:tcPr>
            <w:tcW w:w="2579" w:type="pct"/>
            <w:vAlign w:val="center"/>
          </w:tcPr>
          <w:p w14:paraId="7FEBBC2F">
            <w:pPr>
              <w:ind w:firstLine="440"/>
              <w:jc w:val="center"/>
              <w:rPr>
                <w:rFonts w:cs="Times New Roman"/>
                <w:b w:val="0"/>
                <w:bCs/>
              </w:rPr>
            </w:pPr>
            <w:r>
              <w:rPr>
                <w:rFonts w:eastAsia="微软雅黑" w:cs="Times New Roman"/>
                <w:b w:val="0"/>
                <w:bCs/>
              </w:rPr>
              <w:t>triclinic</w:t>
            </w:r>
          </w:p>
        </w:tc>
      </w:tr>
      <w:tr w14:paraId="55DBD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421" w:type="pct"/>
          </w:tcPr>
          <w:p w14:paraId="279F3F3B">
            <w:pPr>
              <w:ind w:firstLine="440"/>
              <w:jc w:val="center"/>
              <w:rPr>
                <w:rFonts w:cs="Times New Roman"/>
                <w:b w:val="0"/>
                <w:bCs/>
              </w:rPr>
            </w:pPr>
            <w:r>
              <w:rPr>
                <w:rFonts w:eastAsia="微软雅黑" w:cs="Times New Roman"/>
                <w:b w:val="0"/>
                <w:bCs/>
              </w:rPr>
              <w:t>Space group</w:t>
            </w:r>
          </w:p>
        </w:tc>
        <w:tc>
          <w:tcPr>
            <w:tcW w:w="2579" w:type="pct"/>
            <w:vAlign w:val="center"/>
          </w:tcPr>
          <w:p w14:paraId="234980B8">
            <w:pPr>
              <w:ind w:firstLine="440"/>
              <w:jc w:val="center"/>
              <w:rPr>
                <w:rFonts w:cs="Times New Roman"/>
                <w:b w:val="0"/>
                <w:bCs/>
              </w:rPr>
            </w:pPr>
            <w:r>
              <w:rPr>
                <w:rFonts w:eastAsia="微软雅黑" w:cs="Times New Roman"/>
                <w:b w:val="0"/>
                <w:bCs/>
              </w:rPr>
              <w:t>P-1</w:t>
            </w:r>
          </w:p>
        </w:tc>
      </w:tr>
      <w:tr w14:paraId="03D2F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421" w:type="pct"/>
          </w:tcPr>
          <w:p w14:paraId="6D81B05F">
            <w:pPr>
              <w:ind w:firstLine="440"/>
              <w:jc w:val="center"/>
              <w:rPr>
                <w:rFonts w:cs="Times New Roman"/>
                <w:b w:val="0"/>
                <w:bCs/>
              </w:rPr>
            </w:pPr>
            <w:r>
              <w:rPr>
                <w:rFonts w:eastAsia="微软雅黑" w:cs="Times New Roman"/>
                <w:b w:val="0"/>
                <w:bCs/>
              </w:rPr>
              <w:t>a/Å</w:t>
            </w:r>
          </w:p>
        </w:tc>
        <w:tc>
          <w:tcPr>
            <w:tcW w:w="2579" w:type="pct"/>
            <w:vAlign w:val="center"/>
          </w:tcPr>
          <w:p w14:paraId="23580C0C">
            <w:pPr>
              <w:ind w:firstLine="440"/>
              <w:jc w:val="center"/>
              <w:rPr>
                <w:rFonts w:cs="Times New Roman"/>
                <w:b w:val="0"/>
                <w:bCs/>
              </w:rPr>
            </w:pPr>
            <w:r>
              <w:rPr>
                <w:rFonts w:eastAsia="微软雅黑" w:cs="Times New Roman"/>
                <w:b w:val="0"/>
                <w:bCs/>
              </w:rPr>
              <w:t>7.8000(5)</w:t>
            </w:r>
          </w:p>
        </w:tc>
      </w:tr>
      <w:tr w14:paraId="490BF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421" w:type="pct"/>
          </w:tcPr>
          <w:p w14:paraId="4EB24B19">
            <w:pPr>
              <w:ind w:firstLine="440"/>
              <w:jc w:val="center"/>
              <w:rPr>
                <w:rFonts w:cs="Times New Roman"/>
                <w:b w:val="0"/>
                <w:bCs/>
              </w:rPr>
            </w:pPr>
            <w:r>
              <w:rPr>
                <w:rFonts w:eastAsia="微软雅黑" w:cs="Times New Roman"/>
                <w:b w:val="0"/>
                <w:bCs/>
              </w:rPr>
              <w:t>b/Å</w:t>
            </w:r>
          </w:p>
        </w:tc>
        <w:tc>
          <w:tcPr>
            <w:tcW w:w="2579" w:type="pct"/>
            <w:vAlign w:val="center"/>
          </w:tcPr>
          <w:p w14:paraId="28F7E4A9">
            <w:pPr>
              <w:ind w:firstLine="440"/>
              <w:jc w:val="center"/>
              <w:rPr>
                <w:rFonts w:cs="Times New Roman"/>
                <w:b w:val="0"/>
                <w:bCs/>
              </w:rPr>
            </w:pPr>
            <w:r>
              <w:rPr>
                <w:rFonts w:eastAsia="微软雅黑" w:cs="Times New Roman"/>
                <w:b w:val="0"/>
                <w:bCs/>
              </w:rPr>
              <w:t>14.0790(12)</w:t>
            </w:r>
          </w:p>
        </w:tc>
      </w:tr>
      <w:tr w14:paraId="44DA8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421" w:type="pct"/>
          </w:tcPr>
          <w:p w14:paraId="6AACA295">
            <w:pPr>
              <w:ind w:firstLine="440"/>
              <w:jc w:val="center"/>
              <w:rPr>
                <w:rFonts w:cs="Times New Roman"/>
                <w:b w:val="0"/>
                <w:bCs/>
              </w:rPr>
            </w:pPr>
            <w:r>
              <w:rPr>
                <w:rFonts w:eastAsia="微软雅黑" w:cs="Times New Roman"/>
                <w:b w:val="0"/>
                <w:bCs/>
              </w:rPr>
              <w:t>c/Å</w:t>
            </w:r>
          </w:p>
        </w:tc>
        <w:tc>
          <w:tcPr>
            <w:tcW w:w="2579" w:type="pct"/>
            <w:vAlign w:val="center"/>
          </w:tcPr>
          <w:p w14:paraId="7BE615AD">
            <w:pPr>
              <w:ind w:firstLine="440"/>
              <w:jc w:val="center"/>
              <w:rPr>
                <w:rFonts w:cs="Times New Roman"/>
                <w:b w:val="0"/>
                <w:bCs/>
              </w:rPr>
            </w:pPr>
            <w:r>
              <w:rPr>
                <w:rFonts w:eastAsia="微软雅黑" w:cs="Times New Roman"/>
                <w:b w:val="0"/>
                <w:bCs/>
              </w:rPr>
              <w:t>14.1389(15)</w:t>
            </w:r>
          </w:p>
        </w:tc>
      </w:tr>
      <w:tr w14:paraId="3A95F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421" w:type="pct"/>
          </w:tcPr>
          <w:p w14:paraId="0FB098AA">
            <w:pPr>
              <w:ind w:firstLine="440"/>
              <w:jc w:val="center"/>
              <w:rPr>
                <w:rFonts w:cs="Times New Roman"/>
                <w:b w:val="0"/>
                <w:bCs/>
              </w:rPr>
            </w:pPr>
            <w:r>
              <w:rPr>
                <w:rFonts w:eastAsia="微软雅黑" w:cs="Times New Roman"/>
                <w:b w:val="0"/>
                <w:bCs/>
              </w:rPr>
              <w:t>α/°</w:t>
            </w:r>
          </w:p>
        </w:tc>
        <w:tc>
          <w:tcPr>
            <w:tcW w:w="2579" w:type="pct"/>
            <w:vAlign w:val="center"/>
          </w:tcPr>
          <w:p w14:paraId="04DD586D">
            <w:pPr>
              <w:ind w:firstLine="440"/>
              <w:jc w:val="center"/>
              <w:rPr>
                <w:rFonts w:cs="Times New Roman"/>
                <w:b w:val="0"/>
                <w:bCs/>
              </w:rPr>
            </w:pPr>
            <w:r>
              <w:rPr>
                <w:rFonts w:eastAsia="微软雅黑" w:cs="Times New Roman"/>
                <w:b w:val="0"/>
                <w:bCs/>
              </w:rPr>
              <w:t>96.097(8)</w:t>
            </w:r>
          </w:p>
        </w:tc>
      </w:tr>
      <w:tr w14:paraId="24DF3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421" w:type="pct"/>
          </w:tcPr>
          <w:p w14:paraId="262199AF">
            <w:pPr>
              <w:ind w:firstLine="440"/>
              <w:jc w:val="center"/>
              <w:rPr>
                <w:rFonts w:cs="Times New Roman"/>
                <w:b w:val="0"/>
                <w:bCs/>
              </w:rPr>
            </w:pPr>
            <w:r>
              <w:rPr>
                <w:rFonts w:eastAsia="微软雅黑" w:cs="Times New Roman"/>
                <w:b w:val="0"/>
                <w:bCs/>
              </w:rPr>
              <w:t>β/°</w:t>
            </w:r>
          </w:p>
        </w:tc>
        <w:tc>
          <w:tcPr>
            <w:tcW w:w="2579" w:type="pct"/>
            <w:vAlign w:val="center"/>
          </w:tcPr>
          <w:p w14:paraId="72118319">
            <w:pPr>
              <w:ind w:firstLine="440"/>
              <w:jc w:val="center"/>
              <w:rPr>
                <w:rFonts w:cs="Times New Roman"/>
                <w:b w:val="0"/>
                <w:bCs/>
              </w:rPr>
            </w:pPr>
            <w:r>
              <w:rPr>
                <w:rFonts w:eastAsia="微软雅黑" w:cs="Times New Roman"/>
                <w:b w:val="0"/>
                <w:bCs/>
              </w:rPr>
              <w:t>97.381(7)</w:t>
            </w:r>
          </w:p>
        </w:tc>
      </w:tr>
      <w:tr w14:paraId="28DE7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421" w:type="pct"/>
          </w:tcPr>
          <w:p w14:paraId="23240C8D">
            <w:pPr>
              <w:ind w:firstLine="440"/>
              <w:jc w:val="center"/>
              <w:rPr>
                <w:rFonts w:cs="Times New Roman"/>
                <w:b w:val="0"/>
                <w:bCs/>
              </w:rPr>
            </w:pPr>
            <w:r>
              <w:rPr>
                <w:rFonts w:eastAsia="微软雅黑" w:cs="Times New Roman"/>
                <w:b w:val="0"/>
                <w:bCs/>
              </w:rPr>
              <w:t>γ/°</w:t>
            </w:r>
          </w:p>
        </w:tc>
        <w:tc>
          <w:tcPr>
            <w:tcW w:w="2579" w:type="pct"/>
            <w:vAlign w:val="center"/>
          </w:tcPr>
          <w:p w14:paraId="390250B2">
            <w:pPr>
              <w:ind w:firstLine="440"/>
              <w:jc w:val="center"/>
              <w:rPr>
                <w:rFonts w:cs="Times New Roman"/>
                <w:b w:val="0"/>
                <w:bCs/>
              </w:rPr>
            </w:pPr>
            <w:r>
              <w:rPr>
                <w:rFonts w:eastAsia="微软雅黑" w:cs="Times New Roman"/>
                <w:b w:val="0"/>
                <w:bCs/>
              </w:rPr>
              <w:t>99.809(7)</w:t>
            </w:r>
          </w:p>
        </w:tc>
      </w:tr>
      <w:tr w14:paraId="52DD5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421" w:type="pct"/>
          </w:tcPr>
          <w:p w14:paraId="7A808FBA">
            <w:pPr>
              <w:ind w:firstLine="440"/>
              <w:jc w:val="center"/>
              <w:rPr>
                <w:rFonts w:cs="Times New Roman"/>
                <w:b w:val="0"/>
                <w:bCs/>
              </w:rPr>
            </w:pPr>
            <w:r>
              <w:rPr>
                <w:rFonts w:eastAsia="微软雅黑" w:cs="Times New Roman"/>
                <w:b w:val="0"/>
                <w:bCs/>
              </w:rPr>
              <w:t>Volume/Å</w:t>
            </w:r>
            <w:r>
              <w:rPr>
                <w:rFonts w:eastAsia="微软雅黑" w:cs="Times New Roman"/>
                <w:b w:val="0"/>
                <w:bCs/>
                <w:vertAlign w:val="superscript"/>
              </w:rPr>
              <w:t>3</w:t>
            </w:r>
          </w:p>
        </w:tc>
        <w:tc>
          <w:tcPr>
            <w:tcW w:w="2579" w:type="pct"/>
            <w:vAlign w:val="center"/>
          </w:tcPr>
          <w:p w14:paraId="3116CDAE">
            <w:pPr>
              <w:ind w:firstLine="440"/>
              <w:jc w:val="center"/>
              <w:rPr>
                <w:rFonts w:cs="Times New Roman"/>
                <w:b w:val="0"/>
                <w:bCs/>
              </w:rPr>
            </w:pPr>
            <w:r>
              <w:rPr>
                <w:rFonts w:eastAsia="微软雅黑" w:cs="Times New Roman"/>
                <w:b w:val="0"/>
                <w:bCs/>
              </w:rPr>
              <w:t>1504.2(2)</w:t>
            </w:r>
          </w:p>
        </w:tc>
      </w:tr>
      <w:tr w14:paraId="6F172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421" w:type="pct"/>
          </w:tcPr>
          <w:p w14:paraId="0F64F7A5">
            <w:pPr>
              <w:ind w:firstLine="440"/>
              <w:jc w:val="center"/>
              <w:rPr>
                <w:rFonts w:cs="Times New Roman"/>
                <w:b w:val="0"/>
                <w:bCs/>
              </w:rPr>
            </w:pPr>
            <w:r>
              <w:rPr>
                <w:rFonts w:eastAsia="微软雅黑" w:cs="Times New Roman"/>
                <w:b w:val="0"/>
                <w:bCs/>
              </w:rPr>
              <w:t>Z</w:t>
            </w:r>
          </w:p>
        </w:tc>
        <w:tc>
          <w:tcPr>
            <w:tcW w:w="2579" w:type="pct"/>
            <w:vAlign w:val="center"/>
          </w:tcPr>
          <w:p w14:paraId="2F7D2592">
            <w:pPr>
              <w:ind w:firstLine="440"/>
              <w:jc w:val="center"/>
              <w:rPr>
                <w:rFonts w:cs="Times New Roman"/>
                <w:b w:val="0"/>
                <w:bCs/>
              </w:rPr>
            </w:pPr>
            <w:r>
              <w:rPr>
                <w:rFonts w:eastAsia="微软雅黑" w:cs="Times New Roman"/>
                <w:b w:val="0"/>
                <w:bCs/>
              </w:rPr>
              <w:t>4</w:t>
            </w:r>
          </w:p>
        </w:tc>
      </w:tr>
      <w:tr w14:paraId="0FC84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421" w:type="pct"/>
          </w:tcPr>
          <w:p w14:paraId="6651900A">
            <w:pPr>
              <w:ind w:firstLine="440"/>
              <w:jc w:val="center"/>
              <w:rPr>
                <w:rFonts w:cs="Times New Roman"/>
                <w:b w:val="0"/>
                <w:bCs/>
              </w:rPr>
            </w:pPr>
            <w:r>
              <w:rPr>
                <w:rFonts w:eastAsia="微软雅黑" w:cs="Times New Roman"/>
                <w:b w:val="0"/>
                <w:bCs/>
              </w:rPr>
              <w:t>ρ</w:t>
            </w:r>
            <w:r>
              <w:rPr>
                <w:rFonts w:eastAsia="微软雅黑" w:cs="Times New Roman"/>
                <w:b w:val="0"/>
                <w:bCs/>
                <w:vertAlign w:val="subscript"/>
              </w:rPr>
              <w:t>calc</w:t>
            </w:r>
            <w:r>
              <w:rPr>
                <w:rFonts w:eastAsia="微软雅黑" w:cs="Times New Roman"/>
                <w:b w:val="0"/>
                <w:bCs/>
              </w:rPr>
              <w:t>g/cm</w:t>
            </w:r>
            <w:r>
              <w:rPr>
                <w:rFonts w:eastAsia="微软雅黑" w:cs="Times New Roman"/>
                <w:b w:val="0"/>
                <w:bCs/>
                <w:vertAlign w:val="superscript"/>
              </w:rPr>
              <w:t>3</w:t>
            </w:r>
          </w:p>
        </w:tc>
        <w:tc>
          <w:tcPr>
            <w:tcW w:w="2579" w:type="pct"/>
            <w:vAlign w:val="center"/>
          </w:tcPr>
          <w:p w14:paraId="620FB60F">
            <w:pPr>
              <w:ind w:firstLine="440"/>
              <w:jc w:val="center"/>
              <w:rPr>
                <w:rFonts w:cs="Times New Roman"/>
                <w:b w:val="0"/>
                <w:bCs/>
              </w:rPr>
            </w:pPr>
            <w:r>
              <w:rPr>
                <w:rFonts w:eastAsia="微软雅黑" w:cs="Times New Roman"/>
                <w:b w:val="0"/>
                <w:bCs/>
              </w:rPr>
              <w:t>1.322</w:t>
            </w:r>
          </w:p>
        </w:tc>
      </w:tr>
      <w:tr w14:paraId="197AA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421" w:type="pct"/>
          </w:tcPr>
          <w:p w14:paraId="10BB6F83">
            <w:pPr>
              <w:ind w:firstLine="440"/>
              <w:jc w:val="center"/>
              <w:rPr>
                <w:rFonts w:cs="Times New Roman"/>
                <w:b w:val="0"/>
                <w:bCs/>
              </w:rPr>
            </w:pPr>
            <w:r>
              <w:rPr>
                <w:rFonts w:eastAsia="微软雅黑" w:cs="Times New Roman"/>
                <w:b w:val="0"/>
                <w:bCs/>
              </w:rPr>
              <w:t>μ/mm</w:t>
            </w:r>
            <w:r>
              <w:rPr>
                <w:rFonts w:eastAsia="微软雅黑" w:cs="Times New Roman"/>
                <w:b w:val="0"/>
                <w:bCs/>
                <w:vertAlign w:val="superscript"/>
              </w:rPr>
              <w:noBreakHyphen/>
            </w:r>
            <w:r>
              <w:rPr>
                <w:rFonts w:eastAsia="微软雅黑" w:cs="Times New Roman"/>
                <w:b w:val="0"/>
                <w:bCs/>
                <w:vertAlign w:val="superscript"/>
              </w:rPr>
              <w:t>1</w:t>
            </w:r>
          </w:p>
        </w:tc>
        <w:tc>
          <w:tcPr>
            <w:tcW w:w="2579" w:type="pct"/>
            <w:vAlign w:val="center"/>
          </w:tcPr>
          <w:p w14:paraId="01B1B508">
            <w:pPr>
              <w:ind w:firstLine="440"/>
              <w:jc w:val="center"/>
              <w:rPr>
                <w:rFonts w:cs="Times New Roman"/>
                <w:b w:val="0"/>
                <w:bCs/>
              </w:rPr>
            </w:pPr>
            <w:r>
              <w:rPr>
                <w:rFonts w:eastAsia="微软雅黑" w:cs="Times New Roman"/>
                <w:b w:val="0"/>
                <w:bCs/>
              </w:rPr>
              <w:t>0.085</w:t>
            </w:r>
          </w:p>
        </w:tc>
      </w:tr>
      <w:tr w14:paraId="1DC15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421" w:type="pct"/>
          </w:tcPr>
          <w:p w14:paraId="12AA9E50">
            <w:pPr>
              <w:ind w:firstLine="440"/>
              <w:jc w:val="center"/>
              <w:rPr>
                <w:rFonts w:cs="Times New Roman"/>
                <w:b w:val="0"/>
                <w:bCs/>
              </w:rPr>
            </w:pPr>
            <w:r>
              <w:rPr>
                <w:rFonts w:eastAsia="微软雅黑" w:cs="Times New Roman"/>
                <w:b w:val="0"/>
                <w:bCs/>
              </w:rPr>
              <w:t>F(000)</w:t>
            </w:r>
          </w:p>
        </w:tc>
        <w:tc>
          <w:tcPr>
            <w:tcW w:w="2579" w:type="pct"/>
            <w:vAlign w:val="center"/>
          </w:tcPr>
          <w:p w14:paraId="36881604">
            <w:pPr>
              <w:ind w:firstLine="440"/>
              <w:jc w:val="center"/>
              <w:rPr>
                <w:rFonts w:cs="Times New Roman"/>
                <w:b w:val="0"/>
                <w:bCs/>
              </w:rPr>
            </w:pPr>
            <w:r>
              <w:rPr>
                <w:rFonts w:eastAsia="微软雅黑" w:cs="Times New Roman"/>
                <w:b w:val="0"/>
                <w:bCs/>
              </w:rPr>
              <w:t>624.0</w:t>
            </w:r>
          </w:p>
        </w:tc>
      </w:tr>
      <w:tr w14:paraId="3E5A5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421" w:type="pct"/>
          </w:tcPr>
          <w:p w14:paraId="1E5B3BFE">
            <w:pPr>
              <w:ind w:firstLine="440"/>
              <w:jc w:val="center"/>
              <w:rPr>
                <w:rFonts w:cs="Times New Roman"/>
                <w:b w:val="0"/>
                <w:bCs/>
              </w:rPr>
            </w:pPr>
            <w:r>
              <w:rPr>
                <w:rFonts w:eastAsia="微软雅黑" w:cs="Times New Roman"/>
                <w:b w:val="0"/>
                <w:bCs/>
              </w:rPr>
              <w:t>Crystal size/mm</w:t>
            </w:r>
            <w:r>
              <w:rPr>
                <w:rFonts w:eastAsia="微软雅黑" w:cs="Times New Roman"/>
                <w:b w:val="0"/>
                <w:bCs/>
                <w:vertAlign w:val="superscript"/>
              </w:rPr>
              <w:t>3</w:t>
            </w:r>
          </w:p>
        </w:tc>
        <w:tc>
          <w:tcPr>
            <w:tcW w:w="2579" w:type="pct"/>
            <w:vAlign w:val="center"/>
          </w:tcPr>
          <w:p w14:paraId="2D194AE1">
            <w:pPr>
              <w:ind w:firstLine="0" w:firstLineChars="0"/>
              <w:jc w:val="center"/>
              <w:rPr>
                <w:rFonts w:cs="Times New Roman"/>
                <w:b w:val="0"/>
                <w:bCs/>
              </w:rPr>
            </w:pPr>
            <w:r>
              <w:rPr>
                <w:rFonts w:eastAsia="微软雅黑" w:cs="Times New Roman"/>
                <w:b w:val="0"/>
                <w:bCs/>
              </w:rPr>
              <w:t>0.14 × 0.13 × 0.11</w:t>
            </w:r>
          </w:p>
        </w:tc>
      </w:tr>
      <w:tr w14:paraId="23A0E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421" w:type="pct"/>
            <w:vAlign w:val="center"/>
          </w:tcPr>
          <w:p w14:paraId="2AE6566B">
            <w:pPr>
              <w:ind w:firstLine="440"/>
              <w:jc w:val="center"/>
              <w:rPr>
                <w:rFonts w:eastAsia="微软雅黑" w:cs="Times New Roman"/>
                <w:b w:val="0"/>
                <w:bCs/>
              </w:rPr>
            </w:pPr>
            <w:r>
              <w:rPr>
                <w:rFonts w:eastAsia="微软雅黑" w:cs="Times New Roman"/>
                <w:b w:val="0"/>
                <w:bCs/>
              </w:rPr>
              <w:t>adiation</w:t>
            </w:r>
          </w:p>
        </w:tc>
        <w:tc>
          <w:tcPr>
            <w:tcW w:w="2579" w:type="pct"/>
            <w:vAlign w:val="center"/>
          </w:tcPr>
          <w:p w14:paraId="618E1AA4">
            <w:pPr>
              <w:ind w:firstLine="0" w:firstLineChars="0"/>
              <w:jc w:val="center"/>
              <w:rPr>
                <w:rFonts w:cs="Times New Roman"/>
                <w:b w:val="0"/>
                <w:bCs/>
              </w:rPr>
            </w:pPr>
            <w:r>
              <w:rPr>
                <w:rFonts w:eastAsia="微软雅黑" w:cs="Times New Roman"/>
                <w:b w:val="0"/>
                <w:bCs/>
              </w:rPr>
              <w:t>Mo Kα (λ = 0.71073)</w:t>
            </w:r>
          </w:p>
        </w:tc>
      </w:tr>
      <w:tr w14:paraId="5D621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421" w:type="pct"/>
            <w:vAlign w:val="center"/>
          </w:tcPr>
          <w:p w14:paraId="6E1518A0">
            <w:pPr>
              <w:ind w:firstLine="440"/>
              <w:jc w:val="center"/>
              <w:rPr>
                <w:rFonts w:eastAsia="微软雅黑" w:cs="Times New Roman"/>
                <w:b w:val="0"/>
                <w:bCs/>
              </w:rPr>
            </w:pPr>
            <w:r>
              <w:rPr>
                <w:rFonts w:eastAsia="微软雅黑" w:cs="Times New Roman"/>
                <w:b w:val="0"/>
                <w:bCs/>
              </w:rPr>
              <w:t>2Θ range for data collection/°</w:t>
            </w:r>
          </w:p>
        </w:tc>
        <w:tc>
          <w:tcPr>
            <w:tcW w:w="2579" w:type="pct"/>
            <w:vAlign w:val="center"/>
          </w:tcPr>
          <w:p w14:paraId="3A5EAEBB">
            <w:pPr>
              <w:ind w:firstLine="198" w:firstLineChars="90"/>
              <w:jc w:val="center"/>
              <w:rPr>
                <w:rFonts w:cs="Times New Roman"/>
                <w:b w:val="0"/>
                <w:bCs/>
              </w:rPr>
            </w:pPr>
            <w:r>
              <w:rPr>
                <w:rFonts w:eastAsia="微软雅黑" w:cs="Times New Roman"/>
                <w:b w:val="0"/>
                <w:bCs/>
              </w:rPr>
              <w:t>4.43 to 58.67</w:t>
            </w:r>
          </w:p>
        </w:tc>
      </w:tr>
      <w:tr w14:paraId="7B079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421" w:type="pct"/>
            <w:vAlign w:val="center"/>
          </w:tcPr>
          <w:p w14:paraId="175199F3">
            <w:pPr>
              <w:ind w:firstLine="440"/>
              <w:jc w:val="center"/>
              <w:rPr>
                <w:rFonts w:eastAsia="微软雅黑" w:cs="Times New Roman"/>
                <w:b w:val="0"/>
                <w:bCs/>
              </w:rPr>
            </w:pPr>
            <w:r>
              <w:rPr>
                <w:rFonts w:eastAsia="微软雅黑" w:cs="Times New Roman"/>
                <w:b w:val="0"/>
                <w:bCs/>
              </w:rPr>
              <w:t>Index ranges</w:t>
            </w:r>
          </w:p>
        </w:tc>
        <w:tc>
          <w:tcPr>
            <w:tcW w:w="2579" w:type="pct"/>
            <w:vAlign w:val="center"/>
          </w:tcPr>
          <w:p w14:paraId="308BB766">
            <w:pPr>
              <w:ind w:firstLine="0" w:firstLineChars="0"/>
              <w:jc w:val="center"/>
              <w:rPr>
                <w:rFonts w:cs="Times New Roman"/>
                <w:b w:val="0"/>
                <w:bCs/>
              </w:rPr>
            </w:pPr>
            <w:r>
              <w:rPr>
                <w:rFonts w:eastAsia="微软雅黑" w:cs="Times New Roman"/>
                <w:b w:val="0"/>
                <w:bCs/>
              </w:rPr>
              <w:t>-10 ≤ h ≤ 10, -18 ≤ k ≤ 19, -18 ≤ l ≤ 11</w:t>
            </w:r>
          </w:p>
        </w:tc>
      </w:tr>
      <w:tr w14:paraId="62E3E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421" w:type="pct"/>
            <w:vAlign w:val="center"/>
          </w:tcPr>
          <w:p w14:paraId="6E8908A1">
            <w:pPr>
              <w:ind w:firstLine="440"/>
              <w:jc w:val="center"/>
              <w:rPr>
                <w:rFonts w:eastAsia="微软雅黑" w:cs="Times New Roman"/>
                <w:b w:val="0"/>
                <w:bCs/>
              </w:rPr>
            </w:pPr>
            <w:r>
              <w:rPr>
                <w:rFonts w:eastAsia="微软雅黑" w:cs="Times New Roman"/>
                <w:b w:val="0"/>
                <w:bCs/>
              </w:rPr>
              <w:t>Reflections collected</w:t>
            </w:r>
          </w:p>
        </w:tc>
        <w:tc>
          <w:tcPr>
            <w:tcW w:w="2579" w:type="pct"/>
            <w:vAlign w:val="center"/>
          </w:tcPr>
          <w:p w14:paraId="1A1CEE05">
            <w:pPr>
              <w:ind w:firstLine="440"/>
              <w:jc w:val="center"/>
              <w:rPr>
                <w:rFonts w:cs="Times New Roman"/>
                <w:b w:val="0"/>
                <w:bCs/>
              </w:rPr>
            </w:pPr>
            <w:r>
              <w:rPr>
                <w:rFonts w:eastAsia="微软雅黑" w:cs="Times New Roman"/>
                <w:b w:val="0"/>
                <w:bCs/>
              </w:rPr>
              <w:t>11569</w:t>
            </w:r>
          </w:p>
        </w:tc>
      </w:tr>
      <w:tr w14:paraId="0E58C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421" w:type="pct"/>
            <w:vAlign w:val="center"/>
          </w:tcPr>
          <w:p w14:paraId="5D31ABA4">
            <w:pPr>
              <w:ind w:firstLine="440"/>
              <w:jc w:val="center"/>
              <w:rPr>
                <w:rFonts w:eastAsia="微软雅黑" w:cs="Times New Roman"/>
                <w:b w:val="0"/>
                <w:bCs/>
              </w:rPr>
            </w:pPr>
            <w:r>
              <w:rPr>
                <w:rFonts w:eastAsia="微软雅黑" w:cs="Times New Roman"/>
                <w:b w:val="0"/>
                <w:bCs/>
              </w:rPr>
              <w:t>Independent</w:t>
            </w:r>
          </w:p>
          <w:p w14:paraId="559290C3">
            <w:pPr>
              <w:ind w:firstLine="440"/>
              <w:jc w:val="center"/>
              <w:rPr>
                <w:rFonts w:eastAsia="微软雅黑" w:cs="Times New Roman"/>
                <w:b w:val="0"/>
                <w:bCs/>
              </w:rPr>
            </w:pPr>
            <w:r>
              <w:rPr>
                <w:rFonts w:eastAsia="微软雅黑" w:cs="Times New Roman"/>
                <w:b w:val="0"/>
                <w:bCs/>
              </w:rPr>
              <w:t>reflections</w:t>
            </w:r>
          </w:p>
        </w:tc>
        <w:tc>
          <w:tcPr>
            <w:tcW w:w="2579" w:type="pct"/>
            <w:vAlign w:val="center"/>
          </w:tcPr>
          <w:p w14:paraId="72C86F0A">
            <w:pPr>
              <w:ind w:firstLine="0" w:firstLineChars="0"/>
              <w:jc w:val="center"/>
              <w:rPr>
                <w:rFonts w:cs="Times New Roman"/>
                <w:b w:val="0"/>
                <w:bCs/>
              </w:rPr>
            </w:pPr>
            <w:r>
              <w:rPr>
                <w:rFonts w:eastAsia="微软雅黑" w:cs="Times New Roman"/>
                <w:b w:val="0"/>
                <w:bCs/>
              </w:rPr>
              <w:t>6872 [R</w:t>
            </w:r>
            <w:r>
              <w:rPr>
                <w:rFonts w:eastAsia="微软雅黑" w:cs="Times New Roman"/>
                <w:b w:val="0"/>
                <w:bCs/>
                <w:vertAlign w:val="subscript"/>
              </w:rPr>
              <w:t>int</w:t>
            </w:r>
            <w:r>
              <w:rPr>
                <w:rFonts w:eastAsia="微软雅黑" w:cs="Times New Roman"/>
                <w:b w:val="0"/>
                <w:bCs/>
              </w:rPr>
              <w:t xml:space="preserve"> = 0.0238, R</w:t>
            </w:r>
            <w:r>
              <w:rPr>
                <w:rFonts w:eastAsia="微软雅黑" w:cs="Times New Roman"/>
                <w:b w:val="0"/>
                <w:bCs/>
                <w:vertAlign w:val="subscript"/>
              </w:rPr>
              <w:t>sigma</w:t>
            </w:r>
            <w:r>
              <w:rPr>
                <w:rFonts w:eastAsia="微软雅黑" w:cs="Times New Roman"/>
                <w:b w:val="0"/>
                <w:bCs/>
              </w:rPr>
              <w:t xml:space="preserve"> = 0.0473]</w:t>
            </w:r>
          </w:p>
        </w:tc>
      </w:tr>
      <w:tr w14:paraId="26521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421" w:type="pct"/>
            <w:vAlign w:val="center"/>
          </w:tcPr>
          <w:p w14:paraId="7F38BD86">
            <w:pPr>
              <w:ind w:firstLine="440"/>
              <w:jc w:val="center"/>
              <w:rPr>
                <w:rFonts w:eastAsia="微软雅黑" w:cs="Times New Roman"/>
                <w:b w:val="0"/>
                <w:bCs/>
              </w:rPr>
            </w:pPr>
            <w:r>
              <w:rPr>
                <w:rFonts w:eastAsia="微软雅黑" w:cs="Times New Roman"/>
                <w:b w:val="0"/>
                <w:bCs/>
              </w:rPr>
              <w:t>Data/restraints/parameters</w:t>
            </w:r>
          </w:p>
        </w:tc>
        <w:tc>
          <w:tcPr>
            <w:tcW w:w="2579" w:type="pct"/>
            <w:vAlign w:val="center"/>
          </w:tcPr>
          <w:p w14:paraId="3ECBAA53">
            <w:pPr>
              <w:ind w:firstLine="440"/>
              <w:jc w:val="center"/>
              <w:rPr>
                <w:rFonts w:cs="Times New Roman"/>
                <w:b w:val="0"/>
                <w:bCs/>
              </w:rPr>
            </w:pPr>
            <w:r>
              <w:rPr>
                <w:rFonts w:eastAsia="微软雅黑" w:cs="Times New Roman"/>
                <w:b w:val="0"/>
                <w:bCs/>
              </w:rPr>
              <w:t>6872/0/418</w:t>
            </w:r>
          </w:p>
        </w:tc>
      </w:tr>
      <w:tr w14:paraId="7FED4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421" w:type="pct"/>
            <w:vAlign w:val="center"/>
          </w:tcPr>
          <w:p w14:paraId="36D64799">
            <w:pPr>
              <w:ind w:firstLine="440"/>
              <w:jc w:val="center"/>
              <w:rPr>
                <w:rFonts w:eastAsia="微软雅黑" w:cs="Times New Roman"/>
                <w:b w:val="0"/>
                <w:bCs/>
              </w:rPr>
            </w:pPr>
            <w:r>
              <w:rPr>
                <w:rFonts w:eastAsia="微软雅黑" w:cs="Times New Roman"/>
                <w:b w:val="0"/>
                <w:bCs/>
              </w:rPr>
              <w:t>Goodness-of-fit on F</w:t>
            </w:r>
            <w:r>
              <w:rPr>
                <w:rFonts w:eastAsia="微软雅黑" w:cs="Times New Roman"/>
                <w:b w:val="0"/>
                <w:bCs/>
                <w:vertAlign w:val="superscript"/>
              </w:rPr>
              <w:t>2</w:t>
            </w:r>
          </w:p>
        </w:tc>
        <w:tc>
          <w:tcPr>
            <w:tcW w:w="2579" w:type="pct"/>
            <w:vAlign w:val="center"/>
          </w:tcPr>
          <w:p w14:paraId="55858FDF">
            <w:pPr>
              <w:ind w:firstLine="440"/>
              <w:jc w:val="center"/>
              <w:rPr>
                <w:rFonts w:cs="Times New Roman"/>
                <w:b w:val="0"/>
                <w:bCs/>
              </w:rPr>
            </w:pPr>
            <w:r>
              <w:rPr>
                <w:rFonts w:eastAsia="微软雅黑" w:cs="Times New Roman"/>
                <w:b w:val="0"/>
                <w:bCs/>
              </w:rPr>
              <w:t>1.011</w:t>
            </w:r>
          </w:p>
        </w:tc>
      </w:tr>
      <w:tr w14:paraId="597CD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421" w:type="pct"/>
            <w:vAlign w:val="center"/>
          </w:tcPr>
          <w:p w14:paraId="4E082F63">
            <w:pPr>
              <w:ind w:firstLine="440"/>
              <w:jc w:val="center"/>
              <w:rPr>
                <w:rFonts w:eastAsia="微软雅黑" w:cs="Times New Roman"/>
                <w:b w:val="0"/>
                <w:bCs/>
              </w:rPr>
            </w:pPr>
            <w:r>
              <w:rPr>
                <w:rFonts w:eastAsia="微软雅黑" w:cs="Times New Roman"/>
                <w:b w:val="0"/>
                <w:bCs/>
              </w:rPr>
              <w:t>Final R indexes</w:t>
            </w:r>
          </w:p>
          <w:p w14:paraId="2B0ED0E4">
            <w:pPr>
              <w:ind w:firstLine="440"/>
              <w:jc w:val="center"/>
              <w:rPr>
                <w:rFonts w:eastAsia="微软雅黑" w:cs="Times New Roman"/>
                <w:b w:val="0"/>
                <w:bCs/>
              </w:rPr>
            </w:pPr>
            <w:r>
              <w:rPr>
                <w:rFonts w:eastAsia="微软雅黑" w:cs="Times New Roman"/>
                <w:b w:val="0"/>
                <w:bCs/>
              </w:rPr>
              <w:t>[I&gt;=2σ (I)]</w:t>
            </w:r>
          </w:p>
        </w:tc>
        <w:tc>
          <w:tcPr>
            <w:tcW w:w="2579" w:type="pct"/>
            <w:vAlign w:val="center"/>
          </w:tcPr>
          <w:p w14:paraId="72709231">
            <w:pPr>
              <w:ind w:firstLine="0" w:firstLineChars="0"/>
              <w:jc w:val="center"/>
              <w:rPr>
                <w:rFonts w:eastAsia="微软雅黑" w:cs="Times New Roman"/>
                <w:b w:val="0"/>
                <w:bCs/>
              </w:rPr>
            </w:pPr>
            <w:r>
              <w:rPr>
                <w:rFonts w:eastAsia="微软雅黑" w:cs="Times New Roman"/>
                <w:b w:val="0"/>
                <w:bCs/>
              </w:rPr>
              <w:t>R</w:t>
            </w:r>
            <w:r>
              <w:rPr>
                <w:rFonts w:eastAsia="微软雅黑" w:cs="Times New Roman"/>
                <w:b w:val="0"/>
                <w:bCs/>
                <w:vertAlign w:val="subscript"/>
              </w:rPr>
              <w:t>1</w:t>
            </w:r>
            <w:r>
              <w:rPr>
                <w:rFonts w:eastAsia="微软雅黑" w:cs="Times New Roman"/>
                <w:b w:val="0"/>
                <w:bCs/>
              </w:rPr>
              <w:t xml:space="preserve"> = 0.0494,</w:t>
            </w:r>
          </w:p>
          <w:p w14:paraId="63A55A0F">
            <w:pPr>
              <w:ind w:firstLine="0" w:firstLineChars="0"/>
              <w:jc w:val="center"/>
              <w:rPr>
                <w:rFonts w:cs="Times New Roman"/>
                <w:b w:val="0"/>
                <w:bCs/>
              </w:rPr>
            </w:pPr>
            <w:r>
              <w:rPr>
                <w:rFonts w:eastAsia="微软雅黑" w:cs="Times New Roman"/>
                <w:b w:val="0"/>
                <w:bCs/>
              </w:rPr>
              <w:t>wR</w:t>
            </w:r>
            <w:r>
              <w:rPr>
                <w:rFonts w:eastAsia="微软雅黑" w:cs="Times New Roman"/>
                <w:b w:val="0"/>
                <w:bCs/>
                <w:vertAlign w:val="subscript"/>
              </w:rPr>
              <w:t>2</w:t>
            </w:r>
            <w:r>
              <w:rPr>
                <w:rFonts w:eastAsia="微软雅黑" w:cs="Times New Roman"/>
                <w:b w:val="0"/>
                <w:bCs/>
              </w:rPr>
              <w:t xml:space="preserve"> = 0.1049</w:t>
            </w:r>
          </w:p>
        </w:tc>
      </w:tr>
      <w:tr w14:paraId="4EEE1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421" w:type="pct"/>
            <w:vAlign w:val="center"/>
          </w:tcPr>
          <w:p w14:paraId="26A3441F">
            <w:pPr>
              <w:ind w:firstLine="440"/>
              <w:jc w:val="center"/>
              <w:rPr>
                <w:rFonts w:eastAsia="微软雅黑" w:cs="Times New Roman"/>
                <w:b w:val="0"/>
                <w:bCs/>
              </w:rPr>
            </w:pPr>
            <w:r>
              <w:rPr>
                <w:rFonts w:eastAsia="微软雅黑" w:cs="Times New Roman"/>
                <w:b w:val="0"/>
                <w:bCs/>
              </w:rPr>
              <w:t>Final R indexes</w:t>
            </w:r>
          </w:p>
          <w:p w14:paraId="60792204">
            <w:pPr>
              <w:ind w:firstLine="440"/>
              <w:jc w:val="center"/>
              <w:rPr>
                <w:rFonts w:eastAsia="微软雅黑" w:cs="Times New Roman"/>
                <w:b w:val="0"/>
                <w:bCs/>
              </w:rPr>
            </w:pPr>
            <w:r>
              <w:rPr>
                <w:rFonts w:eastAsia="微软雅黑" w:cs="Times New Roman"/>
                <w:b w:val="0"/>
                <w:bCs/>
              </w:rPr>
              <w:t>[all data]</w:t>
            </w:r>
          </w:p>
        </w:tc>
        <w:tc>
          <w:tcPr>
            <w:tcW w:w="2579" w:type="pct"/>
            <w:vAlign w:val="center"/>
          </w:tcPr>
          <w:p w14:paraId="221ADB9B">
            <w:pPr>
              <w:ind w:firstLine="0" w:firstLineChars="0"/>
              <w:jc w:val="center"/>
              <w:rPr>
                <w:rFonts w:eastAsia="微软雅黑" w:cs="Times New Roman"/>
                <w:b w:val="0"/>
                <w:bCs/>
              </w:rPr>
            </w:pPr>
            <w:r>
              <w:rPr>
                <w:rFonts w:eastAsia="微软雅黑" w:cs="Times New Roman"/>
                <w:b w:val="0"/>
                <w:bCs/>
              </w:rPr>
              <w:t>R</w:t>
            </w:r>
            <w:r>
              <w:rPr>
                <w:rFonts w:eastAsia="微软雅黑" w:cs="Times New Roman"/>
                <w:b w:val="0"/>
                <w:bCs/>
                <w:vertAlign w:val="subscript"/>
              </w:rPr>
              <w:t>1</w:t>
            </w:r>
            <w:r>
              <w:rPr>
                <w:rFonts w:eastAsia="微软雅黑" w:cs="Times New Roman"/>
                <w:b w:val="0"/>
                <w:bCs/>
              </w:rPr>
              <w:t xml:space="preserve"> = 0.0655,</w:t>
            </w:r>
          </w:p>
          <w:p w14:paraId="7B678F37">
            <w:pPr>
              <w:ind w:firstLine="0" w:firstLineChars="0"/>
              <w:jc w:val="center"/>
              <w:rPr>
                <w:rFonts w:cs="Times New Roman"/>
                <w:b w:val="0"/>
                <w:bCs/>
              </w:rPr>
            </w:pPr>
            <w:r>
              <w:rPr>
                <w:rFonts w:eastAsia="微软雅黑" w:cs="Times New Roman"/>
                <w:b w:val="0"/>
                <w:bCs/>
              </w:rPr>
              <w:t>wR</w:t>
            </w:r>
            <w:r>
              <w:rPr>
                <w:rFonts w:eastAsia="微软雅黑" w:cs="Times New Roman"/>
                <w:b w:val="0"/>
                <w:bCs/>
                <w:vertAlign w:val="subscript"/>
              </w:rPr>
              <w:t>2</w:t>
            </w:r>
            <w:r>
              <w:rPr>
                <w:rFonts w:eastAsia="微软雅黑" w:cs="Times New Roman"/>
                <w:b w:val="0"/>
                <w:bCs/>
              </w:rPr>
              <w:t xml:space="preserve"> = 0.1161</w:t>
            </w:r>
          </w:p>
        </w:tc>
      </w:tr>
      <w:tr w14:paraId="07B06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421" w:type="pct"/>
            <w:vAlign w:val="center"/>
          </w:tcPr>
          <w:p w14:paraId="1FD6ACCC">
            <w:pPr>
              <w:ind w:firstLine="440"/>
              <w:jc w:val="center"/>
              <w:rPr>
                <w:rFonts w:eastAsia="微软雅黑" w:cs="Times New Roman"/>
                <w:b w:val="0"/>
                <w:bCs/>
              </w:rPr>
            </w:pPr>
            <w:r>
              <w:rPr>
                <w:rFonts w:eastAsia="微软雅黑" w:cs="Times New Roman"/>
                <w:b w:val="0"/>
                <w:bCs/>
              </w:rPr>
              <w:t>Largest diff. peak/hole</w:t>
            </w:r>
          </w:p>
          <w:p w14:paraId="09AFC569">
            <w:pPr>
              <w:ind w:firstLine="440"/>
              <w:jc w:val="center"/>
              <w:rPr>
                <w:rFonts w:eastAsia="微软雅黑" w:cs="Times New Roman"/>
                <w:b w:val="0"/>
                <w:bCs/>
              </w:rPr>
            </w:pPr>
            <w:r>
              <w:rPr>
                <w:rFonts w:eastAsia="微软雅黑" w:cs="Times New Roman"/>
                <w:b w:val="0"/>
                <w:bCs/>
              </w:rPr>
              <w:t>/ e Å</w:t>
            </w:r>
            <w:r>
              <w:rPr>
                <w:rFonts w:eastAsia="微软雅黑" w:cs="Times New Roman"/>
                <w:b w:val="0"/>
                <w:bCs/>
                <w:vertAlign w:val="superscript"/>
              </w:rPr>
              <w:t>-3</w:t>
            </w:r>
          </w:p>
        </w:tc>
        <w:tc>
          <w:tcPr>
            <w:tcW w:w="2579" w:type="pct"/>
            <w:vAlign w:val="center"/>
          </w:tcPr>
          <w:p w14:paraId="37350292">
            <w:pPr>
              <w:ind w:firstLine="440"/>
              <w:jc w:val="center"/>
              <w:rPr>
                <w:rFonts w:cs="Times New Roman"/>
                <w:b w:val="0"/>
                <w:bCs/>
              </w:rPr>
            </w:pPr>
            <w:r>
              <w:rPr>
                <w:rFonts w:eastAsia="微软雅黑" w:cs="Times New Roman"/>
                <w:b w:val="0"/>
                <w:bCs/>
              </w:rPr>
              <w:t>0.25/-0.21</w:t>
            </w:r>
          </w:p>
        </w:tc>
      </w:tr>
      <w:tr w14:paraId="01770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421" w:type="pct"/>
            <w:vAlign w:val="center"/>
          </w:tcPr>
          <w:p w14:paraId="5B119F70">
            <w:pPr>
              <w:ind w:firstLine="440"/>
              <w:jc w:val="center"/>
              <w:rPr>
                <w:rFonts w:eastAsia="微软雅黑" w:cs="Times New Roman"/>
                <w:b w:val="0"/>
                <w:bCs/>
              </w:rPr>
            </w:pPr>
            <w:r>
              <w:rPr>
                <w:rFonts w:eastAsia="微软雅黑" w:cs="Times New Roman"/>
                <w:b w:val="0"/>
                <w:bCs/>
              </w:rPr>
              <w:t>CCDC</w:t>
            </w:r>
          </w:p>
        </w:tc>
        <w:tc>
          <w:tcPr>
            <w:tcW w:w="2579" w:type="pct"/>
            <w:vAlign w:val="center"/>
          </w:tcPr>
          <w:p w14:paraId="4E1E74E3">
            <w:pPr>
              <w:ind w:firstLine="440"/>
              <w:jc w:val="center"/>
              <w:rPr>
                <w:rFonts w:eastAsia="微软雅黑" w:cs="Times New Roman"/>
                <w:b w:val="0"/>
                <w:bCs/>
              </w:rPr>
            </w:pPr>
            <w:r>
              <w:rPr>
                <w:rFonts w:eastAsia="微软雅黑" w:cs="Times New Roman"/>
                <w:b w:val="0"/>
                <w:bCs/>
              </w:rPr>
              <w:t>2522423</w:t>
            </w:r>
          </w:p>
        </w:tc>
      </w:tr>
    </w:tbl>
    <w:p w14:paraId="56865946">
      <w:pPr>
        <w:pStyle w:val="3"/>
        <w:ind w:firstLine="0" w:firstLineChars="0"/>
        <w:rPr>
          <w:rStyle w:val="14"/>
          <w:rFonts w:ascii="Times New Roman" w:hAnsi="Times New Roman"/>
          <w:b w:val="0"/>
          <w:bCs/>
          <w:sz w:val="28"/>
          <w:szCs w:val="28"/>
        </w:rPr>
      </w:pPr>
      <w:bookmarkStart w:id="36" w:name="_GoBack"/>
      <w:bookmarkEnd w:id="36"/>
      <w:bookmarkStart w:id="26" w:name="_Toc219315592"/>
      <w:r>
        <w:rPr>
          <w:rStyle w:val="14"/>
          <w:rFonts w:hint="eastAsia" w:ascii="Times New Roman" w:hAnsi="Times New Roman"/>
          <w:b w:val="0"/>
          <w:bCs/>
          <w:sz w:val="28"/>
          <w:szCs w:val="28"/>
        </w:rPr>
        <w:t>6</w:t>
      </w:r>
      <w:r>
        <w:rPr>
          <w:rStyle w:val="14"/>
          <w:rFonts w:ascii="Times New Roman" w:hAnsi="Times New Roman"/>
          <w:b w:val="0"/>
          <w:bCs/>
          <w:sz w:val="28"/>
          <w:szCs w:val="28"/>
        </w:rPr>
        <w:t xml:space="preserve">. </w:t>
      </w:r>
      <w:bookmarkStart w:id="27" w:name="_Hlk217589439"/>
      <w:r>
        <w:rPr>
          <w:rStyle w:val="14"/>
          <w:rFonts w:ascii="Times New Roman" w:hAnsi="Times New Roman"/>
          <w:b w:val="0"/>
          <w:bCs/>
          <w:sz w:val="28"/>
          <w:szCs w:val="28"/>
        </w:rPr>
        <w:t>Phosphorescence Spectra and Phosphorescence Lifetime</w:t>
      </w:r>
      <w:bookmarkEnd w:id="26"/>
      <w:bookmarkEnd w:id="27"/>
    </w:p>
    <w:p w14:paraId="2BA52D45">
      <w:pPr>
        <w:ind w:firstLine="0" w:firstLineChars="0"/>
      </w:pPr>
      <w:r>
        <w:drawing>
          <wp:inline distT="0" distB="0" distL="0" distR="0">
            <wp:extent cx="5266690" cy="1984375"/>
            <wp:effectExtent l="0" t="0" r="0" b="0"/>
            <wp:docPr id="148255320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53203" name="图片 8"/>
                    <pic:cNvPicPr>
                      <a:picLocks noChangeAspect="1" noChangeArrowheads="1"/>
                    </pic:cNvPicPr>
                  </pic:nvPicPr>
                  <pic:blipFill>
                    <a:blip r:embed="rId35" cstate="print">
                      <a:extLst>
                        <a:ext uri="{28A0092B-C50C-407E-A947-70E740481C1C}">
                          <a14:useLocalDpi xmlns:a14="http://schemas.microsoft.com/office/drawing/2010/main" val="0"/>
                        </a:ext>
                      </a:extLst>
                    </a:blip>
                    <a:srcRect t="2013"/>
                    <a:stretch>
                      <a:fillRect/>
                    </a:stretch>
                  </pic:blipFill>
                  <pic:spPr>
                    <a:xfrm>
                      <a:off x="0" y="0"/>
                      <a:ext cx="5266690" cy="1984880"/>
                    </a:xfrm>
                    <a:prstGeom prst="rect">
                      <a:avLst/>
                    </a:prstGeom>
                    <a:noFill/>
                    <a:ln>
                      <a:noFill/>
                    </a:ln>
                  </pic:spPr>
                </pic:pic>
              </a:graphicData>
            </a:graphic>
          </wp:inline>
        </w:drawing>
      </w:r>
    </w:p>
    <w:p w14:paraId="3BD440E1">
      <w:pPr>
        <w:ind w:firstLine="0" w:firstLineChars="0"/>
        <w:rPr>
          <w:rFonts w:cs="Times New Roman"/>
          <w:b w:val="0"/>
          <w:color w:val="FF0000"/>
          <w:sz w:val="24"/>
          <w:szCs w:val="24"/>
        </w:rPr>
      </w:pPr>
      <w:r>
        <w:rPr>
          <w:rFonts w:cs="Times New Roman"/>
          <w:b w:val="0"/>
          <w:color w:val="000000" w:themeColor="text1"/>
          <w:sz w:val="24"/>
          <w:szCs w:val="24"/>
          <w14:textFill>
            <w14:solidFill>
              <w14:schemeClr w14:val="tx1"/>
            </w14:solidFill>
          </w14:textFill>
        </w:rPr>
        <w:t>Figure S1</w:t>
      </w:r>
      <w:r>
        <w:rPr>
          <w:rFonts w:hint="eastAsia" w:cs="Times New Roman"/>
          <w:b w:val="0"/>
          <w:color w:val="000000" w:themeColor="text1"/>
          <w:sz w:val="24"/>
          <w:szCs w:val="24"/>
          <w14:textFill>
            <w14:solidFill>
              <w14:schemeClr w14:val="tx1"/>
            </w14:solidFill>
          </w14:textFill>
        </w:rPr>
        <w:t>3</w:t>
      </w:r>
      <w:r>
        <w:rPr>
          <w:rFonts w:cs="Times New Roman"/>
          <w:b w:val="0"/>
          <w:color w:val="000000" w:themeColor="text1"/>
          <w:sz w:val="24"/>
          <w:szCs w:val="24"/>
          <w14:textFill>
            <w14:solidFill>
              <w14:schemeClr w14:val="tx1"/>
            </w14:solidFill>
          </w14:textFill>
        </w:rPr>
        <w:t xml:space="preserve">. </w:t>
      </w:r>
      <w:r>
        <w:rPr>
          <w:rFonts w:cs="Times New Roman"/>
          <w:b w:val="0"/>
          <w:sz w:val="24"/>
          <w:szCs w:val="24"/>
        </w:rPr>
        <w:t xml:space="preserve">(a) Overlaid spectra of room-temperature phosphorescence (RTP) for </w:t>
      </w:r>
      <w:r>
        <w:rPr>
          <w:rFonts w:cs="Times New Roman"/>
          <w:bCs/>
          <w:sz w:val="24"/>
          <w:szCs w:val="24"/>
        </w:rPr>
        <w:t>K-Cl</w:t>
      </w:r>
      <w:r>
        <w:rPr>
          <w:rFonts w:cs="Times New Roman"/>
          <w:b w:val="0"/>
          <w:sz w:val="24"/>
          <w:szCs w:val="24"/>
        </w:rPr>
        <w:t>@PMMA-10% (delay time: 0.1 ms) and solid-state fluorescence for</w:t>
      </w:r>
      <w:r>
        <w:rPr>
          <w:rFonts w:cs="Times New Roman"/>
          <w:bCs/>
          <w:sz w:val="24"/>
          <w:szCs w:val="24"/>
        </w:rPr>
        <w:t xml:space="preserve"> K-Cl</w:t>
      </w:r>
    </w:p>
    <w:p w14:paraId="1C4F47E6">
      <w:pPr>
        <w:ind w:firstLine="0" w:firstLineChars="0"/>
        <w:rPr>
          <w:rFonts w:cs="Times New Roman"/>
          <w:b w:val="0"/>
          <w:bCs/>
        </w:rPr>
      </w:pPr>
      <w:r>
        <w:rPr>
          <w:rFonts w:cs="Times New Roman"/>
          <w:b w:val="0"/>
          <w:bCs/>
        </w:rPr>
        <w:drawing>
          <wp:inline distT="0" distB="0" distL="0" distR="0">
            <wp:extent cx="5266690" cy="1995805"/>
            <wp:effectExtent l="0" t="0" r="0" b="4445"/>
            <wp:docPr id="17254506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50646" name="图片 7"/>
                    <pic:cNvPicPr>
                      <a:picLocks noChangeAspect="1" noChangeArrowheads="1"/>
                    </pic:cNvPicPr>
                  </pic:nvPicPr>
                  <pic:blipFill>
                    <a:blip r:embed="rId36" cstate="print">
                      <a:extLst>
                        <a:ext uri="{28A0092B-C50C-407E-A947-70E740481C1C}">
                          <a14:useLocalDpi xmlns:a14="http://schemas.microsoft.com/office/drawing/2010/main" val="0"/>
                        </a:ext>
                      </a:extLst>
                    </a:blip>
                    <a:srcRect t="1720"/>
                    <a:stretch>
                      <a:fillRect/>
                    </a:stretch>
                  </pic:blipFill>
                  <pic:spPr>
                    <a:xfrm>
                      <a:off x="0" y="0"/>
                      <a:ext cx="5266690" cy="1996419"/>
                    </a:xfrm>
                    <a:prstGeom prst="rect">
                      <a:avLst/>
                    </a:prstGeom>
                    <a:noFill/>
                    <a:ln>
                      <a:noFill/>
                    </a:ln>
                  </pic:spPr>
                </pic:pic>
              </a:graphicData>
            </a:graphic>
          </wp:inline>
        </w:drawing>
      </w:r>
    </w:p>
    <w:p w14:paraId="227AE9C9">
      <w:pPr>
        <w:ind w:firstLine="0" w:firstLineChars="0"/>
        <w:rPr>
          <w:rFonts w:cs="Times New Roman"/>
          <w:b w:val="0"/>
          <w:color w:val="FF0000"/>
          <w:sz w:val="24"/>
          <w:szCs w:val="24"/>
        </w:rPr>
      </w:pPr>
      <w:r>
        <w:rPr>
          <w:rFonts w:cs="Times New Roman"/>
          <w:b w:val="0"/>
          <w:color w:val="000000" w:themeColor="text1"/>
          <w:sz w:val="24"/>
          <w:szCs w:val="24"/>
          <w14:textFill>
            <w14:solidFill>
              <w14:schemeClr w14:val="tx1"/>
            </w14:solidFill>
          </w14:textFill>
        </w:rPr>
        <w:t>Figure S1</w:t>
      </w:r>
      <w:r>
        <w:rPr>
          <w:rFonts w:hint="eastAsia" w:cs="Times New Roman"/>
          <w:b w:val="0"/>
          <w:color w:val="000000" w:themeColor="text1"/>
          <w:sz w:val="24"/>
          <w:szCs w:val="24"/>
          <w14:textFill>
            <w14:solidFill>
              <w14:schemeClr w14:val="tx1"/>
            </w14:solidFill>
          </w14:textFill>
        </w:rPr>
        <w:t>4</w:t>
      </w:r>
      <w:r>
        <w:rPr>
          <w:rFonts w:cs="Times New Roman"/>
          <w:b w:val="0"/>
          <w:color w:val="000000" w:themeColor="text1"/>
          <w:sz w:val="24"/>
          <w:szCs w:val="24"/>
          <w14:textFill>
            <w14:solidFill>
              <w14:schemeClr w14:val="tx1"/>
            </w14:solidFill>
          </w14:textFill>
        </w:rPr>
        <w:t xml:space="preserve">. </w:t>
      </w:r>
      <w:r>
        <w:rPr>
          <w:rFonts w:cs="Times New Roman"/>
          <w:b w:val="0"/>
          <w:sz w:val="24"/>
          <w:szCs w:val="24"/>
        </w:rPr>
        <w:t xml:space="preserve">(a) Overlaid spectra of room-temperature phosphorescence (RTP) for </w:t>
      </w:r>
      <w:r>
        <w:rPr>
          <w:rFonts w:cs="Times New Roman"/>
          <w:bCs/>
          <w:sz w:val="24"/>
          <w:szCs w:val="24"/>
        </w:rPr>
        <w:t>K-Br</w:t>
      </w:r>
      <w:r>
        <w:rPr>
          <w:rFonts w:cs="Times New Roman"/>
          <w:bCs/>
          <w:sz w:val="24"/>
          <w:szCs w:val="24"/>
          <w:vertAlign w:val="subscript"/>
        </w:rPr>
        <w:t>2</w:t>
      </w:r>
      <w:r>
        <w:rPr>
          <w:rFonts w:cs="Times New Roman"/>
          <w:b w:val="0"/>
          <w:sz w:val="24"/>
          <w:szCs w:val="24"/>
        </w:rPr>
        <w:t xml:space="preserve">@PMMA-10% (delay time: 0.1 ms) and solid-state fluorescence for </w:t>
      </w:r>
      <w:r>
        <w:rPr>
          <w:rFonts w:cs="Times New Roman"/>
          <w:bCs/>
          <w:sz w:val="24"/>
          <w:szCs w:val="24"/>
        </w:rPr>
        <w:t>K-Br</w:t>
      </w:r>
      <w:r>
        <w:rPr>
          <w:rFonts w:cs="Times New Roman"/>
          <w:bCs/>
          <w:sz w:val="24"/>
          <w:szCs w:val="24"/>
          <w:vertAlign w:val="subscript"/>
        </w:rPr>
        <w:t>2</w:t>
      </w:r>
    </w:p>
    <w:p w14:paraId="35CF277E">
      <w:pPr>
        <w:ind w:firstLine="0" w:firstLineChars="0"/>
        <w:rPr>
          <w:rFonts w:cs="Times New Roman"/>
          <w:b w:val="0"/>
          <w:bCs/>
        </w:rPr>
      </w:pPr>
      <w:r>
        <w:rPr>
          <w:rFonts w:cs="Times New Roman"/>
          <w:b w:val="0"/>
          <w:bCs/>
        </w:rPr>
        <w:drawing>
          <wp:inline distT="0" distB="0" distL="0" distR="0">
            <wp:extent cx="5272405" cy="1995805"/>
            <wp:effectExtent l="0" t="0" r="4445" b="4445"/>
            <wp:docPr id="10381781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178126" name="图片 10"/>
                    <pic:cNvPicPr>
                      <a:picLocks noChangeAspect="1" noChangeArrowheads="1"/>
                    </pic:cNvPicPr>
                  </pic:nvPicPr>
                  <pic:blipFill>
                    <a:blip r:embed="rId37" cstate="print">
                      <a:extLst>
                        <a:ext uri="{28A0092B-C50C-407E-A947-70E740481C1C}">
                          <a14:useLocalDpi xmlns:a14="http://schemas.microsoft.com/office/drawing/2010/main" val="0"/>
                        </a:ext>
                      </a:extLst>
                    </a:blip>
                    <a:srcRect t="2001"/>
                    <a:stretch>
                      <a:fillRect/>
                    </a:stretch>
                  </pic:blipFill>
                  <pic:spPr>
                    <a:xfrm>
                      <a:off x="0" y="0"/>
                      <a:ext cx="5272405" cy="1996310"/>
                    </a:xfrm>
                    <a:prstGeom prst="rect">
                      <a:avLst/>
                    </a:prstGeom>
                    <a:noFill/>
                    <a:ln>
                      <a:noFill/>
                    </a:ln>
                  </pic:spPr>
                </pic:pic>
              </a:graphicData>
            </a:graphic>
          </wp:inline>
        </w:drawing>
      </w:r>
    </w:p>
    <w:p w14:paraId="29D7650A">
      <w:pPr>
        <w:ind w:firstLine="0" w:firstLineChars="0"/>
        <w:rPr>
          <w:rFonts w:cs="Times New Roman"/>
          <w:b w:val="0"/>
          <w:color w:val="FF0000"/>
          <w:sz w:val="24"/>
          <w:szCs w:val="24"/>
        </w:rPr>
      </w:pPr>
      <w:bookmarkStart w:id="28" w:name="_Hlk217589251"/>
      <w:r>
        <w:rPr>
          <w:rFonts w:cs="Times New Roman"/>
          <w:b w:val="0"/>
          <w:color w:val="000000" w:themeColor="text1"/>
          <w:sz w:val="24"/>
          <w:szCs w:val="24"/>
          <w14:textFill>
            <w14:solidFill>
              <w14:schemeClr w14:val="tx1"/>
            </w14:solidFill>
          </w14:textFill>
        </w:rPr>
        <w:t>Figure S</w:t>
      </w:r>
      <w:bookmarkEnd w:id="28"/>
      <w:r>
        <w:rPr>
          <w:rFonts w:cs="Times New Roman"/>
          <w:b w:val="0"/>
          <w:color w:val="000000" w:themeColor="text1"/>
          <w:sz w:val="24"/>
          <w:szCs w:val="24"/>
          <w14:textFill>
            <w14:solidFill>
              <w14:schemeClr w14:val="tx1"/>
            </w14:solidFill>
          </w14:textFill>
        </w:rPr>
        <w:t>1</w:t>
      </w:r>
      <w:r>
        <w:rPr>
          <w:rFonts w:hint="eastAsia" w:cs="Times New Roman"/>
          <w:b w:val="0"/>
          <w:color w:val="000000" w:themeColor="text1"/>
          <w:sz w:val="24"/>
          <w:szCs w:val="24"/>
          <w14:textFill>
            <w14:solidFill>
              <w14:schemeClr w14:val="tx1"/>
            </w14:solidFill>
          </w14:textFill>
        </w:rPr>
        <w:t>5</w:t>
      </w:r>
      <w:r>
        <w:rPr>
          <w:rFonts w:cs="Times New Roman"/>
          <w:b w:val="0"/>
          <w:color w:val="000000" w:themeColor="text1"/>
          <w:sz w:val="24"/>
          <w:szCs w:val="24"/>
          <w14:textFill>
            <w14:solidFill>
              <w14:schemeClr w14:val="tx1"/>
            </w14:solidFill>
          </w14:textFill>
        </w:rPr>
        <w:t xml:space="preserve">. </w:t>
      </w:r>
      <w:r>
        <w:rPr>
          <w:rFonts w:cs="Times New Roman"/>
          <w:b w:val="0"/>
          <w:sz w:val="24"/>
          <w:szCs w:val="24"/>
        </w:rPr>
        <w:t xml:space="preserve">(a) Overlaid spectra of room-temperature phosphorescence (RTP) for </w:t>
      </w:r>
      <w:r>
        <w:rPr>
          <w:rFonts w:cs="Times New Roman"/>
          <w:bCs/>
          <w:sz w:val="24"/>
          <w:szCs w:val="24"/>
        </w:rPr>
        <w:t>K-Br</w:t>
      </w:r>
      <w:r>
        <w:rPr>
          <w:rFonts w:cs="Times New Roman"/>
          <w:b w:val="0"/>
          <w:sz w:val="24"/>
          <w:szCs w:val="24"/>
        </w:rPr>
        <w:t xml:space="preserve">@PMMA-10% (delay time: 0.1 ms) and solid-state fluorescence for </w:t>
      </w:r>
      <w:r>
        <w:rPr>
          <w:rFonts w:cs="Times New Roman"/>
          <w:bCs/>
          <w:sz w:val="24"/>
          <w:szCs w:val="24"/>
        </w:rPr>
        <w:t>K-Br</w:t>
      </w:r>
    </w:p>
    <w:p w14:paraId="2DF65F8F">
      <w:pPr>
        <w:ind w:firstLine="440"/>
        <w:rPr>
          <w:rFonts w:cs="Times New Roman"/>
        </w:rPr>
      </w:pPr>
      <w:bookmarkStart w:id="29" w:name="_Toc13613"/>
      <w:bookmarkStart w:id="30" w:name="_Toc9880"/>
      <w:bookmarkStart w:id="31" w:name="_Toc12605"/>
      <w:bookmarkStart w:id="32" w:name="_Toc22426"/>
      <w:bookmarkStart w:id="33" w:name="_Toc27461"/>
      <w:bookmarkStart w:id="34" w:name="_Toc31602"/>
      <w:r>
        <w:rPr>
          <w:rFonts w:cs="Times New Roman"/>
        </w:rPr>
        <w:drawing>
          <wp:inline distT="0" distB="0" distL="0" distR="0">
            <wp:extent cx="5270500" cy="2026920"/>
            <wp:effectExtent l="0" t="0" r="6350" b="0"/>
            <wp:docPr id="12726377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637728" name="图片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270500" cy="2026920"/>
                    </a:xfrm>
                    <a:prstGeom prst="rect">
                      <a:avLst/>
                    </a:prstGeom>
                    <a:noFill/>
                    <a:ln>
                      <a:noFill/>
                    </a:ln>
                  </pic:spPr>
                </pic:pic>
              </a:graphicData>
            </a:graphic>
          </wp:inline>
        </w:drawing>
      </w:r>
    </w:p>
    <w:p w14:paraId="75DD54AD">
      <w:pPr>
        <w:ind w:firstLine="0" w:firstLineChars="0"/>
        <w:rPr>
          <w:rFonts w:cs="Times New Roman"/>
          <w:b w:val="0"/>
          <w:bCs/>
          <w:sz w:val="24"/>
          <w:szCs w:val="24"/>
        </w:rPr>
      </w:pPr>
      <w:r>
        <w:rPr>
          <w:rFonts w:cs="Times New Roman"/>
          <w:b w:val="0"/>
          <w:bCs/>
          <w:color w:val="000000" w:themeColor="text1"/>
          <w:sz w:val="24"/>
          <w:szCs w:val="24"/>
          <w14:textFill>
            <w14:solidFill>
              <w14:schemeClr w14:val="tx1"/>
            </w14:solidFill>
          </w14:textFill>
        </w:rPr>
        <w:t>Figure S</w:t>
      </w:r>
      <w:r>
        <w:rPr>
          <w:rFonts w:hint="eastAsia" w:cs="Times New Roman"/>
          <w:b w:val="0"/>
          <w:bCs/>
          <w:color w:val="000000" w:themeColor="text1"/>
          <w:sz w:val="24"/>
          <w:szCs w:val="24"/>
          <w14:textFill>
            <w14:solidFill>
              <w14:schemeClr w14:val="tx1"/>
            </w14:solidFill>
          </w14:textFill>
        </w:rPr>
        <w:t>16</w:t>
      </w:r>
      <w:r>
        <w:rPr>
          <w:rFonts w:cs="Times New Roman"/>
          <w:b w:val="0"/>
          <w:bCs/>
          <w:color w:val="000000" w:themeColor="text1"/>
          <w:sz w:val="24"/>
          <w:szCs w:val="24"/>
          <w14:textFill>
            <w14:solidFill>
              <w14:schemeClr w14:val="tx1"/>
            </w14:solidFill>
          </w14:textFill>
        </w:rPr>
        <w:t xml:space="preserve">. </w:t>
      </w:r>
      <w:r>
        <w:rPr>
          <w:rFonts w:cs="Times New Roman"/>
          <w:b w:val="0"/>
          <w:bCs/>
          <w:sz w:val="24"/>
          <w:szCs w:val="24"/>
        </w:rPr>
        <w:t xml:space="preserve">(a) Overlaid spectra of room-temperature phosphorescence (RTP) for </w:t>
      </w:r>
      <w:r>
        <w:rPr>
          <w:rFonts w:cs="Times New Roman"/>
          <w:sz w:val="24"/>
          <w:szCs w:val="24"/>
        </w:rPr>
        <w:t>K-CN</w:t>
      </w:r>
      <w:r>
        <w:rPr>
          <w:rFonts w:cs="Times New Roman"/>
          <w:b w:val="0"/>
          <w:bCs/>
          <w:sz w:val="24"/>
          <w:szCs w:val="24"/>
        </w:rPr>
        <w:t xml:space="preserve">@PMMA-10% (delay time: 0.1 ms) and solid-state fluorescence for </w:t>
      </w:r>
      <w:r>
        <w:rPr>
          <w:rFonts w:cs="Times New Roman"/>
          <w:sz w:val="24"/>
          <w:szCs w:val="24"/>
        </w:rPr>
        <w:t>K-CN</w:t>
      </w:r>
      <w:bookmarkEnd w:id="29"/>
      <w:bookmarkEnd w:id="30"/>
      <w:bookmarkEnd w:id="31"/>
      <w:bookmarkEnd w:id="32"/>
      <w:bookmarkEnd w:id="33"/>
      <w:bookmarkEnd w:id="34"/>
    </w:p>
    <w:p w14:paraId="4D571BB1">
      <w:pPr>
        <w:ind w:firstLine="0" w:firstLineChars="0"/>
        <w:jc w:val="left"/>
        <w:rPr>
          <w:rFonts w:cs="Times New Roman"/>
          <w:b w:val="0"/>
          <w:bCs/>
          <w:sz w:val="24"/>
          <w:szCs w:val="24"/>
        </w:rPr>
      </w:pPr>
    </w:p>
    <w:p w14:paraId="1CD86D97">
      <w:pPr>
        <w:pStyle w:val="3"/>
        <w:ind w:firstLine="0" w:firstLineChars="0"/>
        <w:rPr>
          <w:rFonts w:ascii="Times New Roman" w:hAnsi="Times New Roman"/>
          <w:b/>
          <w:sz w:val="28"/>
          <w:szCs w:val="28"/>
        </w:rPr>
      </w:pPr>
      <w:bookmarkStart w:id="35" w:name="_Toc219315593"/>
      <w:r>
        <w:rPr>
          <w:rFonts w:ascii="Times New Roman" w:hAnsi="Times New Roman"/>
          <w:sz w:val="28"/>
          <w:szCs w:val="28"/>
        </w:rPr>
        <w:t>References</w:t>
      </w:r>
      <w:bookmarkEnd w:id="35"/>
    </w:p>
    <w:p w14:paraId="7717B090">
      <w:pPr>
        <w:pStyle w:val="15"/>
        <w:ind w:firstLine="0"/>
        <w:rPr>
          <w:color w:val="000000"/>
          <w:sz w:val="20"/>
        </w:rPr>
      </w:pPr>
      <w:r>
        <w:rPr>
          <w:color w:val="000000"/>
          <w:sz w:val="20"/>
        </w:rPr>
        <w:t>[S</w:t>
      </w:r>
      <w:r>
        <w:rPr>
          <w:color w:val="000000"/>
          <w:sz w:val="20"/>
          <w:vertAlign w:val="subscript"/>
        </w:rPr>
        <w:t>1</w:t>
      </w:r>
      <w:r>
        <w:rPr>
          <w:color w:val="000000"/>
          <w:sz w:val="20"/>
        </w:rPr>
        <w:t>] Gaussian 16, Revision B.01, Frisch, M. J.; Trucks, G. W.; Schlegel, H. B.; Scuseria, G. E.; Robb, M. A.; Cheeseman, J. R.; Scalmani, G.; Barone, V.; Petersson, G. A.; Nakatsuji, H.; Li, X.; Caricato, M.; Marenich, A. V.; Bloino, J.; Janesko, B. G.; Gomperts, R.; Mennucci, B.; Hratchian, H. P.; Ortiz, J. V.; Izmaylov, A. F.; Sonnenberg, J. L.; Williams-Young, D.; Ding, F.; Lipparini, F.; Egidi, F.; Goings, J.; Peng, B.; Petrone, A.; Henderson, T.; Ranasinghe, D.; Zakrzewski, V. G.; Gao, J.; Rega, N.; Zheng, G.; Liang, W.; Hada, M.; Ehara, M.; Toyota, K.; Fukuda, R.; Hasegawa, J.; Ishida, M.; Nakajima, T.; Honda, Y.; Kitao, O.; Nakai, H.; Vreven, T.; Throssell, K.; Montgomery, J. A., Jr.; Peralta, J. E.; Ogliaro, F.; Bearpark, M. J.; Heyd, J. J.; Brothers, E. N.; Kudin, K. N.; Staroverov, V. N.; Keith, T. A.; Kobayashi, R.; Normand, J.; Raghavachari, K.; Rendell, A. P.; Burant, J. C.; Iyengar, S. S.; Tomasi, J.; Cossi, M.; Millam, J. M.; Klene, M.; Adamo, C.; Cammi, R.; Ochterski, J. W.; Martin, R. L.; Morokuma, K.; Farkas, O.; Foresman, J. B.; Fox, D. J. Gaussian, Inc., Wallingford CT, 2016.</w:t>
      </w:r>
    </w:p>
    <w:p w14:paraId="62DD869C">
      <w:pPr>
        <w:pStyle w:val="15"/>
        <w:ind w:firstLine="0"/>
        <w:rPr>
          <w:color w:val="000000"/>
          <w:sz w:val="20"/>
        </w:rPr>
      </w:pPr>
      <w:r>
        <w:rPr>
          <w:color w:val="000000"/>
          <w:sz w:val="20"/>
          <w:lang w:eastAsia="zh-CN"/>
        </w:rPr>
        <w:t>[S</w:t>
      </w:r>
      <w:r>
        <w:rPr>
          <w:color w:val="000000"/>
          <w:sz w:val="20"/>
          <w:vertAlign w:val="subscript"/>
          <w:lang w:eastAsia="zh-CN"/>
        </w:rPr>
        <w:t>2</w:t>
      </w:r>
      <w:r>
        <w:rPr>
          <w:color w:val="000000"/>
          <w:sz w:val="20"/>
          <w:lang w:eastAsia="zh-CN"/>
        </w:rPr>
        <w:t>]</w:t>
      </w:r>
      <w:r>
        <w:rPr>
          <w:color w:val="000000"/>
          <w:sz w:val="20"/>
        </w:rPr>
        <w:tab/>
      </w:r>
      <w:r>
        <w:rPr>
          <w:color w:val="000000"/>
          <w:sz w:val="20"/>
        </w:rPr>
        <w:t>Neese, F. The ORCA program system Wiley Interdiscip. Rev.: Comput. Mol. Sci., 2012, 2, 1, 73–78 (DOI: 10.1002/wcms.81)</w:t>
      </w:r>
    </w:p>
    <w:p w14:paraId="7C555C5F">
      <w:pPr>
        <w:ind w:firstLine="0" w:firstLineChars="0"/>
        <w:jc w:val="left"/>
        <w:rPr>
          <w:rFonts w:cs="Times New Roman"/>
          <w:b w:val="0"/>
          <w:bCs/>
          <w:sz w:val="24"/>
          <w:szCs w:val="24"/>
        </w:rP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42"/>
      </w:pPr>
      <w:r>
        <w:separator/>
      </w:r>
    </w:p>
  </w:endnote>
  <w:endnote w:type="continuationSeparator" w:id="1">
    <w:p>
      <w:pPr>
        <w:ind w:firstLine="44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思源黑体 CN Bold">
    <w:altName w:val="黑体"/>
    <w:panose1 w:val="020B0800000000000000"/>
    <w:charset w:val="86"/>
    <w:family w:val="swiss"/>
    <w:pitch w:val="default"/>
    <w:sig w:usb0="00000000" w:usb1="00000000" w:usb2="00000016" w:usb3="00000000" w:csb0="00060107"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2CDEA">
    <w:pPr>
      <w:pStyle w:val="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31300">
    <w:pPr>
      <w:pStyle w:val="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B4CCE">
    <w:pPr>
      <w:pStyle w:val="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42"/>
      </w:pPr>
      <w:r>
        <w:separator/>
      </w:r>
    </w:p>
  </w:footnote>
  <w:footnote w:type="continuationSeparator" w:id="1">
    <w:p>
      <w:pPr>
        <w:ind w:firstLine="44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0C203">
    <w:pPr>
      <w:pStyle w:val="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BFADA">
    <w:pPr>
      <w:pStyle w:val="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FF162">
    <w:pPr>
      <w:pStyle w:val="5"/>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C65"/>
    <w:rsid w:val="00001A06"/>
    <w:rsid w:val="00005756"/>
    <w:rsid w:val="000158AB"/>
    <w:rsid w:val="00015EA0"/>
    <w:rsid w:val="00022138"/>
    <w:rsid w:val="000845FD"/>
    <w:rsid w:val="000968C4"/>
    <w:rsid w:val="000A5574"/>
    <w:rsid w:val="000C0F5C"/>
    <w:rsid w:val="000D33EE"/>
    <w:rsid w:val="000D7CDF"/>
    <w:rsid w:val="000F24E4"/>
    <w:rsid w:val="001038FA"/>
    <w:rsid w:val="00122F57"/>
    <w:rsid w:val="00144333"/>
    <w:rsid w:val="0014607E"/>
    <w:rsid w:val="001602CB"/>
    <w:rsid w:val="00182AC9"/>
    <w:rsid w:val="00185C65"/>
    <w:rsid w:val="001A20DB"/>
    <w:rsid w:val="001C3EA7"/>
    <w:rsid w:val="001D5D54"/>
    <w:rsid w:val="001F61E1"/>
    <w:rsid w:val="00206C88"/>
    <w:rsid w:val="00206D44"/>
    <w:rsid w:val="002422E6"/>
    <w:rsid w:val="0029383F"/>
    <w:rsid w:val="002F5CBE"/>
    <w:rsid w:val="00325A19"/>
    <w:rsid w:val="00332275"/>
    <w:rsid w:val="00334A54"/>
    <w:rsid w:val="00364FA0"/>
    <w:rsid w:val="00376131"/>
    <w:rsid w:val="00386B09"/>
    <w:rsid w:val="003959FA"/>
    <w:rsid w:val="003B7F93"/>
    <w:rsid w:val="003C28A1"/>
    <w:rsid w:val="003D241E"/>
    <w:rsid w:val="003E20B8"/>
    <w:rsid w:val="003E7B04"/>
    <w:rsid w:val="004331C8"/>
    <w:rsid w:val="004350D7"/>
    <w:rsid w:val="00465479"/>
    <w:rsid w:val="00473E6D"/>
    <w:rsid w:val="004817A9"/>
    <w:rsid w:val="004C5218"/>
    <w:rsid w:val="004D4243"/>
    <w:rsid w:val="004E234A"/>
    <w:rsid w:val="004E5239"/>
    <w:rsid w:val="004E7EA3"/>
    <w:rsid w:val="004F3788"/>
    <w:rsid w:val="005431A1"/>
    <w:rsid w:val="0056059A"/>
    <w:rsid w:val="00560FD5"/>
    <w:rsid w:val="00562E2E"/>
    <w:rsid w:val="00582B0A"/>
    <w:rsid w:val="005F515A"/>
    <w:rsid w:val="00604E17"/>
    <w:rsid w:val="00627CB2"/>
    <w:rsid w:val="00642BFB"/>
    <w:rsid w:val="006A684C"/>
    <w:rsid w:val="006D34A4"/>
    <w:rsid w:val="006F02D5"/>
    <w:rsid w:val="007022F0"/>
    <w:rsid w:val="00737E2B"/>
    <w:rsid w:val="007414E8"/>
    <w:rsid w:val="00747C58"/>
    <w:rsid w:val="00774CD3"/>
    <w:rsid w:val="007810CC"/>
    <w:rsid w:val="007A3CEA"/>
    <w:rsid w:val="007B4A3C"/>
    <w:rsid w:val="007C6F36"/>
    <w:rsid w:val="007D6A4F"/>
    <w:rsid w:val="007F3F12"/>
    <w:rsid w:val="007F5225"/>
    <w:rsid w:val="00834EDE"/>
    <w:rsid w:val="008377FF"/>
    <w:rsid w:val="008514D2"/>
    <w:rsid w:val="00851E1E"/>
    <w:rsid w:val="00890F57"/>
    <w:rsid w:val="00902079"/>
    <w:rsid w:val="009128A3"/>
    <w:rsid w:val="00953628"/>
    <w:rsid w:val="009605C5"/>
    <w:rsid w:val="009638C9"/>
    <w:rsid w:val="00970A49"/>
    <w:rsid w:val="009978C0"/>
    <w:rsid w:val="009A655A"/>
    <w:rsid w:val="009A6C0B"/>
    <w:rsid w:val="009C56B9"/>
    <w:rsid w:val="009D5003"/>
    <w:rsid w:val="009D735C"/>
    <w:rsid w:val="009F6648"/>
    <w:rsid w:val="009F672B"/>
    <w:rsid w:val="009F6789"/>
    <w:rsid w:val="009F7417"/>
    <w:rsid w:val="00A3599F"/>
    <w:rsid w:val="00A57CBE"/>
    <w:rsid w:val="00AA079E"/>
    <w:rsid w:val="00AC6DD4"/>
    <w:rsid w:val="00AD7E1F"/>
    <w:rsid w:val="00AF5D37"/>
    <w:rsid w:val="00B20350"/>
    <w:rsid w:val="00B21EBF"/>
    <w:rsid w:val="00B71669"/>
    <w:rsid w:val="00B72768"/>
    <w:rsid w:val="00B83699"/>
    <w:rsid w:val="00BC781F"/>
    <w:rsid w:val="00C019F4"/>
    <w:rsid w:val="00C11333"/>
    <w:rsid w:val="00C3103D"/>
    <w:rsid w:val="00C45B39"/>
    <w:rsid w:val="00C550DF"/>
    <w:rsid w:val="00C722ED"/>
    <w:rsid w:val="00C741B1"/>
    <w:rsid w:val="00CA1716"/>
    <w:rsid w:val="00CE637F"/>
    <w:rsid w:val="00CF6323"/>
    <w:rsid w:val="00D02462"/>
    <w:rsid w:val="00D02A30"/>
    <w:rsid w:val="00D105F9"/>
    <w:rsid w:val="00D17BDC"/>
    <w:rsid w:val="00D262D0"/>
    <w:rsid w:val="00D86B27"/>
    <w:rsid w:val="00DC7072"/>
    <w:rsid w:val="00DD10B5"/>
    <w:rsid w:val="00DD117A"/>
    <w:rsid w:val="00DF1CA0"/>
    <w:rsid w:val="00DF3CB9"/>
    <w:rsid w:val="00E067D0"/>
    <w:rsid w:val="00E1221E"/>
    <w:rsid w:val="00E559DD"/>
    <w:rsid w:val="00E72816"/>
    <w:rsid w:val="00E76495"/>
    <w:rsid w:val="00E825D2"/>
    <w:rsid w:val="00E958F8"/>
    <w:rsid w:val="00EA337E"/>
    <w:rsid w:val="00EE607C"/>
    <w:rsid w:val="00F066EE"/>
    <w:rsid w:val="00F12F46"/>
    <w:rsid w:val="00F85441"/>
    <w:rsid w:val="00FA2AB5"/>
    <w:rsid w:val="00FA7E26"/>
    <w:rsid w:val="00FC6002"/>
    <w:rsid w:val="00FC708D"/>
    <w:rsid w:val="00FD3A06"/>
    <w:rsid w:val="00FF2854"/>
    <w:rsid w:val="00FF3CDD"/>
    <w:rsid w:val="7CDD64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ascii="Times New Roman" w:hAnsi="Times New Roman" w:eastAsia="思源黑体 CN Bold" w:cstheme="minorBidi"/>
      <w:b/>
      <w:kern w:val="2"/>
      <w:sz w:val="22"/>
      <w:szCs w:val="22"/>
      <w:lang w:val="en-US" w:eastAsia="zh-CN" w:bidi="ar-SA"/>
      <w14:ligatures w14:val="standardContextual"/>
    </w:rPr>
  </w:style>
  <w:style w:type="paragraph" w:styleId="2">
    <w:name w:val="heading 1"/>
    <w:basedOn w:val="1"/>
    <w:next w:val="1"/>
    <w:link w:val="13"/>
    <w:qFormat/>
    <w:uiPriority w:val="9"/>
    <w:pPr>
      <w:keepNext/>
      <w:keepLines/>
      <w:spacing w:before="340" w:after="330" w:line="576" w:lineRule="auto"/>
      <w:outlineLvl w:val="0"/>
    </w:pPr>
    <w:rPr>
      <w:rFonts w:eastAsia="宋体" w:cs="Times New Roman"/>
      <w:b w:val="0"/>
      <w:kern w:val="44"/>
      <w:sz w:val="44"/>
      <w:szCs w:val="20"/>
      <w14:ligatures w14:val="none"/>
    </w:rPr>
  </w:style>
  <w:style w:type="paragraph" w:styleId="3">
    <w:name w:val="heading 2"/>
    <w:basedOn w:val="1"/>
    <w:next w:val="1"/>
    <w:link w:val="14"/>
    <w:qFormat/>
    <w:uiPriority w:val="9"/>
    <w:pPr>
      <w:keepNext/>
      <w:keepLines/>
      <w:spacing w:before="260" w:after="260" w:line="416" w:lineRule="auto"/>
      <w:outlineLvl w:val="1"/>
    </w:pPr>
    <w:rPr>
      <w:rFonts w:ascii="Cambria" w:hAnsi="Cambria" w:eastAsia="宋体" w:cs="Times New Roman"/>
      <w:b w:val="0"/>
      <w:bCs/>
      <w:sz w:val="32"/>
      <w:szCs w:val="32"/>
      <w14:ligatures w14:val="none"/>
    </w:rPr>
  </w:style>
  <w:style w:type="character" w:default="1" w:styleId="9">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4">
    <w:name w:val="footer"/>
    <w:basedOn w:val="1"/>
    <w:link w:val="12"/>
    <w:unhideWhenUsed/>
    <w:uiPriority w:val="99"/>
    <w:pPr>
      <w:tabs>
        <w:tab w:val="center" w:pos="4153"/>
        <w:tab w:val="right" w:pos="8306"/>
      </w:tabs>
      <w:snapToGrid w:val="0"/>
      <w:jc w:val="left"/>
    </w:pPr>
    <w:rPr>
      <w:sz w:val="18"/>
      <w:szCs w:val="18"/>
    </w:rPr>
  </w:style>
  <w:style w:type="paragraph" w:styleId="5">
    <w:name w:val="header"/>
    <w:basedOn w:val="1"/>
    <w:link w:val="11"/>
    <w:unhideWhenUsed/>
    <w:uiPriority w:val="99"/>
    <w:pPr>
      <w:tabs>
        <w:tab w:val="center" w:pos="4153"/>
        <w:tab w:val="right" w:pos="8306"/>
      </w:tabs>
      <w:snapToGrid w:val="0"/>
      <w:jc w:val="center"/>
    </w:pPr>
    <w:rPr>
      <w:sz w:val="18"/>
      <w:szCs w:val="18"/>
    </w:rPr>
  </w:style>
  <w:style w:type="paragraph" w:styleId="6">
    <w:name w:val="toc 2"/>
    <w:basedOn w:val="1"/>
    <w:next w:val="1"/>
    <w:autoRedefine/>
    <w:unhideWhenUsed/>
    <w:uiPriority w:val="39"/>
    <w:pPr>
      <w:ind w:left="420" w:leftChars="200"/>
    </w:p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unhideWhenUsed/>
    <w:qFormat/>
    <w:uiPriority w:val="99"/>
    <w:rPr>
      <w:color w:val="467886" w:themeColor="hyperlink"/>
      <w:u w:val="single"/>
      <w14:textFill>
        <w14:solidFill>
          <w14:schemeClr w14:val="hlink"/>
        </w14:solidFill>
      </w14:textFill>
    </w:rPr>
  </w:style>
  <w:style w:type="character" w:customStyle="1" w:styleId="11">
    <w:name w:val="页眉 字符"/>
    <w:basedOn w:val="9"/>
    <w:link w:val="5"/>
    <w:uiPriority w:val="99"/>
    <w:rPr>
      <w:sz w:val="18"/>
      <w:szCs w:val="18"/>
    </w:rPr>
  </w:style>
  <w:style w:type="character" w:customStyle="1" w:styleId="12">
    <w:name w:val="页脚 字符"/>
    <w:basedOn w:val="9"/>
    <w:link w:val="4"/>
    <w:uiPriority w:val="99"/>
    <w:rPr>
      <w:sz w:val="18"/>
      <w:szCs w:val="18"/>
    </w:rPr>
  </w:style>
  <w:style w:type="character" w:customStyle="1" w:styleId="13">
    <w:name w:val="标题 1 字符"/>
    <w:basedOn w:val="9"/>
    <w:link w:val="2"/>
    <w:uiPriority w:val="9"/>
    <w:rPr>
      <w:rFonts w:ascii="Times New Roman" w:hAnsi="Times New Roman" w:eastAsia="宋体" w:cs="Times New Roman"/>
      <w:b/>
      <w:kern w:val="44"/>
      <w:sz w:val="44"/>
      <w:szCs w:val="20"/>
      <w14:ligatures w14:val="none"/>
    </w:rPr>
  </w:style>
  <w:style w:type="character" w:customStyle="1" w:styleId="14">
    <w:name w:val="标题 2 字符"/>
    <w:basedOn w:val="9"/>
    <w:link w:val="3"/>
    <w:uiPriority w:val="9"/>
    <w:rPr>
      <w:rFonts w:ascii="Cambria" w:hAnsi="Cambria" w:eastAsia="宋体" w:cs="Times New Roman"/>
      <w:b/>
      <w:bCs/>
      <w:sz w:val="32"/>
      <w:szCs w:val="32"/>
      <w14:ligatures w14:val="none"/>
    </w:rPr>
  </w:style>
  <w:style w:type="paragraph" w:customStyle="1" w:styleId="15">
    <w:name w:val="Els_Paragraph"/>
    <w:qFormat/>
    <w:uiPriority w:val="0"/>
    <w:pPr>
      <w:spacing w:after="120" w:line="360" w:lineRule="auto"/>
      <w:ind w:firstLine="232"/>
      <w:jc w:val="both"/>
    </w:pPr>
    <w:rPr>
      <w:rFonts w:ascii="Times New Roman" w:hAnsi="Times New Roman" w:eastAsia="宋体" w:cs="Times New Roman"/>
      <w:kern w:val="0"/>
      <w:sz w:val="24"/>
      <w:szCs w:val="20"/>
      <w:lang w:val="en-US" w:eastAsia="en-US" w:bidi="ar-SA"/>
      <w14:ligatures w14:val="none"/>
    </w:rPr>
  </w:style>
  <w:style w:type="paragraph" w:customStyle="1" w:styleId="16">
    <w:name w:val="p0"/>
    <w:basedOn w:val="1"/>
    <w:qFormat/>
    <w:uiPriority w:val="0"/>
    <w:pPr>
      <w:widowControl/>
    </w:pPr>
    <w:rPr>
      <w:rFonts w:eastAsia="宋体" w:cs="Times New Roman"/>
      <w:kern w:val="0"/>
      <w:sz w:val="21"/>
      <w:szCs w:val="21"/>
      <w14:ligatures w14:val="none"/>
    </w:rPr>
  </w:style>
  <w:style w:type="paragraph" w:customStyle="1" w:styleId="17">
    <w:name w:val="Authors"/>
    <w:basedOn w:val="2"/>
    <w:next w:val="1"/>
    <w:qFormat/>
    <w:uiPriority w:val="0"/>
    <w:pPr>
      <w:snapToGrid w:val="0"/>
      <w:spacing w:line="360" w:lineRule="auto"/>
    </w:pPr>
    <w:rPr>
      <w:sz w:val="28"/>
      <w:lang w:val="en-GB"/>
    </w:rPr>
  </w:style>
  <w:style w:type="paragraph" w:customStyle="1" w:styleId="18">
    <w:name w:val="表中文字"/>
    <w:basedOn w:val="1"/>
    <w:link w:val="19"/>
    <w:qFormat/>
    <w:uiPriority w:val="0"/>
    <w:pPr>
      <w:spacing w:before="60" w:after="60"/>
      <w:jc w:val="center"/>
    </w:pPr>
    <w:rPr>
      <w:rFonts w:eastAsia="宋体" w:cs="Times New Roman"/>
      <w:bCs/>
      <w:kern w:val="44"/>
      <w:sz w:val="21"/>
      <w:szCs w:val="21"/>
      <w14:ligatures w14:val="none"/>
    </w:rPr>
  </w:style>
  <w:style w:type="character" w:customStyle="1" w:styleId="19">
    <w:name w:val="表中文字 字符"/>
    <w:basedOn w:val="9"/>
    <w:link w:val="18"/>
    <w:qFormat/>
    <w:uiPriority w:val="0"/>
    <w:rPr>
      <w:rFonts w:ascii="Times New Roman" w:hAnsi="Times New Roman" w:eastAsia="宋体" w:cs="Times New Roman"/>
      <w:bCs/>
      <w:kern w:val="44"/>
      <w:sz w:val="21"/>
      <w:szCs w:val="21"/>
      <w14:ligatures w14:val="none"/>
    </w:rPr>
  </w:style>
  <w:style w:type="character" w:customStyle="1" w:styleId="20">
    <w:name w:val="15"/>
    <w:basedOn w:val="9"/>
    <w:qFormat/>
    <w:uiPriority w:val="0"/>
    <w:rPr>
      <w:rFonts w:hint="default" w:ascii="Times New Roman" w:hAnsi="Times New Roman" w:cs="Times New Roman"/>
      <w:b/>
      <w:bCs/>
    </w:rPr>
  </w:style>
  <w:style w:type="paragraph" w:styleId="21">
    <w:name w:val="List Paragraph"/>
    <w:basedOn w:val="1"/>
    <w:qFormat/>
    <w:uiPriority w:val="34"/>
    <w:pPr>
      <w:ind w:firstLine="420"/>
    </w:pPr>
  </w:style>
  <w:style w:type="character" w:customStyle="1" w:styleId="22">
    <w:name w:val="Unresolved Mention"/>
    <w:basedOn w:val="9"/>
    <w:semiHidden/>
    <w:unhideWhenUsed/>
    <w:uiPriority w:val="99"/>
    <w:rPr>
      <w:color w:val="605E5C"/>
      <w:shd w:val="clear" w:color="auto" w:fill="E1DFDD"/>
    </w:rPr>
  </w:style>
  <w:style w:type="paragraph" w:customStyle="1" w:styleId="23">
    <w:name w:val="TOC Heading"/>
    <w:basedOn w:val="2"/>
    <w:next w:val="1"/>
    <w:unhideWhenUsed/>
    <w:qFormat/>
    <w:uiPriority w:val="39"/>
    <w:pPr>
      <w:widowControl/>
      <w:spacing w:before="240" w:after="0" w:line="259" w:lineRule="auto"/>
      <w:ind w:firstLine="0" w:firstLineChars="0"/>
      <w:jc w:val="left"/>
      <w:outlineLvl w:val="9"/>
    </w:pPr>
    <w:rPr>
      <w:rFonts w:asciiTheme="majorHAnsi" w:hAnsiTheme="majorHAnsi" w:eastAsiaTheme="majorEastAsia" w:cstheme="majorBidi"/>
      <w:color w:val="104862"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svg"/><Relationship Id="rId32" Type="http://schemas.openxmlformats.org/officeDocument/2006/relationships/image" Target="media/image19.png"/><Relationship Id="rId31" Type="http://schemas.openxmlformats.org/officeDocument/2006/relationships/image" Target="media/image18.sv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svg"/><Relationship Id="rId27" Type="http://schemas.openxmlformats.org/officeDocument/2006/relationships/image" Target="media/image14.png"/><Relationship Id="rId26" Type="http://schemas.openxmlformats.org/officeDocument/2006/relationships/image" Target="media/image13.sv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emf"/><Relationship Id="rId21" Type="http://schemas.openxmlformats.org/officeDocument/2006/relationships/oleObject" Target="embeddings/oleObject2.bin"/><Relationship Id="rId20" Type="http://schemas.openxmlformats.org/officeDocument/2006/relationships/image" Target="media/image8.sv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svg"/><Relationship Id="rId16" Type="http://schemas.openxmlformats.org/officeDocument/2006/relationships/image" Target="media/image4.png"/><Relationship Id="rId15" Type="http://schemas.openxmlformats.org/officeDocument/2006/relationships/image" Target="media/image3.svg"/><Relationship Id="rId14" Type="http://schemas.openxmlformats.org/officeDocument/2006/relationships/image" Target="media/image2.png"/><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9F230D-4D7C-4A9B-B20D-361375918D6E}">
  <ds:schemaRefs/>
</ds:datastoreItem>
</file>

<file path=docProps/app.xml><?xml version="1.0" encoding="utf-8"?>
<Properties xmlns="http://schemas.openxmlformats.org/officeDocument/2006/extended-properties" xmlns:vt="http://schemas.openxmlformats.org/officeDocument/2006/docPropsVTypes">
  <Template>Normal.dotm</Template>
  <Pages>13</Pages>
  <Words>1513</Words>
  <Characters>8124</Characters>
  <Lines>242</Lines>
  <Paragraphs>140</Paragraphs>
  <TotalTime>29</TotalTime>
  <ScaleCrop>false</ScaleCrop>
  <LinksUpToDate>false</LinksUpToDate>
  <CharactersWithSpaces>9536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2026-01-13T12:25:00Z</dcterms:created>
  <dc:creator>德龙 马</dc:creator>
  <cp:lastModifiedBy>jiaying</cp:lastModifiedBy>
  <dcterms:modified xsi:type="dcterms:W3CDTF">2026-01-14T13:16:31Z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eyJoZGlkIjoiYjNhZmI2YjlhMzg0NzBlMTFjOGU1YmM4YzBiNmY3YTciLCJ1c2VySWQiOiI0MzA4NTAzNDMifQ==</vt:lpwstr>
  </property>
  <property fmtid="{D5CDD505-2E9C-101B-9397-08002B2CF9AE}" pid="3" name="KSOProductBuildVer">
    <vt:lpwstr>2052-12.1.0.24034</vt:lpwstr>
  </property>
  <property fmtid="{D5CDD505-2E9C-101B-9397-08002B2CF9AE}" pid="4" name="ICV">
    <vt:lpwstr>CD304B2ECE80402C875BE08861D9145C_12</vt:lpwstr>
  </property>
</Properties>
</file>