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D0931" w14:textId="77777777" w:rsidR="0020776F" w:rsidRPr="001E61E3" w:rsidRDefault="0020776F" w:rsidP="0020776F">
      <w:pPr>
        <w:pStyle w:val="NoSpacing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E61E3">
        <w:rPr>
          <w:rFonts w:ascii="Times New Roman" w:hAnsi="Times New Roman"/>
          <w:b/>
          <w:sz w:val="24"/>
          <w:szCs w:val="24"/>
        </w:rPr>
        <w:t>Statements &amp; Declarations</w:t>
      </w:r>
    </w:p>
    <w:p w14:paraId="5996931C" w14:textId="77777777" w:rsidR="0020776F" w:rsidRPr="001E61E3" w:rsidRDefault="0020776F" w:rsidP="0020776F">
      <w:pPr>
        <w:pStyle w:val="NoSpacing"/>
        <w:rPr>
          <w:rFonts w:ascii="Times New Roman" w:hAnsi="Times New Roman"/>
          <w:sz w:val="24"/>
          <w:szCs w:val="24"/>
        </w:rPr>
      </w:pPr>
    </w:p>
    <w:p w14:paraId="0096922F" w14:textId="77777777" w:rsidR="0020776F" w:rsidRDefault="0020776F" w:rsidP="0020776F">
      <w:pPr>
        <w:pStyle w:val="NoSpacing"/>
        <w:jc w:val="both"/>
        <w:rPr>
          <w:rFonts w:ascii="Times New Roman" w:hAnsi="Times New Roman"/>
          <w:iCs/>
          <w:sz w:val="24"/>
          <w:szCs w:val="24"/>
        </w:rPr>
      </w:pPr>
      <w:r w:rsidRPr="0026782D">
        <w:rPr>
          <w:rFonts w:ascii="Times New Roman" w:hAnsi="Times New Roman"/>
          <w:b/>
          <w:iCs/>
          <w:sz w:val="24"/>
          <w:szCs w:val="24"/>
        </w:rPr>
        <w:t>Conflict of Interest Statement</w:t>
      </w:r>
      <w:r>
        <w:rPr>
          <w:rFonts w:ascii="Times New Roman" w:hAnsi="Times New Roman"/>
          <w:iCs/>
          <w:sz w:val="24"/>
          <w:szCs w:val="24"/>
        </w:rPr>
        <w:t>: There are no known potential or perceivable conflicts of interest in the production of this study.</w:t>
      </w:r>
    </w:p>
    <w:p w14:paraId="2B72D5F7" w14:textId="77777777" w:rsidR="0020776F" w:rsidRPr="0026782D" w:rsidRDefault="0020776F" w:rsidP="0020776F">
      <w:pPr>
        <w:pStyle w:val="NoSpacing"/>
        <w:jc w:val="both"/>
        <w:rPr>
          <w:rFonts w:ascii="Times New Roman" w:hAnsi="Times New Roman"/>
          <w:iCs/>
          <w:sz w:val="24"/>
          <w:szCs w:val="24"/>
        </w:rPr>
      </w:pPr>
    </w:p>
    <w:p w14:paraId="6F8723BE" w14:textId="77777777" w:rsidR="0020776F" w:rsidRDefault="0020776F" w:rsidP="0020776F">
      <w:pPr>
        <w:pStyle w:val="NoSpacing"/>
        <w:jc w:val="both"/>
        <w:rPr>
          <w:rFonts w:ascii="Times New Roman" w:hAnsi="Times New Roman"/>
          <w:iCs/>
          <w:sz w:val="24"/>
          <w:szCs w:val="24"/>
        </w:rPr>
      </w:pPr>
      <w:r w:rsidRPr="002809CD">
        <w:rPr>
          <w:rFonts w:ascii="Times New Roman" w:hAnsi="Times New Roman"/>
          <w:b/>
          <w:iCs/>
          <w:sz w:val="24"/>
          <w:szCs w:val="24"/>
        </w:rPr>
        <w:t>Funding</w:t>
      </w:r>
      <w:r>
        <w:rPr>
          <w:rFonts w:ascii="Times New Roman" w:hAnsi="Times New Roman"/>
          <w:b/>
          <w:iCs/>
          <w:sz w:val="24"/>
          <w:szCs w:val="24"/>
        </w:rPr>
        <w:t xml:space="preserve"> Statement</w:t>
      </w:r>
      <w:r>
        <w:rPr>
          <w:rFonts w:ascii="Times New Roman" w:hAnsi="Times New Roman"/>
          <w:iCs/>
          <w:sz w:val="24"/>
          <w:szCs w:val="24"/>
        </w:rPr>
        <w:t>: The cost of undertaking this study were completely borne by the above-named Authors.</w:t>
      </w:r>
    </w:p>
    <w:p w14:paraId="2E733283" w14:textId="77777777" w:rsidR="0020776F" w:rsidRDefault="0020776F" w:rsidP="0020776F">
      <w:pPr>
        <w:pStyle w:val="NoSpacing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14659ED7" w14:textId="6EAAE411" w:rsidR="0020776F" w:rsidRDefault="0020776F" w:rsidP="0020776F">
      <w:pPr>
        <w:pStyle w:val="NoSpacing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Acknowledgement</w:t>
      </w:r>
      <w:r>
        <w:rPr>
          <w:rFonts w:ascii="Times New Roman" w:hAnsi="Times New Roman"/>
          <w:iCs/>
          <w:sz w:val="24"/>
          <w:szCs w:val="24"/>
        </w:rPr>
        <w:t xml:space="preserve">: The conceptualization, literature review, data analysis and writing were done by Wisdom Agape Newman (PhD). Prof. Lord Cephas </w:t>
      </w:r>
      <w:proofErr w:type="spellStart"/>
      <w:r>
        <w:rPr>
          <w:rFonts w:ascii="Times New Roman" w:hAnsi="Times New Roman"/>
          <w:iCs/>
          <w:sz w:val="24"/>
          <w:szCs w:val="24"/>
        </w:rPr>
        <w:t>Yevugah-Mawuko</w:t>
      </w:r>
      <w:proofErr w:type="spellEnd"/>
      <w:r w:rsidR="00BE6787">
        <w:rPr>
          <w:rFonts w:ascii="Times New Roman" w:hAnsi="Times New Roman"/>
          <w:iCs/>
          <w:sz w:val="24"/>
          <w:szCs w:val="24"/>
        </w:rPr>
        <w:t xml:space="preserve"> (PhD</w:t>
      </w:r>
      <w:bookmarkStart w:id="0" w:name="_GoBack"/>
      <w:bookmarkEnd w:id="0"/>
      <w:r w:rsidR="00BE6787">
        <w:rPr>
          <w:rFonts w:ascii="Times New Roman" w:hAnsi="Times New Roman"/>
          <w:iCs/>
          <w:sz w:val="24"/>
          <w:szCs w:val="24"/>
        </w:rPr>
        <w:t>)</w:t>
      </w:r>
      <w:r>
        <w:rPr>
          <w:rFonts w:ascii="Times New Roman" w:hAnsi="Times New Roman"/>
          <w:iCs/>
          <w:sz w:val="24"/>
          <w:szCs w:val="24"/>
        </w:rPr>
        <w:t xml:space="preserve"> provided guidance and supervision.</w:t>
      </w:r>
    </w:p>
    <w:p w14:paraId="198B4A04" w14:textId="77777777" w:rsidR="0020776F" w:rsidRDefault="0020776F" w:rsidP="0020776F">
      <w:pPr>
        <w:pStyle w:val="NoSpacing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0FA33FDE" w14:textId="77777777" w:rsidR="0020776F" w:rsidRPr="001E61E3" w:rsidRDefault="0020776F" w:rsidP="0020776F">
      <w:pPr>
        <w:pStyle w:val="NoSpacing"/>
        <w:jc w:val="both"/>
        <w:rPr>
          <w:rStyle w:val="Emphasis"/>
          <w:i w:val="0"/>
        </w:rPr>
      </w:pPr>
      <w:r>
        <w:rPr>
          <w:rFonts w:ascii="Times New Roman" w:hAnsi="Times New Roman"/>
          <w:b/>
          <w:iCs/>
          <w:sz w:val="24"/>
          <w:szCs w:val="24"/>
        </w:rPr>
        <w:t>Data Availability Statement</w:t>
      </w:r>
      <w:r>
        <w:rPr>
          <w:rFonts w:ascii="Times New Roman" w:hAnsi="Times New Roman"/>
          <w:iCs/>
          <w:sz w:val="24"/>
          <w:szCs w:val="24"/>
        </w:rPr>
        <w:t>: The data which was used in conducting this study will be readily available upon request.</w:t>
      </w:r>
    </w:p>
    <w:p w14:paraId="04D5D4E9" w14:textId="77777777" w:rsidR="0020776F" w:rsidRPr="001E61E3" w:rsidRDefault="0020776F" w:rsidP="0020776F">
      <w:pPr>
        <w:pStyle w:val="NoSpacing"/>
        <w:rPr>
          <w:rFonts w:ascii="Times New Roman" w:hAnsi="Times New Roman"/>
          <w:sz w:val="24"/>
          <w:szCs w:val="24"/>
        </w:rPr>
      </w:pPr>
    </w:p>
    <w:p w14:paraId="1A559709" w14:textId="77777777" w:rsidR="0020776F" w:rsidRPr="0067137A" w:rsidRDefault="0020776F" w:rsidP="0020776F">
      <w:pPr>
        <w:pStyle w:val="NoSpacing"/>
        <w:rPr>
          <w:rFonts w:ascii="Times New Roman" w:hAnsi="Times New Roman"/>
          <w:b/>
          <w:sz w:val="24"/>
          <w:szCs w:val="24"/>
        </w:rPr>
      </w:pPr>
      <w:r w:rsidRPr="0067137A">
        <w:rPr>
          <w:rFonts w:ascii="Times New Roman" w:hAnsi="Times New Roman"/>
          <w:b/>
          <w:sz w:val="24"/>
          <w:szCs w:val="24"/>
        </w:rPr>
        <w:t>Ethical Approval</w:t>
      </w:r>
    </w:p>
    <w:p w14:paraId="608FE412" w14:textId="77777777" w:rsidR="0020776F" w:rsidRPr="001E61E3" w:rsidRDefault="0020776F" w:rsidP="0020776F">
      <w:pPr>
        <w:pStyle w:val="NoSpacing"/>
        <w:rPr>
          <w:rFonts w:ascii="Times New Roman" w:hAnsi="Times New Roman"/>
          <w:sz w:val="24"/>
          <w:szCs w:val="24"/>
        </w:rPr>
      </w:pPr>
      <w:r w:rsidRPr="001E61E3">
        <w:rPr>
          <w:rFonts w:ascii="Times New Roman" w:hAnsi="Times New Roman"/>
          <w:sz w:val="24"/>
          <w:szCs w:val="24"/>
        </w:rPr>
        <w:t>Not applicable</w:t>
      </w:r>
    </w:p>
    <w:p w14:paraId="0B2D8266" w14:textId="77777777" w:rsidR="0020776F" w:rsidRPr="001E61E3" w:rsidRDefault="0020776F" w:rsidP="0020776F">
      <w:pPr>
        <w:pStyle w:val="NoSpacing"/>
        <w:rPr>
          <w:rFonts w:ascii="Times New Roman" w:hAnsi="Times New Roman"/>
          <w:sz w:val="24"/>
          <w:szCs w:val="24"/>
        </w:rPr>
      </w:pPr>
    </w:p>
    <w:p w14:paraId="6BF04032" w14:textId="77777777" w:rsidR="0020776F" w:rsidRPr="0067137A" w:rsidRDefault="0020776F" w:rsidP="0020776F">
      <w:pPr>
        <w:pStyle w:val="NoSpacing"/>
        <w:rPr>
          <w:rFonts w:ascii="Times New Roman" w:hAnsi="Times New Roman"/>
          <w:b/>
          <w:sz w:val="24"/>
          <w:szCs w:val="24"/>
        </w:rPr>
      </w:pPr>
      <w:r w:rsidRPr="0067137A">
        <w:rPr>
          <w:rFonts w:ascii="Times New Roman" w:hAnsi="Times New Roman"/>
          <w:b/>
          <w:sz w:val="24"/>
          <w:szCs w:val="24"/>
        </w:rPr>
        <w:t>Consent to Participate</w:t>
      </w:r>
    </w:p>
    <w:p w14:paraId="7ADBA064" w14:textId="77777777" w:rsidR="0020776F" w:rsidRPr="001E61E3" w:rsidRDefault="0020776F" w:rsidP="0020776F">
      <w:pPr>
        <w:pStyle w:val="NoSpacing"/>
        <w:rPr>
          <w:rFonts w:ascii="Times New Roman" w:hAnsi="Times New Roman"/>
          <w:sz w:val="24"/>
          <w:szCs w:val="24"/>
        </w:rPr>
      </w:pPr>
      <w:r w:rsidRPr="001E61E3">
        <w:rPr>
          <w:rFonts w:ascii="Times New Roman" w:hAnsi="Times New Roman"/>
          <w:sz w:val="24"/>
          <w:szCs w:val="24"/>
        </w:rPr>
        <w:t>Not applicable</w:t>
      </w:r>
    </w:p>
    <w:p w14:paraId="56A521A0" w14:textId="77777777" w:rsidR="0020776F" w:rsidRPr="001E61E3" w:rsidRDefault="0020776F" w:rsidP="0020776F">
      <w:pPr>
        <w:pStyle w:val="NoSpacing"/>
        <w:rPr>
          <w:rFonts w:ascii="Times New Roman" w:hAnsi="Times New Roman"/>
          <w:sz w:val="24"/>
          <w:szCs w:val="24"/>
        </w:rPr>
      </w:pPr>
    </w:p>
    <w:p w14:paraId="1807D65D" w14:textId="77777777" w:rsidR="0020776F" w:rsidRPr="0067137A" w:rsidRDefault="0020776F" w:rsidP="0020776F">
      <w:pPr>
        <w:pStyle w:val="NoSpacing"/>
        <w:rPr>
          <w:rFonts w:ascii="Times New Roman" w:hAnsi="Times New Roman"/>
          <w:b/>
          <w:sz w:val="24"/>
          <w:szCs w:val="24"/>
        </w:rPr>
      </w:pPr>
      <w:r w:rsidRPr="0067137A">
        <w:rPr>
          <w:rFonts w:ascii="Times New Roman" w:hAnsi="Times New Roman"/>
          <w:b/>
          <w:sz w:val="24"/>
          <w:szCs w:val="24"/>
        </w:rPr>
        <w:t>Consent to Publish</w:t>
      </w:r>
    </w:p>
    <w:p w14:paraId="7FB75C16" w14:textId="77777777" w:rsidR="0020776F" w:rsidRPr="001E61E3" w:rsidRDefault="0020776F" w:rsidP="0020776F">
      <w:pPr>
        <w:pStyle w:val="NoSpacing"/>
        <w:rPr>
          <w:rFonts w:ascii="Times New Roman" w:hAnsi="Times New Roman"/>
          <w:sz w:val="24"/>
          <w:szCs w:val="24"/>
        </w:rPr>
      </w:pPr>
      <w:r w:rsidRPr="001E61E3">
        <w:rPr>
          <w:rFonts w:ascii="Times New Roman" w:hAnsi="Times New Roman"/>
          <w:sz w:val="24"/>
          <w:szCs w:val="24"/>
        </w:rPr>
        <w:t>Not applicable</w:t>
      </w:r>
    </w:p>
    <w:p w14:paraId="01D46ACB" w14:textId="77777777" w:rsidR="0026782D" w:rsidRDefault="0026782D" w:rsidP="00C50A57">
      <w:pPr>
        <w:pStyle w:val="NoSpacing"/>
        <w:jc w:val="both"/>
        <w:rPr>
          <w:rFonts w:ascii="Times New Roman" w:hAnsi="Times New Roman"/>
          <w:iCs/>
          <w:sz w:val="24"/>
          <w:szCs w:val="24"/>
        </w:rPr>
      </w:pPr>
    </w:p>
    <w:p w14:paraId="3FC7616E" w14:textId="2D6456E4" w:rsidR="008D2460" w:rsidRPr="0026782D" w:rsidRDefault="008D2460" w:rsidP="00C50A57">
      <w:pPr>
        <w:pStyle w:val="NoSpacing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sectPr w:rsidR="008D2460" w:rsidRPr="0026782D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2497C3" w14:textId="77777777" w:rsidR="007354F5" w:rsidRDefault="007354F5" w:rsidP="00086CEB">
      <w:pPr>
        <w:spacing w:after="0" w:line="240" w:lineRule="auto"/>
      </w:pPr>
      <w:r>
        <w:separator/>
      </w:r>
    </w:p>
  </w:endnote>
  <w:endnote w:type="continuationSeparator" w:id="0">
    <w:p w14:paraId="3F94CA5C" w14:textId="77777777" w:rsidR="007354F5" w:rsidRDefault="007354F5" w:rsidP="00086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727279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A31631" w14:textId="3AB87305" w:rsidR="004E35DF" w:rsidRDefault="004E35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1CB6E9" w14:textId="77777777" w:rsidR="004E35DF" w:rsidRDefault="004E35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A77F10" w14:textId="77777777" w:rsidR="007354F5" w:rsidRDefault="007354F5" w:rsidP="00086CEB">
      <w:pPr>
        <w:spacing w:after="0" w:line="240" w:lineRule="auto"/>
      </w:pPr>
      <w:r>
        <w:separator/>
      </w:r>
    </w:p>
  </w:footnote>
  <w:footnote w:type="continuationSeparator" w:id="0">
    <w:p w14:paraId="48CD95B4" w14:textId="77777777" w:rsidR="007354F5" w:rsidRDefault="007354F5" w:rsidP="00086C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37B92"/>
    <w:multiLevelType w:val="hybridMultilevel"/>
    <w:tmpl w:val="BFEA14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60D62"/>
    <w:multiLevelType w:val="multilevel"/>
    <w:tmpl w:val="35DA4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F973C2"/>
    <w:multiLevelType w:val="multilevel"/>
    <w:tmpl w:val="3AD6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CC2364"/>
    <w:multiLevelType w:val="hybridMultilevel"/>
    <w:tmpl w:val="3C68B4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B3DEE"/>
    <w:multiLevelType w:val="hybridMultilevel"/>
    <w:tmpl w:val="29D2D9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266B6"/>
    <w:multiLevelType w:val="hybridMultilevel"/>
    <w:tmpl w:val="43FEC8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A5BF5"/>
    <w:multiLevelType w:val="hybridMultilevel"/>
    <w:tmpl w:val="2E4A47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212BC1"/>
    <w:multiLevelType w:val="multilevel"/>
    <w:tmpl w:val="AAAC1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7C4A6A"/>
    <w:multiLevelType w:val="hybridMultilevel"/>
    <w:tmpl w:val="EC8C5D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5B27DB"/>
    <w:multiLevelType w:val="multilevel"/>
    <w:tmpl w:val="6BA03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D37200"/>
    <w:multiLevelType w:val="multilevel"/>
    <w:tmpl w:val="5CCC8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106716"/>
    <w:multiLevelType w:val="hybridMultilevel"/>
    <w:tmpl w:val="54AA6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1936CE"/>
    <w:multiLevelType w:val="multilevel"/>
    <w:tmpl w:val="5210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C33910"/>
    <w:multiLevelType w:val="multilevel"/>
    <w:tmpl w:val="583C82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20" w:hanging="66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4" w15:restartNumberingAfterBreak="0">
    <w:nsid w:val="220F549E"/>
    <w:multiLevelType w:val="multilevel"/>
    <w:tmpl w:val="E90855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25C4D5A"/>
    <w:multiLevelType w:val="multilevel"/>
    <w:tmpl w:val="620CE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7564750"/>
    <w:multiLevelType w:val="hybridMultilevel"/>
    <w:tmpl w:val="E0FE04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225758"/>
    <w:multiLevelType w:val="multilevel"/>
    <w:tmpl w:val="611AAA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284358E2"/>
    <w:multiLevelType w:val="hybridMultilevel"/>
    <w:tmpl w:val="46BC13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DC2115"/>
    <w:multiLevelType w:val="multilevel"/>
    <w:tmpl w:val="A5786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E8614EC"/>
    <w:multiLevelType w:val="multilevel"/>
    <w:tmpl w:val="A4E6A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0253B77"/>
    <w:multiLevelType w:val="hybridMultilevel"/>
    <w:tmpl w:val="03F63E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1640DD"/>
    <w:multiLevelType w:val="hybridMultilevel"/>
    <w:tmpl w:val="3D0696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4426BB"/>
    <w:multiLevelType w:val="multilevel"/>
    <w:tmpl w:val="0EB23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95E0B59"/>
    <w:multiLevelType w:val="hybridMultilevel"/>
    <w:tmpl w:val="300241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5831F0"/>
    <w:multiLevelType w:val="multilevel"/>
    <w:tmpl w:val="0B703A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3D8A2935"/>
    <w:multiLevelType w:val="multilevel"/>
    <w:tmpl w:val="1466D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1761E83"/>
    <w:multiLevelType w:val="multilevel"/>
    <w:tmpl w:val="7B8AF5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0E93496"/>
    <w:multiLevelType w:val="multilevel"/>
    <w:tmpl w:val="295C2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128444C"/>
    <w:multiLevelType w:val="hybridMultilevel"/>
    <w:tmpl w:val="70D887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A9770A"/>
    <w:multiLevelType w:val="multilevel"/>
    <w:tmpl w:val="FA1C8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59A409B"/>
    <w:multiLevelType w:val="hybridMultilevel"/>
    <w:tmpl w:val="6FE07C0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6AB1B09"/>
    <w:multiLevelType w:val="hybridMultilevel"/>
    <w:tmpl w:val="9F40E9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B28FA"/>
    <w:multiLevelType w:val="hybridMultilevel"/>
    <w:tmpl w:val="D826B2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B3B2A18"/>
    <w:multiLevelType w:val="hybridMultilevel"/>
    <w:tmpl w:val="1E3062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714668"/>
    <w:multiLevelType w:val="hybridMultilevel"/>
    <w:tmpl w:val="AE34A9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38001E"/>
    <w:multiLevelType w:val="hybridMultilevel"/>
    <w:tmpl w:val="78ACCD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466A12"/>
    <w:multiLevelType w:val="hybridMultilevel"/>
    <w:tmpl w:val="046CF2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9B305F"/>
    <w:multiLevelType w:val="multilevel"/>
    <w:tmpl w:val="A594AA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9" w15:restartNumberingAfterBreak="0">
    <w:nsid w:val="644E60E2"/>
    <w:multiLevelType w:val="hybridMultilevel"/>
    <w:tmpl w:val="7F5C89A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797B04"/>
    <w:multiLevelType w:val="hybridMultilevel"/>
    <w:tmpl w:val="5808A3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920DEF"/>
    <w:multiLevelType w:val="hybridMultilevel"/>
    <w:tmpl w:val="5972D9A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0F7278"/>
    <w:multiLevelType w:val="multilevel"/>
    <w:tmpl w:val="5CC21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526CCF"/>
    <w:multiLevelType w:val="hybridMultilevel"/>
    <w:tmpl w:val="17AED4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566487"/>
    <w:multiLevelType w:val="hybridMultilevel"/>
    <w:tmpl w:val="B5C241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F22AB0"/>
    <w:multiLevelType w:val="hybridMultilevel"/>
    <w:tmpl w:val="4A2264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9602D4"/>
    <w:multiLevelType w:val="hybridMultilevel"/>
    <w:tmpl w:val="5C6E4F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6969C2"/>
    <w:multiLevelType w:val="hybridMultilevel"/>
    <w:tmpl w:val="083411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3B688F"/>
    <w:multiLevelType w:val="hybridMultilevel"/>
    <w:tmpl w:val="360E306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7"/>
  </w:num>
  <w:num w:numId="3">
    <w:abstractNumId w:val="47"/>
  </w:num>
  <w:num w:numId="4">
    <w:abstractNumId w:val="38"/>
  </w:num>
  <w:num w:numId="5">
    <w:abstractNumId w:val="46"/>
  </w:num>
  <w:num w:numId="6">
    <w:abstractNumId w:val="36"/>
  </w:num>
  <w:num w:numId="7">
    <w:abstractNumId w:val="34"/>
  </w:num>
  <w:num w:numId="8">
    <w:abstractNumId w:val="41"/>
  </w:num>
  <w:num w:numId="9">
    <w:abstractNumId w:val="48"/>
  </w:num>
  <w:num w:numId="10">
    <w:abstractNumId w:val="45"/>
  </w:num>
  <w:num w:numId="11">
    <w:abstractNumId w:val="39"/>
  </w:num>
  <w:num w:numId="12">
    <w:abstractNumId w:val="8"/>
  </w:num>
  <w:num w:numId="13">
    <w:abstractNumId w:val="13"/>
  </w:num>
  <w:num w:numId="14">
    <w:abstractNumId w:val="37"/>
  </w:num>
  <w:num w:numId="15">
    <w:abstractNumId w:val="21"/>
  </w:num>
  <w:num w:numId="16">
    <w:abstractNumId w:val="18"/>
  </w:num>
  <w:num w:numId="17">
    <w:abstractNumId w:val="22"/>
  </w:num>
  <w:num w:numId="18">
    <w:abstractNumId w:val="11"/>
  </w:num>
  <w:num w:numId="19">
    <w:abstractNumId w:val="27"/>
  </w:num>
  <w:num w:numId="20">
    <w:abstractNumId w:val="3"/>
  </w:num>
  <w:num w:numId="21">
    <w:abstractNumId w:val="14"/>
  </w:num>
  <w:num w:numId="22">
    <w:abstractNumId w:val="26"/>
  </w:num>
  <w:num w:numId="23">
    <w:abstractNumId w:val="23"/>
  </w:num>
  <w:num w:numId="24">
    <w:abstractNumId w:val="33"/>
  </w:num>
  <w:num w:numId="25">
    <w:abstractNumId w:val="0"/>
  </w:num>
  <w:num w:numId="26">
    <w:abstractNumId w:val="24"/>
  </w:num>
  <w:num w:numId="27">
    <w:abstractNumId w:val="40"/>
  </w:num>
  <w:num w:numId="28">
    <w:abstractNumId w:val="31"/>
  </w:num>
  <w:num w:numId="29">
    <w:abstractNumId w:val="5"/>
  </w:num>
  <w:num w:numId="30">
    <w:abstractNumId w:val="35"/>
  </w:num>
  <w:num w:numId="31">
    <w:abstractNumId w:val="29"/>
  </w:num>
  <w:num w:numId="32">
    <w:abstractNumId w:val="16"/>
  </w:num>
  <w:num w:numId="33">
    <w:abstractNumId w:val="44"/>
  </w:num>
  <w:num w:numId="34">
    <w:abstractNumId w:val="43"/>
  </w:num>
  <w:num w:numId="35">
    <w:abstractNumId w:val="4"/>
  </w:num>
  <w:num w:numId="36">
    <w:abstractNumId w:val="6"/>
  </w:num>
  <w:num w:numId="37">
    <w:abstractNumId w:val="19"/>
  </w:num>
  <w:num w:numId="38">
    <w:abstractNumId w:val="32"/>
  </w:num>
  <w:num w:numId="39">
    <w:abstractNumId w:val="20"/>
  </w:num>
  <w:num w:numId="40">
    <w:abstractNumId w:val="9"/>
  </w:num>
  <w:num w:numId="41">
    <w:abstractNumId w:val="28"/>
  </w:num>
  <w:num w:numId="42">
    <w:abstractNumId w:val="1"/>
  </w:num>
  <w:num w:numId="43">
    <w:abstractNumId w:val="15"/>
  </w:num>
  <w:num w:numId="44">
    <w:abstractNumId w:val="42"/>
  </w:num>
  <w:num w:numId="45">
    <w:abstractNumId w:val="7"/>
  </w:num>
  <w:num w:numId="46">
    <w:abstractNumId w:val="12"/>
  </w:num>
  <w:num w:numId="47">
    <w:abstractNumId w:val="2"/>
  </w:num>
  <w:num w:numId="48">
    <w:abstractNumId w:val="10"/>
  </w:num>
  <w:num w:numId="4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859"/>
    <w:rsid w:val="0000662B"/>
    <w:rsid w:val="0000742A"/>
    <w:rsid w:val="00010A4F"/>
    <w:rsid w:val="00020D65"/>
    <w:rsid w:val="000254C0"/>
    <w:rsid w:val="000373C8"/>
    <w:rsid w:val="00062AA4"/>
    <w:rsid w:val="00063B07"/>
    <w:rsid w:val="0006612F"/>
    <w:rsid w:val="000740FE"/>
    <w:rsid w:val="00075CE3"/>
    <w:rsid w:val="000868A4"/>
    <w:rsid w:val="00086CEB"/>
    <w:rsid w:val="000876A1"/>
    <w:rsid w:val="000A4988"/>
    <w:rsid w:val="000B21DD"/>
    <w:rsid w:val="000C5E5A"/>
    <w:rsid w:val="000D0055"/>
    <w:rsid w:val="000E1686"/>
    <w:rsid w:val="000F5E91"/>
    <w:rsid w:val="000F73C0"/>
    <w:rsid w:val="00113253"/>
    <w:rsid w:val="001179D6"/>
    <w:rsid w:val="0012504F"/>
    <w:rsid w:val="00126EC9"/>
    <w:rsid w:val="00126F1C"/>
    <w:rsid w:val="00132304"/>
    <w:rsid w:val="0013702C"/>
    <w:rsid w:val="00164DAD"/>
    <w:rsid w:val="00174229"/>
    <w:rsid w:val="0017693F"/>
    <w:rsid w:val="0018659D"/>
    <w:rsid w:val="00195006"/>
    <w:rsid w:val="00196193"/>
    <w:rsid w:val="001C3ED6"/>
    <w:rsid w:val="001C623C"/>
    <w:rsid w:val="001C6989"/>
    <w:rsid w:val="001D3A3B"/>
    <w:rsid w:val="001D3E66"/>
    <w:rsid w:val="001D6C50"/>
    <w:rsid w:val="001E58D2"/>
    <w:rsid w:val="001F0D6E"/>
    <w:rsid w:val="0020776F"/>
    <w:rsid w:val="00213245"/>
    <w:rsid w:val="00216CED"/>
    <w:rsid w:val="00234FCA"/>
    <w:rsid w:val="00234FCC"/>
    <w:rsid w:val="002378F7"/>
    <w:rsid w:val="002430C0"/>
    <w:rsid w:val="00257B2C"/>
    <w:rsid w:val="00264FB1"/>
    <w:rsid w:val="002662F7"/>
    <w:rsid w:val="0026782D"/>
    <w:rsid w:val="00276C97"/>
    <w:rsid w:val="002809CD"/>
    <w:rsid w:val="00281B43"/>
    <w:rsid w:val="00282E3A"/>
    <w:rsid w:val="002938D8"/>
    <w:rsid w:val="002A461D"/>
    <w:rsid w:val="002A6616"/>
    <w:rsid w:val="002B6616"/>
    <w:rsid w:val="002C64AC"/>
    <w:rsid w:val="002C7DF7"/>
    <w:rsid w:val="002D29AA"/>
    <w:rsid w:val="002D6859"/>
    <w:rsid w:val="002E286E"/>
    <w:rsid w:val="002E538E"/>
    <w:rsid w:val="0030340E"/>
    <w:rsid w:val="00304993"/>
    <w:rsid w:val="003159D8"/>
    <w:rsid w:val="0033574F"/>
    <w:rsid w:val="0034251F"/>
    <w:rsid w:val="00345C61"/>
    <w:rsid w:val="00352733"/>
    <w:rsid w:val="00352EA8"/>
    <w:rsid w:val="00361FC2"/>
    <w:rsid w:val="0036313C"/>
    <w:rsid w:val="00363498"/>
    <w:rsid w:val="003641C7"/>
    <w:rsid w:val="00373559"/>
    <w:rsid w:val="003C54A4"/>
    <w:rsid w:val="003C6D0A"/>
    <w:rsid w:val="003D66F3"/>
    <w:rsid w:val="003E5BEB"/>
    <w:rsid w:val="003F5EFC"/>
    <w:rsid w:val="004279C5"/>
    <w:rsid w:val="00430652"/>
    <w:rsid w:val="0045618B"/>
    <w:rsid w:val="0045720E"/>
    <w:rsid w:val="004600CA"/>
    <w:rsid w:val="004706B2"/>
    <w:rsid w:val="0047400D"/>
    <w:rsid w:val="00481E51"/>
    <w:rsid w:val="0049728D"/>
    <w:rsid w:val="004A202A"/>
    <w:rsid w:val="004B070F"/>
    <w:rsid w:val="004C2BF4"/>
    <w:rsid w:val="004C3C9A"/>
    <w:rsid w:val="004D5F1F"/>
    <w:rsid w:val="004E35DF"/>
    <w:rsid w:val="004F2F8C"/>
    <w:rsid w:val="004F2FB7"/>
    <w:rsid w:val="004F3B8B"/>
    <w:rsid w:val="00501B01"/>
    <w:rsid w:val="00502789"/>
    <w:rsid w:val="00505B93"/>
    <w:rsid w:val="00532AD8"/>
    <w:rsid w:val="00546D57"/>
    <w:rsid w:val="005510AA"/>
    <w:rsid w:val="005531A3"/>
    <w:rsid w:val="005710FC"/>
    <w:rsid w:val="00577817"/>
    <w:rsid w:val="00583B00"/>
    <w:rsid w:val="005A5D39"/>
    <w:rsid w:val="005A5FC9"/>
    <w:rsid w:val="005C49D3"/>
    <w:rsid w:val="005C76A9"/>
    <w:rsid w:val="005D0630"/>
    <w:rsid w:val="005E0354"/>
    <w:rsid w:val="005E1F60"/>
    <w:rsid w:val="005E4C71"/>
    <w:rsid w:val="005F36B8"/>
    <w:rsid w:val="005F5118"/>
    <w:rsid w:val="005F6F2C"/>
    <w:rsid w:val="00600F64"/>
    <w:rsid w:val="006168C9"/>
    <w:rsid w:val="00621937"/>
    <w:rsid w:val="00640ACF"/>
    <w:rsid w:val="006449A3"/>
    <w:rsid w:val="00647F92"/>
    <w:rsid w:val="006549FE"/>
    <w:rsid w:val="006607A8"/>
    <w:rsid w:val="00660975"/>
    <w:rsid w:val="00661449"/>
    <w:rsid w:val="0068374B"/>
    <w:rsid w:val="00690F30"/>
    <w:rsid w:val="00693F1B"/>
    <w:rsid w:val="006940D6"/>
    <w:rsid w:val="006B7C33"/>
    <w:rsid w:val="006C475A"/>
    <w:rsid w:val="006F091B"/>
    <w:rsid w:val="006F47CA"/>
    <w:rsid w:val="006F72F9"/>
    <w:rsid w:val="00705894"/>
    <w:rsid w:val="00705FA7"/>
    <w:rsid w:val="00713532"/>
    <w:rsid w:val="00724B56"/>
    <w:rsid w:val="007354F5"/>
    <w:rsid w:val="00737558"/>
    <w:rsid w:val="007444E2"/>
    <w:rsid w:val="00755473"/>
    <w:rsid w:val="007569D5"/>
    <w:rsid w:val="00765040"/>
    <w:rsid w:val="007940FA"/>
    <w:rsid w:val="007A1812"/>
    <w:rsid w:val="007B780B"/>
    <w:rsid w:val="007D535C"/>
    <w:rsid w:val="007E7A5B"/>
    <w:rsid w:val="008012CE"/>
    <w:rsid w:val="00801FDD"/>
    <w:rsid w:val="008045B4"/>
    <w:rsid w:val="00806F2A"/>
    <w:rsid w:val="0081061D"/>
    <w:rsid w:val="0081722C"/>
    <w:rsid w:val="00823410"/>
    <w:rsid w:val="00852545"/>
    <w:rsid w:val="0085477E"/>
    <w:rsid w:val="0085734C"/>
    <w:rsid w:val="008632B6"/>
    <w:rsid w:val="00864758"/>
    <w:rsid w:val="00866D08"/>
    <w:rsid w:val="008738A2"/>
    <w:rsid w:val="0088371F"/>
    <w:rsid w:val="0089191E"/>
    <w:rsid w:val="00894A2A"/>
    <w:rsid w:val="008A535F"/>
    <w:rsid w:val="008C6F2F"/>
    <w:rsid w:val="008D2460"/>
    <w:rsid w:val="008D4F7B"/>
    <w:rsid w:val="00902AD3"/>
    <w:rsid w:val="00914EBE"/>
    <w:rsid w:val="00922ED8"/>
    <w:rsid w:val="00935A3D"/>
    <w:rsid w:val="00947410"/>
    <w:rsid w:val="009519C3"/>
    <w:rsid w:val="00953B67"/>
    <w:rsid w:val="009556E8"/>
    <w:rsid w:val="00967613"/>
    <w:rsid w:val="009863E6"/>
    <w:rsid w:val="00990DF2"/>
    <w:rsid w:val="00992A98"/>
    <w:rsid w:val="009B15A1"/>
    <w:rsid w:val="009B7925"/>
    <w:rsid w:val="009C130B"/>
    <w:rsid w:val="009C55F5"/>
    <w:rsid w:val="009D42C5"/>
    <w:rsid w:val="009F3C53"/>
    <w:rsid w:val="00A03A66"/>
    <w:rsid w:val="00A04894"/>
    <w:rsid w:val="00A13BDE"/>
    <w:rsid w:val="00A20255"/>
    <w:rsid w:val="00A237C5"/>
    <w:rsid w:val="00A358E9"/>
    <w:rsid w:val="00A40876"/>
    <w:rsid w:val="00A46693"/>
    <w:rsid w:val="00A76E04"/>
    <w:rsid w:val="00A81519"/>
    <w:rsid w:val="00A862BB"/>
    <w:rsid w:val="00A964C9"/>
    <w:rsid w:val="00AB36D8"/>
    <w:rsid w:val="00AB7283"/>
    <w:rsid w:val="00AD062A"/>
    <w:rsid w:val="00AD64EB"/>
    <w:rsid w:val="00AE0885"/>
    <w:rsid w:val="00AE6AC7"/>
    <w:rsid w:val="00AF65D8"/>
    <w:rsid w:val="00B00792"/>
    <w:rsid w:val="00B16889"/>
    <w:rsid w:val="00B2465F"/>
    <w:rsid w:val="00B277EC"/>
    <w:rsid w:val="00B34A38"/>
    <w:rsid w:val="00B352BF"/>
    <w:rsid w:val="00B36B87"/>
    <w:rsid w:val="00B37A4A"/>
    <w:rsid w:val="00B56EDA"/>
    <w:rsid w:val="00B668DF"/>
    <w:rsid w:val="00B77FC7"/>
    <w:rsid w:val="00B90C94"/>
    <w:rsid w:val="00BA0C2E"/>
    <w:rsid w:val="00BA691E"/>
    <w:rsid w:val="00BC6E7B"/>
    <w:rsid w:val="00BD1899"/>
    <w:rsid w:val="00BD47D3"/>
    <w:rsid w:val="00BE047A"/>
    <w:rsid w:val="00BE6787"/>
    <w:rsid w:val="00BE6921"/>
    <w:rsid w:val="00C27DB4"/>
    <w:rsid w:val="00C35EF1"/>
    <w:rsid w:val="00C40098"/>
    <w:rsid w:val="00C4751C"/>
    <w:rsid w:val="00C50A57"/>
    <w:rsid w:val="00C50DDB"/>
    <w:rsid w:val="00C670F6"/>
    <w:rsid w:val="00C74437"/>
    <w:rsid w:val="00C7624E"/>
    <w:rsid w:val="00C871E7"/>
    <w:rsid w:val="00C95CC6"/>
    <w:rsid w:val="00CA0D11"/>
    <w:rsid w:val="00CD0327"/>
    <w:rsid w:val="00CD344F"/>
    <w:rsid w:val="00CD6169"/>
    <w:rsid w:val="00CE2CFE"/>
    <w:rsid w:val="00CE7581"/>
    <w:rsid w:val="00D01178"/>
    <w:rsid w:val="00D17266"/>
    <w:rsid w:val="00D221F6"/>
    <w:rsid w:val="00D30CAB"/>
    <w:rsid w:val="00D36999"/>
    <w:rsid w:val="00D41512"/>
    <w:rsid w:val="00D43D3E"/>
    <w:rsid w:val="00D44F60"/>
    <w:rsid w:val="00D5793C"/>
    <w:rsid w:val="00D643A9"/>
    <w:rsid w:val="00D67AE4"/>
    <w:rsid w:val="00D70507"/>
    <w:rsid w:val="00D9189F"/>
    <w:rsid w:val="00D97D74"/>
    <w:rsid w:val="00DA549B"/>
    <w:rsid w:val="00DC3230"/>
    <w:rsid w:val="00DC7145"/>
    <w:rsid w:val="00DC7AE1"/>
    <w:rsid w:val="00DD135D"/>
    <w:rsid w:val="00DE6DEA"/>
    <w:rsid w:val="00DF7148"/>
    <w:rsid w:val="00E156A2"/>
    <w:rsid w:val="00E231CC"/>
    <w:rsid w:val="00E235B2"/>
    <w:rsid w:val="00E308F8"/>
    <w:rsid w:val="00E36514"/>
    <w:rsid w:val="00E474A7"/>
    <w:rsid w:val="00E54BBB"/>
    <w:rsid w:val="00E567ED"/>
    <w:rsid w:val="00E60745"/>
    <w:rsid w:val="00E70BFA"/>
    <w:rsid w:val="00E7102E"/>
    <w:rsid w:val="00E81EE1"/>
    <w:rsid w:val="00E84C23"/>
    <w:rsid w:val="00E86534"/>
    <w:rsid w:val="00EA194C"/>
    <w:rsid w:val="00EC0514"/>
    <w:rsid w:val="00ED64F0"/>
    <w:rsid w:val="00EF0CF7"/>
    <w:rsid w:val="00F054C6"/>
    <w:rsid w:val="00F06595"/>
    <w:rsid w:val="00F110CB"/>
    <w:rsid w:val="00F17293"/>
    <w:rsid w:val="00F22CDB"/>
    <w:rsid w:val="00F2786C"/>
    <w:rsid w:val="00F5633C"/>
    <w:rsid w:val="00F60CA9"/>
    <w:rsid w:val="00F6205F"/>
    <w:rsid w:val="00F71031"/>
    <w:rsid w:val="00F729FC"/>
    <w:rsid w:val="00F90133"/>
    <w:rsid w:val="00F965E1"/>
    <w:rsid w:val="00FB170E"/>
    <w:rsid w:val="00FC3CE4"/>
    <w:rsid w:val="00FF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4417D"/>
  <w15:chartTrackingRefBased/>
  <w15:docId w15:val="{1656EE9D-CBA3-421D-AB74-8151BE766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0327"/>
  </w:style>
  <w:style w:type="paragraph" w:styleId="Heading1">
    <w:name w:val="heading 1"/>
    <w:basedOn w:val="Normal"/>
    <w:next w:val="Normal"/>
    <w:link w:val="Heading1Char"/>
    <w:uiPriority w:val="9"/>
    <w:qFormat/>
    <w:rsid w:val="00CD03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032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9D5"/>
    <w:pPr>
      <w:keepNext/>
      <w:keepLines/>
      <w:spacing w:before="160" w:after="120"/>
      <w:outlineLvl w:val="2"/>
    </w:pPr>
    <w:rPr>
      <w:rFonts w:ascii="Times New Roman" w:eastAsiaTheme="majorEastAsia" w:hAnsi="Times New Roman" w:cstheme="majorBidi"/>
      <w:b/>
      <w:i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2F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032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D03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9D5"/>
    <w:rPr>
      <w:rFonts w:ascii="Times New Roman" w:eastAsiaTheme="majorEastAsia" w:hAnsi="Times New Roman" w:cstheme="majorBidi"/>
      <w:b/>
      <w:i/>
      <w:sz w:val="24"/>
      <w:szCs w:val="24"/>
      <w:lang w:val="en-US"/>
    </w:rPr>
  </w:style>
  <w:style w:type="paragraph" w:styleId="NoSpacing">
    <w:name w:val="No Spacing"/>
    <w:uiPriority w:val="1"/>
    <w:qFormat/>
    <w:rsid w:val="00CD0327"/>
    <w:pPr>
      <w:spacing w:after="0" w:line="240" w:lineRule="auto"/>
    </w:pPr>
    <w:rPr>
      <w:rFonts w:eastAsiaTheme="minorEastAsia" w:cs="Times New Roman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CD0327"/>
    <w:pPr>
      <w:spacing w:after="200" w:line="240" w:lineRule="auto"/>
    </w:pPr>
    <w:rPr>
      <w:rFonts w:ascii="Calibri" w:eastAsia="Calibri" w:hAnsi="Calibri" w:cs="Times New Roman"/>
      <w:b/>
      <w:bCs/>
      <w:color w:val="4472C4" w:themeColor="accent1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7569D5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5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9D5"/>
  </w:style>
  <w:style w:type="paragraph" w:styleId="Footer">
    <w:name w:val="footer"/>
    <w:basedOn w:val="Normal"/>
    <w:link w:val="FooterChar"/>
    <w:uiPriority w:val="99"/>
    <w:unhideWhenUsed/>
    <w:rsid w:val="0075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9D5"/>
  </w:style>
  <w:style w:type="table" w:styleId="TableGrid">
    <w:name w:val="Table Grid"/>
    <w:basedOn w:val="TableNormal"/>
    <w:uiPriority w:val="39"/>
    <w:rsid w:val="00756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efaultParagraphFont"/>
    <w:rsid w:val="007569D5"/>
  </w:style>
  <w:style w:type="paragraph" w:customStyle="1" w:styleId="comp">
    <w:name w:val="comp"/>
    <w:basedOn w:val="Normal"/>
    <w:rsid w:val="00756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569D5"/>
    <w:rPr>
      <w:color w:val="0000FF"/>
      <w:u w:val="single"/>
    </w:rPr>
  </w:style>
  <w:style w:type="character" w:customStyle="1" w:styleId="mntl-attributionitem-descriptor">
    <w:name w:val="mntl-attribution__item-descriptor"/>
    <w:basedOn w:val="DefaultParagraphFont"/>
    <w:rsid w:val="007569D5"/>
  </w:style>
  <w:style w:type="character" w:customStyle="1" w:styleId="linkwrapper">
    <w:name w:val="link__wrapper"/>
    <w:basedOn w:val="DefaultParagraphFont"/>
    <w:rsid w:val="007569D5"/>
  </w:style>
  <w:style w:type="paragraph" w:customStyle="1" w:styleId="social-navitem">
    <w:name w:val="social-nav__item"/>
    <w:basedOn w:val="Normal"/>
    <w:rsid w:val="00756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ntl-author-tooltiplearn-more-text">
    <w:name w:val="mntl-author-tooltip__learn-more-text"/>
    <w:basedOn w:val="DefaultParagraphFont"/>
    <w:rsid w:val="007569D5"/>
  </w:style>
  <w:style w:type="paragraph" w:customStyle="1" w:styleId="Default">
    <w:name w:val="Default"/>
    <w:rsid w:val="007569D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7569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569D5"/>
    <w:rPr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9D5"/>
    <w:rPr>
      <w:rFonts w:ascii="Segoe UI" w:eastAsia="Calibri" w:hAnsi="Segoe UI" w:cs="Segoe UI"/>
      <w:sz w:val="18"/>
      <w:szCs w:val="1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69D5"/>
    <w:pPr>
      <w:spacing w:after="0" w:line="240" w:lineRule="auto"/>
    </w:pPr>
    <w:rPr>
      <w:rFonts w:ascii="Segoe UI" w:eastAsia="Calibri" w:hAnsi="Segoe UI" w:cs="Segoe UI"/>
      <w:sz w:val="18"/>
      <w:szCs w:val="18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7569D5"/>
    <w:pPr>
      <w:tabs>
        <w:tab w:val="right" w:leader="dot" w:pos="9350"/>
      </w:tabs>
      <w:spacing w:after="100" w:line="276" w:lineRule="auto"/>
      <w:jc w:val="center"/>
    </w:pPr>
    <w:rPr>
      <w:rFonts w:ascii="Times New Roman" w:eastAsiaTheme="minorEastAsia" w:hAnsi="Times New Roman" w:cs="Times New Roman"/>
      <w:noProof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756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we-math-mathml-inline">
    <w:name w:val="mwe-math-mathml-inline"/>
    <w:basedOn w:val="DefaultParagraphFont"/>
    <w:rsid w:val="007569D5"/>
  </w:style>
  <w:style w:type="paragraph" w:styleId="TOCHeading">
    <w:name w:val="TOC Heading"/>
    <w:basedOn w:val="Heading1"/>
    <w:next w:val="Normal"/>
    <w:uiPriority w:val="39"/>
    <w:unhideWhenUsed/>
    <w:qFormat/>
    <w:rsid w:val="007569D5"/>
    <w:pPr>
      <w:outlineLvl w:val="9"/>
    </w:pPr>
    <w:rPr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7569D5"/>
    <w:pPr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7569D5"/>
    <w:pPr>
      <w:spacing w:after="100" w:line="276" w:lineRule="auto"/>
    </w:pPr>
    <w:rPr>
      <w:rFonts w:ascii="Calibri" w:eastAsia="Calibri" w:hAnsi="Calibri" w:cs="Times New Roman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7569D5"/>
    <w:pPr>
      <w:tabs>
        <w:tab w:val="right" w:leader="dot" w:pos="9350"/>
      </w:tabs>
      <w:spacing w:after="100" w:line="276" w:lineRule="auto"/>
      <w:ind w:left="220"/>
    </w:pPr>
    <w:rPr>
      <w:rFonts w:eastAsiaTheme="minorEastAsia" w:cs="Times New Roman"/>
      <w:b/>
      <w:noProof/>
      <w:lang w:val="en-US" w:eastAsia="ja-JP"/>
    </w:rPr>
  </w:style>
  <w:style w:type="paragraph" w:styleId="TableofFigures">
    <w:name w:val="table of figures"/>
    <w:basedOn w:val="Normal"/>
    <w:next w:val="Normal"/>
    <w:uiPriority w:val="99"/>
    <w:unhideWhenUsed/>
    <w:rsid w:val="007569D5"/>
    <w:pPr>
      <w:spacing w:after="0"/>
      <w:ind w:left="440" w:hanging="440"/>
    </w:pPr>
    <w:rPr>
      <w:rFonts w:cstheme="minorHAnsi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7569D5"/>
    <w:rPr>
      <w:b/>
      <w:bCs/>
    </w:rPr>
  </w:style>
  <w:style w:type="paragraph" w:customStyle="1" w:styleId="chapter-para">
    <w:name w:val="chapter-para"/>
    <w:basedOn w:val="Normal"/>
    <w:rsid w:val="00756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4">
    <w:name w:val="toc 4"/>
    <w:basedOn w:val="Normal"/>
    <w:next w:val="Normal"/>
    <w:autoRedefine/>
    <w:uiPriority w:val="39"/>
    <w:unhideWhenUsed/>
    <w:rsid w:val="007569D5"/>
    <w:pPr>
      <w:spacing w:after="100"/>
      <w:ind w:left="660"/>
    </w:pPr>
    <w:rPr>
      <w:rFonts w:eastAsiaTheme="minorEastAsia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7569D5"/>
    <w:pPr>
      <w:spacing w:after="100"/>
      <w:ind w:left="880"/>
    </w:pPr>
    <w:rPr>
      <w:rFonts w:eastAsiaTheme="minorEastAsia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7569D5"/>
    <w:pPr>
      <w:spacing w:after="100"/>
      <w:ind w:left="1100"/>
    </w:pPr>
    <w:rPr>
      <w:rFonts w:eastAsiaTheme="minorEastAsia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7569D5"/>
    <w:pPr>
      <w:spacing w:after="100"/>
      <w:ind w:left="1320"/>
    </w:pPr>
    <w:rPr>
      <w:rFonts w:eastAsiaTheme="minorEastAsia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7569D5"/>
    <w:pPr>
      <w:spacing w:after="100"/>
      <w:ind w:left="1540"/>
    </w:pPr>
    <w:rPr>
      <w:rFonts w:eastAsiaTheme="minorEastAsia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7569D5"/>
    <w:pPr>
      <w:spacing w:after="100"/>
      <w:ind w:left="1760"/>
    </w:pPr>
    <w:rPr>
      <w:rFonts w:eastAsiaTheme="minorEastAsia"/>
      <w:lang w:eastAsia="en-GB"/>
    </w:rPr>
  </w:style>
  <w:style w:type="character" w:customStyle="1" w:styleId="attribution">
    <w:name w:val="attribution"/>
    <w:basedOn w:val="DefaultParagraphFont"/>
    <w:rsid w:val="007569D5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69D5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69D5"/>
    <w:rPr>
      <w:b/>
      <w:bCs/>
    </w:rPr>
  </w:style>
  <w:style w:type="paragraph" w:customStyle="1" w:styleId="c-bibliographic-informationcitation">
    <w:name w:val="c-bibliographic-information__citation"/>
    <w:basedOn w:val="Normal"/>
    <w:rsid w:val="00756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7569D5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2F7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8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>
  <b:Source>
    <b:Tag>Tin62</b:Tag>
    <b:SourceType>Report</b:SourceType>
    <b:Guid>{9C05112C-F88A-4848-BA03-EFFBAFCCF895}</b:Guid>
    <b:Author>
      <b:Author>
        <b:NameList>
          <b:Person>
            <b:Last>Tinbergen</b:Last>
            <b:First>Jan</b:First>
          </b:Person>
        </b:NameList>
      </b:Author>
    </b:Author>
    <b:Title>An Analysis of World Trade Flows,” in Shaping the World Economy edited by Jan Tinbergen. </b:Title>
    <b:Year>1962</b:Year>
    <b:Publisher>New York, NY: Twentieth Century Fund.</b:Publisher>
    <b:RefOrder>1</b:RefOrder>
  </b:Source>
  <b:Source>
    <b:Tag>Fly20</b:Tag>
    <b:SourceType>Report</b:SourceType>
    <b:Guid>{20E1D3D9-CE7E-4BC3-9021-AFCF534F5573}</b:Guid>
    <b:Author>
      <b:Author>
        <b:NameList>
          <b:Person>
            <b:Last>Flynn</b:Last>
            <b:First>Zach</b:First>
          </b:Person>
        </b:NameList>
      </b:Author>
    </b:Author>
    <b:Title>How to Use Robust Standard Errors in Regression in</b:Title>
    <b:Year>2020 </b:Year>
    <b:Publisher>https://www.statology.org/robust-standard-errors-stata/</b:Publisher>
    <b:RefOrder>2</b:RefOrder>
  </b:Source>
  <b:Source>
    <b:Tag>Pap17</b:Tag>
    <b:SourceType>Report</b:SourceType>
    <b:Guid>{F02DE1FE-8FFE-404D-AAAD-F4DC10F11CDF}</b:Guid>
    <b:Author>
      <b:Author>
        <b:NameList>
          <b:Person>
            <b:Last>Papies</b:Last>
            <b:First>D.</b:First>
          </b:Person>
          <b:Person>
            <b:Last>Ebbes</b:Last>
            <b:First>P.</b:First>
          </b:Person>
          <b:Person>
            <b:Last>Van Heerde</b:Last>
            <b:First>H.J.</b:First>
          </b:Person>
        </b:NameList>
      </b:Author>
    </b:Author>
    <b:Title>Addressing endogeneity in marketing models. In Advanced Methods for Modelling Markets (pp. 581-627)</b:Title>
    <b:Year>2017</b:Year>
    <b:Publisher>Springer, Cham</b:Publisher>
    <b:RefOrder>3</b:RefOrder>
  </b:Source>
  <b:Source>
    <b:Tag>Opw01</b:Tag>
    <b:SourceType>Report</b:SourceType>
    <b:Guid>{989E7BBF-B65F-48AB-B044-BF8FFADF20AE}</b:Guid>
    <b:Author>
      <b:Author>
        <b:NameList>
          <b:Person>
            <b:Last>Opwis</b:Last>
            <b:First>Klaus</b:First>
          </b:Person>
        </b:NameList>
      </b:Author>
    </b:Author>
    <b:Title>Instrumental Variables in Statistics and Econometrics</b:Title>
    <b:Year>2001</b:Year>
    <b:Publisher>Elsevier Science Ltd</b:Publisher>
    <b:RefOrder>4</b:RefOrder>
  </b:Source>
  <b:Source>
    <b:Tag>Bau03</b:Tag>
    <b:SourceType>Report</b:SourceType>
    <b:Guid>{6CC984DD-FD21-4477-9AD8-2E15E3BFD54E}</b:Guid>
    <b:Author>
      <b:Author>
        <b:NameList>
          <b:Person>
            <b:Last>Baum</b:Last>
            <b:First>C.F.</b:First>
          </b:Person>
          <b:Person>
            <b:Last>Schaffer</b:Last>
            <b:First>M.E.</b:First>
          </b:Person>
          <b:Person>
            <b:Last>Stillman</b:Last>
            <b:First>S.</b:First>
          </b:Person>
        </b:NameList>
      </b:Author>
    </b:Author>
    <b:Title>Instrumental variables and GMM: Estimation and testing. The STATA Journal, 3(1), 1-31</b:Title>
    <b:Year>2003</b:Year>
    <b:Publisher>The STATA Journal, 3(1), 1-31.</b:Publisher>
    <b:RefOrder>5</b:RefOrder>
  </b:Source>
  <b:Source>
    <b:Tag>Afr251</b:Tag>
    <b:SourceType>Report</b:SourceType>
    <b:Guid>{AD3543CF-7302-4A2F-8B2E-0C04063D70E2}</b:Guid>
    <b:Author>
      <b:Author>
        <b:Corporate>Afreximbank</b:Corporate>
      </b:Author>
    </b:Author>
    <b:Title>African trade report 2025: Boosting intra-African trade through industrialization and value addition</b:Title>
    <b:Year>2025</b:Year>
    <b:Publisher>African Export–Import Bank</b:Publisher>
    <b:RefOrder>6</b:RefOrder>
  </b:Source>
  <b:Source>
    <b:Tag>Agy221</b:Tag>
    <b:SourceType>Report</b:SourceType>
    <b:Guid>{1D9B331C-15CC-4B51-99BB-5B53D09FA475}</b:Guid>
    <b:Author>
      <b:Author>
        <b:NameList>
          <b:Person>
            <b:Last>Agyei</b:Last>
            <b:First>A.</b:First>
          </b:Person>
          <b:Person>
            <b:Last>Idan</b:Last>
            <b:First>R.</b:First>
          </b:Person>
        </b:NameList>
      </b:Author>
    </b:Author>
    <b:Title>Aid, trade, and regional integration in Africa: The institutional paradox</b:Title>
    <b:Year>2022</b:Year>
    <b:Publisher>African Journal of Economic Policy, 29(1), 45–68</b:Publisher>
    <b:RefOrder>7</b:RefOrder>
  </b:Source>
  <b:Source>
    <b:Tag>Aka211</b:Tag>
    <b:SourceType>Report</b:SourceType>
    <b:Guid>{30EA58A3-E201-48CA-A4DE-BC567B95C241}</b:Guid>
    <b:Author>
      <b:Author>
        <b:NameList>
          <b:Person>
            <b:Last>Akarsu</b:Last>
            <b:First>Y.</b:First>
          </b:Person>
        </b:NameList>
      </b:Author>
    </b:Author>
    <b:Title>Soft power and international trade: The role of reputation in global markets</b:Title>
    <b:Year>2021</b:Year>
    <b:Publisher>Journal of International Political Economy, 28(3), 421–440. https://doi.org/10.1016/j.jinteco.2021.103478</b:Publisher>
    <b:RefOrder>8</b:RefOrder>
  </b:Source>
  <b:Source>
    <b:Tag>And19</b:Tag>
    <b:SourceType>Report</b:SourceType>
    <b:Guid>{029AE37A-49E1-422B-AE12-6FB51AE39B4C}</b:Guid>
    <b:Author>
      <b:Author>
        <b:NameList>
          <b:Person>
            <b:Last>Andrews</b:Last>
            <b:First>D.</b:First>
            <b:Middle>W. K.</b:Middle>
          </b:Person>
          <b:Person>
            <b:Last>Stock</b:Last>
            <b:First>J.</b:First>
            <b:Middle>H.</b:Middle>
          </b:Person>
          <b:Person>
            <b:Last>Sun</b:Last>
            <b:First>L.</b:First>
          </b:Person>
        </b:NameList>
      </b:Author>
    </b:Author>
    <b:Title>Weak instruments in instrumental variables regression: Theory and practice</b:Title>
    <b:Year>2019</b:Year>
    <b:Publisher>Journal of Econometrics, 212(2), 255–273. https://doi.org/10.1016/j.jeconom.2019.04.001</b:Publisher>
    <b:RefOrder>9</b:RefOrder>
  </b:Source>
  <b:Source>
    <b:Tag>Axe841</b:Tag>
    <b:SourceType>Report</b:SourceType>
    <b:Guid>{84567828-6148-4214-8028-E7C28648EC58}</b:Guid>
    <b:Author>
      <b:Author>
        <b:NameList>
          <b:Person>
            <b:Last>Axelrod</b:Last>
            <b:First>R.</b:First>
          </b:Person>
        </b:NameList>
      </b:Author>
    </b:Author>
    <b:Title>The Evolution of Cooperation. </b:Title>
    <b:Year>1984</b:Year>
    <b:Publisher>Basic Books</b:Publisher>
    <b:RefOrder>10</b:RefOrder>
  </b:Source>
  <b:Source>
    <b:Tag>Axe851</b:Tag>
    <b:SourceType>Report</b:SourceType>
    <b:Guid>{EBDBEAF8-88C6-4A7F-A79C-7C440278E999}</b:Guid>
    <b:Author>
      <b:Author>
        <b:NameList>
          <b:Person>
            <b:Last>Axelrod</b:Last>
            <b:First>R.</b:First>
          </b:Person>
          <b:Person>
            <b:Last>Keohane</b:Last>
            <b:First>R.</b:First>
            <b:Middle>O.</b:Middle>
          </b:Person>
        </b:NameList>
      </b:Author>
    </b:Author>
    <b:Title>Achieving cooperation under anarchy: Strategies and institutions. </b:Title>
    <b:Year>1985</b:Year>
    <b:Publisher>World Politics, 38(1), 226–254. https://doi.org/10.2307/2010357</b:Publisher>
    <b:RefOrder>11</b:RefOrder>
  </b:Source>
  <b:Source>
    <b:Tag>Bal23</b:Tag>
    <b:SourceType>Report</b:SourceType>
    <b:Guid>{E0FD18A6-AF72-4977-888B-A7D217392505}</b:Guid>
    <b:Author>
      <b:Author>
        <b:NameList>
          <b:Person>
            <b:Last>Balchin</b:Last>
            <b:First>N.</b:First>
          </b:Person>
          <b:Person>
            <b:Last>Gelb</b:Last>
            <b:First>S.</b:First>
          </b:Person>
          <b:Person>
            <b:Last>Kennan</b:Last>
            <b:First>J.</b:First>
          </b:Person>
          <b:Person>
            <b:Last>Martin</b:Last>
            <b:First>H.</b:First>
          </b:Person>
          <b:Person>
            <b:Last>te Velde</b:Last>
            <b:First>D.</b:First>
            <b:Middle>W.</b:Middle>
          </b:Person>
        </b:NameList>
      </b:Author>
    </b:Author>
    <b:Title>Developing export competitiveness in Africa: Policy priorities for the AfCFTA era. </b:Title>
    <b:Year>2023</b:Year>
    <b:Publisher>Overseas Development Institute (ODI)</b:Publisher>
    <b:RefOrder>12</b:RefOrder>
  </b:Source>
  <b:Source>
    <b:Tag>Brä09</b:Tag>
    <b:SourceType>Report</b:SourceType>
    <b:Guid>{270D942D-0D64-483C-86BA-F05766448B25}</b:Guid>
    <b:Author>
      <b:Author>
        <b:NameList>
          <b:Person>
            <b:Last>Bräutigam</b:Last>
            <b:First>D.</b:First>
          </b:Person>
        </b:NameList>
      </b:Author>
    </b:Author>
    <b:Title>The dragon’s gift: The real story of China in Africa. </b:Title>
    <b:Year>2009</b:Year>
    <b:Publisher>Oxford University Press.</b:Publisher>
    <b:RefOrder>13</b:RefOrder>
  </b:Source>
  <b:Source>
    <b:Tag>Brä11</b:Tag>
    <b:SourceType>Report</b:SourceType>
    <b:Guid>{C73B77FA-E16A-48D2-BA8C-1EBC539F5D00}</b:Guid>
    <b:Author>
      <b:Author>
        <b:NameList>
          <b:Person>
            <b:Last>Bräutigam</b:Last>
            <b:First>D.</b:First>
          </b:Person>
        </b:NameList>
      </b:Author>
    </b:Author>
    <b:Title>Aid ‘with Chinese characteristics’: Chinese aid and development finance meet the OECD-DAC aid regime.</b:Title>
    <b:Year>2011</b:Year>
    <b:Publisher>Journal of International Development, 23(5), 752–764. https://doi.org/10.1002/jid.1798</b:Publisher>
    <b:RefOrder>14</b:RefOrder>
  </b:Source>
  <b:Source>
    <b:Tag>Bro21</b:Tag>
    <b:SourceType>Report</b:SourceType>
    <b:Guid>{733E8E87-36C3-4011-B082-AAE9415DD480}</b:Guid>
    <b:Author>
      <b:Author>
        <b:NameList>
          <b:Person>
            <b:Last>Brown</b:Last>
            <b:First>W.</b:First>
          </b:Person>
        </b:NameList>
      </b:Author>
    </b:Author>
    <b:Title>Restructuring aid and dependency in Africa: The politics of ownership and partnership. </b:Title>
    <b:Year>2021</b:Year>
    <b:Publisher>Routledge</b:Publisher>
    <b:RefOrder>15</b:RefOrder>
  </b:Source>
  <b:Source>
    <b:Tag>Bur00</b:Tag>
    <b:SourceType>Report</b:SourceType>
    <b:Guid>{88B0DFA0-C5DA-48CC-80D5-5D725413655F}</b:Guid>
    <b:Author>
      <b:Author>
        <b:NameList>
          <b:Person>
            <b:Last>Burnside</b:Last>
            <b:First>C.</b:First>
          </b:Person>
          <b:Person>
            <b:Last>Dollar</b:Last>
            <b:First>D.</b:First>
          </b:Person>
        </b:NameList>
      </b:Author>
    </b:Author>
    <b:Title>Aid, policies, and growth</b:Title>
    <b:Year>2000</b:Year>
    <b:Publisher>American Economic Review, 90(4), 847–868. https://doi.org/10.1257/aer.90.4.847</b:Publisher>
    <b:RefOrder>16</b:RefOrder>
  </b:Source>
  <b:Source>
    <b:Tag>Cam10</b:Tag>
    <b:SourceType>Report</b:SourceType>
    <b:Guid>{1F834BC2-64DD-4090-BFAF-93A7618BC557}</b:Guid>
    <b:Author>
      <b:Author>
        <b:NameList>
          <b:Person>
            <b:Last>Cameron</b:Last>
            <b:First>A.</b:First>
            <b:Middle>C.</b:Middle>
          </b:Person>
          <b:Person>
            <b:Last>Trivedi</b:Last>
            <b:First>P.</b:First>
            <b:Middle>K.</b:Middle>
          </b:Person>
        </b:NameList>
      </b:Author>
    </b:Author>
    <b:Title>Microeconometrics using Stata (Revised ed.). </b:Title>
    <b:Year>2010</b:Year>
    <b:Publisher>Stata Press</b:Publisher>
    <b:RefOrder>17</b:RefOrder>
  </b:Source>
  <b:Source>
    <b:Tag>Did191</b:Tag>
    <b:SourceType>Report</b:SourceType>
    <b:Guid>{2C710848-F5DC-45FE-AA64-EEABE231DA8D}</b:Guid>
    <b:Author>
      <b:Author>
        <b:NameList>
          <b:Person>
            <b:Last>Didier</b:Last>
            <b:First>T.</b:First>
          </b:Person>
        </b:NameList>
      </b:Author>
    </b:Author>
    <b:Title>Soft power and global trade networks: A cross-country analysis.</b:Title>
    <b:Year>2019</b:Year>
    <b:Publisher>Review of International Economics, 27(4), 1112–1132. https://doi.org/10.1111/roie.12451</b:Publisher>
    <b:RefOrder>18</b:RefOrder>
  </b:Source>
  <b:Source>
    <b:Tag>Dre22</b:Tag>
    <b:SourceType>Report</b:SourceType>
    <b:Guid>{94EE2F1F-A138-4064-8F2D-9BF0034D7F17}</b:Guid>
    <b:Author>
      <b:Author>
        <b:NameList>
          <b:Person>
            <b:Last>Dreher</b:Last>
            <b:First>A.</b:First>
          </b:Person>
          <b:Person>
            <b:Last>Fuchs</b:Last>
            <b:First>A.</b:First>
          </b:Person>
          <b:Person>
            <b:Last>Parks</b:Last>
            <b:First>B.</b:First>
          </b:Person>
          <b:Person>
            <b:Last>Strange</b:Last>
            <b:First>A.</b:First>
            <b:Middle>M.</b:Middle>
          </b:Person>
          <b:Person>
            <b:Last>Tierney</b:Last>
            <b:First>M.</b:First>
            <b:Middle>J.</b:Middle>
          </b:Person>
        </b:NameList>
      </b:Author>
    </b:Author>
    <b:Title>Foreign aid and soft power: Great power competition in Africa.</b:Title>
    <b:Year>2022</b:Year>
    <b:Publisher>British Journal of Political Science, 52(3), 1355–1376. https://doi.org/10.1017/S0007123420000834</b:Publisher>
    <b:RefOrder>19</b:RefOrder>
  </b:Source>
  <b:Source>
    <b:Tag>End23</b:Tag>
    <b:SourceType>Report</b:SourceType>
    <b:Guid>{E76537D6-837C-4E4E-9A9B-1E13B5029A8F}</b:Guid>
    <b:Author>
      <b:Author>
        <b:NameList>
          <b:Person>
            <b:Last>Endres</b:Last>
            <b:First>Kai</b:First>
          </b:Person>
          <b:Person>
            <b:Last>Greally</b:Last>
            <b:First>Cathal</b:First>
          </b:Person>
        </b:NameList>
      </b:Author>
    </b:Author>
    <b:Title>Aid and Trade An Empirical Analysis of the Impact of European Development Aid on Donor’s Exports</b:Title>
    <b:Year>2023 </b:Year>
    <b:Publisher>Lund School of Economics and Management </b:Publisher>
    <b:RefOrder>20</b:RefOrder>
  </b:Source>
  <b:Source>
    <b:Tag>Guj20</b:Tag>
    <b:SourceType>Report</b:SourceType>
    <b:Guid>{4A94CC13-FD99-4AC4-8B21-06C54B83DE09}</b:Guid>
    <b:Author>
      <b:Author>
        <b:NameList>
          <b:Person>
            <b:Last>Gujarati</b:Last>
            <b:First>D.</b:First>
            <b:Middle>N.</b:Middle>
          </b:Person>
          <b:Person>
            <b:Last>Porter</b:Last>
            <b:First>D.</b:First>
            <b:Middle>C.</b:Middle>
          </b:Person>
        </b:NameList>
      </b:Author>
    </b:Author>
    <b:Title>Basic econometrics (6th ed.). </b:Title>
    <b:Year>2020</b:Year>
    <b:Publisher>McGraw-Hill Education</b:Publisher>
    <b:RefOrder>21</b:RefOrder>
  </b:Source>
  <b:Source>
    <b:Tag>Hay21</b:Tag>
    <b:SourceType>Report</b:SourceType>
    <b:Guid>{EE23A46B-6741-4ADD-9E50-BF650B1B0168}</b:Guid>
    <b:Author>
      <b:Author>
        <b:NameList>
          <b:Person>
            <b:Last>Hayashi</b:Last>
            <b:First>F.</b:First>
          </b:Person>
        </b:NameList>
      </b:Author>
    </b:Author>
    <b:Title>Econometrics (2nd ed.)</b:Title>
    <b:Year>2021</b:Year>
    <b:Publisher>Princeton University Press</b:Publisher>
    <b:RefOrder>22</b:RefOrder>
  </b:Source>
  <b:Source>
    <b:Tag>Maw24</b:Tag>
    <b:SourceType>Report</b:SourceType>
    <b:Guid>{156E7136-15C7-4999-95F9-16C8F6ECE51D}</b:Guid>
    <b:Author>
      <b:Author>
        <b:NameList>
          <b:Person>
            <b:Last>Mawdsley</b:Last>
            <b:First>E.</b:First>
          </b:Person>
        </b:NameList>
      </b:Author>
    </b:Author>
    <b:Title>Aid, geopolitics, and soft power: The new political economy of development.</b:Title>
    <b:Year>2024</b:Year>
    <b:Publisher>Oxford University Press</b:Publisher>
    <b:RefOrder>23</b:RefOrder>
  </b:Source>
  <b:Source>
    <b:Tag>MoI25</b:Tag>
    <b:SourceType>Report</b:SourceType>
    <b:Guid>{074E1A47-3D14-4D77-9370-3A776879DF66}</b:Guid>
    <b:Author>
      <b:Author>
        <b:Corporate>Mo Ibrahim Foundation</b:Corporate>
      </b:Author>
    </b:Author>
    <b:Title>African governance report 2025: Aid, trade, and political economy. </b:Title>
    <b:Year>2025</b:Year>
    <b:Publisher>Mo Ibrahim Foundation.</b:Publisher>
    <b:City>London</b:City>
    <b:RefOrder>24</b:RefOrder>
  </b:Source>
  <b:Source>
    <b:Tag>Moy09</b:Tag>
    <b:SourceType>Report</b:SourceType>
    <b:Guid>{4642B790-5628-4170-AF6F-3A8E058E2624}</b:Guid>
    <b:Author>
      <b:Author>
        <b:NameList>
          <b:Person>
            <b:Last>Moyo</b:Last>
            <b:First>D.</b:First>
          </b:Person>
        </b:NameList>
      </b:Author>
    </b:Author>
    <b:Title>Dead Aid: Why Aid Is Not Working and How There Is a Better Way for Africa</b:Title>
    <b:Year>2009</b:Year>
    <b:Publisher>Farrar, Straus, and Giroux</b:Publisher>
    <b:RefOrder>25</b:RefOrder>
  </b:Source>
  <b:Source>
    <b:Tag>Nye4a</b:Tag>
    <b:SourceType>Report</b:SourceType>
    <b:Guid>{FF6400E1-C4A6-4966-8320-8ED2DA7D74D9}</b:Guid>
    <b:Author>
      <b:Author>
        <b:NameList>
          <b:Person>
            <b:Last>Nye</b:Last>
            <b:First>J.</b:First>
          </b:Person>
        </b:NameList>
      </b:Author>
    </b:Author>
    <b:Title>Soft Power: The Means to Success in World Politics</b:Title>
    <b:Year>2004</b:Year>
    <b:Publisher>Public Affairs</b:Publisher>
    <b:City>New York</b:City>
    <b:RefOrder>26</b:RefOrder>
  </b:Source>
  <b:Source>
    <b:Tag>Moy19</b:Tag>
    <b:SourceType>Report</b:SourceType>
    <b:Guid>{99BF0310-27FC-48C2-9E7D-0BC4FDB1A033}</b:Guid>
    <b:Author>
      <b:Author>
        <b:NameList>
          <b:Person>
            <b:Last>Moyo</b:Last>
            <b:First>D.</b:First>
          </b:Person>
        </b:NameList>
      </b:Author>
    </b:Author>
    <b:Title>Edge of chaos: Why democracy is failing to deliver economic growth and how to fix it.</b:Title>
    <b:Year>2019</b:Year>
    <b:Publisher>Basic Books</b:Publisher>
    <b:RefOrder>27</b:RefOrder>
  </b:Source>
  <b:Source>
    <b:Tag>Nye11</b:Tag>
    <b:SourceType>Report</b:SourceType>
    <b:Guid>{37E9A8F6-EA18-4A8C-92A1-FBD3A03FFB81}</b:Guid>
    <b:Author>
      <b:Author>
        <b:NameList>
          <b:Person>
            <b:Last>Nye</b:Last>
            <b:First>J.</b:First>
            <b:Middle>S.</b:Middle>
          </b:Person>
        </b:NameList>
      </b:Author>
    </b:Author>
    <b:Title>The future of power. </b:Title>
    <b:Year>2011</b:Year>
    <b:Publisher>PublicAffairs</b:Publisher>
    <b:RefOrder>28</b:RefOrder>
  </b:Source>
  <b:Source>
    <b:Tag>Osu24</b:Tag>
    <b:SourceType>Report</b:SourceType>
    <b:Guid>{8CF1FAB2-6911-4210-BFC1-3EA5CE11E72B}</b:Guid>
    <b:Author>
      <b:Author>
        <b:NameList>
          <b:Person>
            <b:Last>Osuma</b:Last>
            <b:First>G.</b:First>
          </b:Person>
          <b:Person>
            <b:Last>Nzimande</b:Last>
            <b:First>T.</b:First>
          </b:Person>
        </b:NameList>
      </b:Author>
    </b:Author>
    <b:Title>Trade openness, debt, and growth in sub-Saharan Africa: A dynamic panel analysis. </b:Title>
    <b:Year>2024</b:Year>
    <b:Publisher>Journal of African Trade, 11(1), 59–81. https://doi.org/10.1016/j.joat.2024.02.004</b:Publisher>
    <b:RefOrder>29</b:RefOrder>
  </b:Source>
  <b:Source>
    <b:Tag>Rodmy</b:Tag>
    <b:SourceType>Report</b:SourceType>
    <b:Guid>{E253980A-9F1F-4FE5-8BC3-E7288CE978DC}</b:Guid>
    <b:Author>
      <b:Author>
        <b:NameList>
          <b:Person>
            <b:Last>Rodrik</b:Last>
            <b:First>D.</b:First>
          </b:Person>
        </b:NameList>
      </b:Author>
    </b:Author>
    <b:Title>2018</b:Title>
    <b:Year>Straight talk on trade: Ideas for a sane world economy</b:Year>
    <b:Publisher>Princeton University Press</b:Publisher>
    <b:RefOrder>30</b:RefOrder>
  </b:Source>
  <b:Source>
    <b:Tag>Rod01</b:Tag>
    <b:SourceType>Report</b:SourceType>
    <b:Guid>{177C7B01-9F47-483B-A190-CFDCC43E1039}</b:Guid>
    <b:Author>
      <b:Author>
        <b:NameList>
          <b:Person>
            <b:Last>Rodrik</b:Last>
            <b:First>D.</b:First>
          </b:Person>
        </b:NameList>
      </b:Author>
    </b:Author>
    <b:Title>The Global Governance of Trade as if Development Really Mattered.</b:Title>
    <b:Year>2001</b:Year>
    <b:Publisher>United Nations Development Programme</b:Publisher>
    <b:RefOrder>31</b:RefOrder>
  </b:Source>
  <b:Source>
    <b:Tag>Ros16</b:Tag>
    <b:SourceType>Report</b:SourceType>
    <b:Guid>{23830B58-ACBE-495A-8835-72828664B5D0}</b:Guid>
    <b:Author>
      <b:Author>
        <b:NameList>
          <b:Person>
            <b:Last>Rose</b:Last>
            <b:First>Andrew</b:First>
            <b:Middle>K.</b:Middle>
          </b:Person>
        </b:NameList>
      </b:Author>
    </b:Author>
    <b:Title>Like Me, Buy Me: The Effect of Soft Power on Exports </b:Title>
    <b:Year>2016 </b:Year>
    <b:Publisher> Economics &amp; Politics Doi: 10.1111/Ecpo.12077 Volume 28</b:Publisher>
    <b:RefOrder>32</b:RefOrder>
  </b:Source>
  <b:Source>
    <b:Tag>Ros19</b:Tag>
    <b:SourceType>Report</b:SourceType>
    <b:Guid>{B53C1E58-1642-4DF4-B8B5-38755C2A907B}</b:Guid>
    <b:Author>
      <b:Author>
        <b:NameList>
          <b:Person>
            <b:Last>Rose</b:Last>
            <b:First>A</b:First>
            <b:Middle>K.</b:Middle>
          </b:Person>
        </b:NameList>
      </b:Author>
    </b:Author>
    <b:Title>Soft power and exports.</b:Title>
    <b:Year>2019</b:Year>
    <b:Publisher>Rev Int Econ. 2019;27:1573–1590. https ://doi.org/10.1111/roie.12435</b:Publisher>
    <b:RefOrder>33</b:RefOrder>
  </b:Source>
  <b:Source>
    <b:Tag>Ven22</b:Tag>
    <b:SourceType>Report</b:SourceType>
    <b:Guid>{4AA980A9-5731-4FFC-A913-9F4E946B705D}</b:Guid>
    <b:Author>
      <b:Author>
        <b:NameList>
          <b:Person>
            <b:Last>Venables</b:Last>
            <b:First>A.</b:First>
            <b:Middle>J.</b:Middle>
          </b:Person>
        </b:NameList>
      </b:Author>
    </b:Author>
    <b:Title>Trade policy and industrialization in Africa.</b:Title>
    <b:Year>2022</b:Year>
    <b:Publisher>Journal of African Economies, 31(2), 75–102. https://doi.org/10.1093/jae/ejab033</b:Publisher>
    <b:RefOrder>34</b:RefOrder>
  </b:Source>
  <b:Source>
    <b:Tag>Whi09</b:Tag>
    <b:SourceType>Report</b:SourceType>
    <b:Guid>{54A87152-33C0-4798-BD4E-9B1CAC50562E}</b:Guid>
    <b:Author>
      <b:Author>
        <b:NameList>
          <b:Person>
            <b:Last>Whitfield</b:Last>
            <b:First>L.</b:First>
          </b:Person>
        </b:NameList>
      </b:Author>
    </b:Author>
    <b:Title>The politics of aid: African strategies for dealing with donors. </b:Title>
    <b:Year>2009</b:Year>
    <b:Publisher>Oxford University Press</b:Publisher>
    <b:City>Oxford</b:City>
    <b:RefOrder>35</b:RefOrder>
  </b:Source>
  <b:Source>
    <b:Tag>Whi23</b:Tag>
    <b:SourceType>Report</b:SourceType>
    <b:Guid>{12ADE651-D6CB-4FEA-B60C-1F7630F886F3}</b:Guid>
    <b:Author>
      <b:Author>
        <b:NameList>
          <b:Person>
            <b:Last>Whitfield</b:Last>
            <b:First>L.</b:First>
          </b:Person>
        </b:NameList>
      </b:Author>
    </b:Author>
    <b:Title>Aid and power in Africa: The new dynamics of donor–recipient relations. </b:Title>
    <b:Year>2023</b:Year>
    <b:Publisher>Zed Books.</b:Publisher>
    <b:RefOrder>36</b:RefOrder>
  </b:Source>
  <b:Source>
    <b:Tag>Woo20</b:Tag>
    <b:SourceType>Report</b:SourceType>
    <b:Guid>{846AA042-36BD-4967-880F-BF29C5F6C46D}</b:Guid>
    <b:Author>
      <b:Author>
        <b:NameList>
          <b:Person>
            <b:Last>Wooldridge</b:Last>
            <b:First>J.</b:First>
            <b:Middle>M.</b:Middle>
          </b:Person>
        </b:NameList>
      </b:Author>
    </b:Author>
    <b:Title>Introductory econometrics: A modern approach (7th ed.). </b:Title>
    <b:Year>2020</b:Year>
    <b:Publisher>Cengage Learning</b:Publisher>
    <b:RefOrder>37</b:RefOrder>
  </b:Source>
  <b:Source>
    <b:Tag>Wor244</b:Tag>
    <b:SourceType>Report</b:SourceType>
    <b:Guid>{E8FCEDF9-8937-4A9D-B85F-1B089545FD82}</b:Guid>
    <b:Author>
      <b:Author>
        <b:Corporate>World Bank</b:Corporate>
      </b:Author>
    </b:Author>
    <b:Title> World development indicators 2024. World Bank Group</b:Title>
    <b:Year>2024</b:Year>
    <b:RefOrder>38</b:RefOrder>
  </b:Source>
  <b:Source>
    <b:Tag>Wor245</b:Tag>
    <b:SourceType>Report</b:SourceType>
    <b:Guid>{854BD56B-E326-4F5A-A2AA-4D119905D7EF}</b:Guid>
    <b:Author>
      <b:Author>
        <b:Corporate>World Trade Organization (WTO)</b:Corporate>
      </b:Author>
    </b:Author>
    <b:Title>World trade report 2024: Global supply chain resilience and trade integration.</b:Title>
    <b:Year>2024</b:Year>
    <b:Publisher>WTO Publications.</b:Publisher>
    <b:RefOrder>39</b:RefOrder>
  </b:Source>
</b:Sources>
</file>

<file path=customXml/itemProps1.xml><?xml version="1.0" encoding="utf-8"?>
<ds:datastoreItem xmlns:ds="http://schemas.openxmlformats.org/officeDocument/2006/customXml" ds:itemID="{5F1D2711-59C4-4CBB-80DC-8D4F76AE0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Wisdom</dc:creator>
  <cp:keywords/>
  <dc:description/>
  <cp:lastModifiedBy>Wisdom</cp:lastModifiedBy>
  <cp:revision>307</cp:revision>
  <dcterms:created xsi:type="dcterms:W3CDTF">2025-10-11T12:57:00Z</dcterms:created>
  <dcterms:modified xsi:type="dcterms:W3CDTF">2026-01-14T09:45:00Z</dcterms:modified>
</cp:coreProperties>
</file>