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0B6E6B" w14:textId="77777777" w:rsidR="00363B4C" w:rsidRPr="00783E66" w:rsidRDefault="00363B4C" w:rsidP="00363B4C">
      <w:pPr>
        <w:pStyle w:val="Heading3"/>
        <w:rPr>
          <w:lang w:val="en-US"/>
        </w:rPr>
      </w:pPr>
      <w:r w:rsidRPr="00783E66">
        <w:rPr>
          <w:lang w:val="en-US"/>
        </w:rPr>
        <w:t xml:space="preserve">Supplementary </w:t>
      </w:r>
      <w:r>
        <w:rPr>
          <w:lang w:val="en-US"/>
        </w:rPr>
        <w:t>Materials</w:t>
      </w:r>
    </w:p>
    <w:p w14:paraId="74980836" w14:textId="77777777" w:rsidR="00363B4C" w:rsidRPr="000838CE" w:rsidRDefault="00363B4C" w:rsidP="00363B4C">
      <w:pPr>
        <w:pStyle w:val="Heading4"/>
        <w:rPr>
          <w:rFonts w:eastAsia="Times New Roman"/>
          <w:b/>
          <w:bCs/>
          <w:lang w:val="en-US"/>
        </w:rPr>
      </w:pPr>
      <w:r w:rsidRPr="000838CE">
        <w:rPr>
          <w:rFonts w:eastAsia="Times New Roman"/>
          <w:b/>
          <w:bCs/>
          <w:lang w:val="en-US"/>
        </w:rPr>
        <w:t xml:space="preserve">Differentiation </w:t>
      </w:r>
      <w:r>
        <w:rPr>
          <w:rFonts w:eastAsia="Times New Roman"/>
          <w:b/>
          <w:bCs/>
          <w:lang w:val="en-US"/>
        </w:rPr>
        <w:t>C</w:t>
      </w:r>
      <w:r w:rsidRPr="000838CE">
        <w:rPr>
          <w:rFonts w:eastAsia="Times New Roman"/>
          <w:b/>
          <w:bCs/>
          <w:lang w:val="en-US"/>
        </w:rPr>
        <w:t>onditions</w:t>
      </w:r>
    </w:p>
    <w:p w14:paraId="077FFDE0" w14:textId="77777777" w:rsidR="00363B4C" w:rsidRDefault="00363B4C" w:rsidP="00363B4C">
      <w:pPr>
        <w:pStyle w:val="Caption"/>
        <w:keepNext/>
        <w:spacing w:after="0"/>
        <w:jc w:val="both"/>
        <w:rPr>
          <w:lang w:val="en-US"/>
        </w:rPr>
      </w:pPr>
      <w:r w:rsidRPr="7EBB7B8E">
        <w:rPr>
          <w:lang w:val="en-US"/>
        </w:rPr>
        <w:t>Table S</w:t>
      </w:r>
      <w:r>
        <w:fldChar w:fldCharType="begin"/>
      </w:r>
      <w:r w:rsidRPr="7EBB7B8E">
        <w:rPr>
          <w:lang w:val="en-US"/>
        </w:rPr>
        <w:instrText xml:space="preserve"> SEQ Table \* ARABIC </w:instrText>
      </w:r>
      <w:r>
        <w:fldChar w:fldCharType="separate"/>
      </w:r>
      <w:r w:rsidRPr="7EBB7B8E">
        <w:rPr>
          <w:noProof/>
          <w:lang w:val="en-US"/>
        </w:rPr>
        <w:t>1</w:t>
      </w:r>
      <w:r>
        <w:fldChar w:fldCharType="end"/>
      </w:r>
      <w:r w:rsidRPr="7EBB7B8E">
        <w:rPr>
          <w:lang w:val="en-US"/>
        </w:rPr>
        <w:t xml:space="preserve">: </w:t>
      </w:r>
      <w:r w:rsidRPr="7EBB7B8E">
        <w:rPr>
          <w:b/>
          <w:bCs/>
          <w:lang w:val="en-US"/>
        </w:rPr>
        <w:t>Overview of experimental timeline and sample collection for functional and structural analyses.</w:t>
      </w:r>
      <w:r w:rsidRPr="7EBB7B8E">
        <w:rPr>
          <w:lang w:val="en-US"/>
        </w:rPr>
        <w:t xml:space="preserve"> This schematic summarizes the differentiation timeline of iPSC-derived motor neurons (</w:t>
      </w:r>
      <w:proofErr w:type="spellStart"/>
      <w:r w:rsidRPr="7EBB7B8E">
        <w:rPr>
          <w:lang w:val="en-US"/>
        </w:rPr>
        <w:t>iMNs</w:t>
      </w:r>
      <w:proofErr w:type="spellEnd"/>
      <w:r w:rsidRPr="7EBB7B8E">
        <w:rPr>
          <w:lang w:val="en-US"/>
        </w:rPr>
        <w:t xml:space="preserve">) and indicates the time points at which specific supplements were added. Differentiation days are grouped into defined intervals (DPD0, DPD2–7, DPD7–9, etc.) to highlight the temporal distribution of experiments. iPSCs (yellow) and pre-differentiation stages, EB differentiation stages (orange) and </w:t>
      </w:r>
      <w:proofErr w:type="spellStart"/>
      <w:r w:rsidRPr="7EBB7B8E">
        <w:rPr>
          <w:lang w:val="en-US"/>
        </w:rPr>
        <w:t>iMN</w:t>
      </w:r>
      <w:proofErr w:type="spellEnd"/>
      <w:r w:rsidRPr="7EBB7B8E">
        <w:rPr>
          <w:lang w:val="en-US"/>
        </w:rPr>
        <w:t xml:space="preserve"> differentiation (pink) reflect progressive neuronal maturation.</w:t>
      </w:r>
    </w:p>
    <w:p w14:paraId="543B3066" w14:textId="77777777" w:rsidR="00363B4C" w:rsidRPr="00783E66" w:rsidRDefault="00363B4C" w:rsidP="00363B4C">
      <w:pPr>
        <w:spacing w:after="0"/>
        <w:jc w:val="center"/>
      </w:pPr>
      <w:r>
        <w:rPr>
          <w:noProof/>
        </w:rPr>
        <w:drawing>
          <wp:inline distT="0" distB="0" distL="0" distR="0" wp14:anchorId="4B1CE132" wp14:editId="5B2809D4">
            <wp:extent cx="5687296" cy="2813050"/>
            <wp:effectExtent l="0" t="0" r="2540" b="0"/>
            <wp:docPr id="1609671674" name="drawing"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71674" name="drawing" descr="A table with numbers and letters&#10;&#10;AI-generated content may be incorrect."/>
                    <pic:cNvPicPr/>
                  </pic:nvPicPr>
                  <pic:blipFill rotWithShape="1">
                    <a:blip r:embed="rId5">
                      <a:extLst>
                        <a:ext uri="{28A0092B-C50C-407E-A947-70E740481C1C}">
                          <a14:useLocalDpi xmlns:a14="http://schemas.microsoft.com/office/drawing/2010/main"/>
                        </a:ext>
                      </a:extLst>
                    </a:blip>
                    <a:srcRect b="2208"/>
                    <a:stretch>
                      <a:fillRect/>
                    </a:stretch>
                  </pic:blipFill>
                  <pic:spPr bwMode="auto">
                    <a:xfrm>
                      <a:off x="0" y="0"/>
                      <a:ext cx="5688000" cy="2813398"/>
                    </a:xfrm>
                    <a:prstGeom prst="rect">
                      <a:avLst/>
                    </a:prstGeom>
                    <a:ln>
                      <a:noFill/>
                    </a:ln>
                    <a:extLst>
                      <a:ext uri="{53640926-AAD7-44D8-BBD7-CCE9431645EC}">
                        <a14:shadowObscured xmlns:a14="http://schemas.microsoft.com/office/drawing/2010/main"/>
                      </a:ext>
                    </a:extLst>
                  </pic:spPr>
                </pic:pic>
              </a:graphicData>
            </a:graphic>
          </wp:inline>
        </w:drawing>
      </w:r>
    </w:p>
    <w:p w14:paraId="6AFE5713" w14:textId="77777777" w:rsidR="00363B4C" w:rsidRPr="00363B4C" w:rsidRDefault="00363B4C" w:rsidP="00363B4C">
      <w:pPr>
        <w:pStyle w:val="Caption"/>
        <w:keepNext/>
        <w:spacing w:before="240"/>
        <w:jc w:val="both"/>
        <w:rPr>
          <w:i w:val="0"/>
          <w:iCs w:val="0"/>
          <w:sz w:val="22"/>
          <w:szCs w:val="22"/>
          <w:lang w:val="en-US"/>
        </w:rPr>
      </w:pPr>
    </w:p>
    <w:p w14:paraId="7DBC9177" w14:textId="2660CF52" w:rsidR="00363B4C" w:rsidRDefault="00363B4C" w:rsidP="00363B4C">
      <w:pPr>
        <w:pStyle w:val="Caption"/>
        <w:keepNext/>
        <w:spacing w:after="0"/>
        <w:jc w:val="both"/>
        <w:rPr>
          <w:lang w:val="en-US"/>
        </w:rPr>
      </w:pPr>
      <w:r w:rsidRPr="0D99F408">
        <w:rPr>
          <w:lang w:val="en-US"/>
        </w:rPr>
        <w:t>Table S</w:t>
      </w:r>
      <w:r>
        <w:fldChar w:fldCharType="begin"/>
      </w:r>
      <w:r w:rsidRPr="0D99F408">
        <w:rPr>
          <w:lang w:val="en-US"/>
        </w:rPr>
        <w:instrText xml:space="preserve"> SEQ Table \* ARABIC </w:instrText>
      </w:r>
      <w:r>
        <w:fldChar w:fldCharType="separate"/>
      </w:r>
      <w:r>
        <w:rPr>
          <w:noProof/>
          <w:lang w:val="en-US"/>
        </w:rPr>
        <w:t>2</w:t>
      </w:r>
      <w:r>
        <w:fldChar w:fldCharType="end"/>
      </w:r>
      <w:r w:rsidRPr="0D99F408">
        <w:rPr>
          <w:lang w:val="en-US"/>
        </w:rPr>
        <w:t xml:space="preserve">: </w:t>
      </w:r>
      <w:r w:rsidRPr="0D99F408">
        <w:rPr>
          <w:b/>
          <w:bCs/>
          <w:lang w:val="en-US"/>
        </w:rPr>
        <w:t>Antibodies and reagents used for immunofluorescence</w:t>
      </w:r>
      <w:r w:rsidRPr="643D662F">
        <w:rPr>
          <w:b/>
          <w:bCs/>
          <w:lang w:val="en-US"/>
        </w:rPr>
        <w:t xml:space="preserve">, </w:t>
      </w:r>
      <w:r w:rsidRPr="0D99F408">
        <w:rPr>
          <w:b/>
          <w:bCs/>
          <w:lang w:val="en-US"/>
        </w:rPr>
        <w:t>Western blotting</w:t>
      </w:r>
      <w:r w:rsidRPr="6BD465BD">
        <w:rPr>
          <w:b/>
          <w:bCs/>
          <w:lang w:val="en-US"/>
        </w:rPr>
        <w:t>,</w:t>
      </w:r>
      <w:r w:rsidRPr="643D662F">
        <w:rPr>
          <w:b/>
          <w:bCs/>
          <w:lang w:val="en-US"/>
        </w:rPr>
        <w:t xml:space="preserve"> and live-cell staining.</w:t>
      </w:r>
      <w:r w:rsidRPr="0D99F408">
        <w:rPr>
          <w:lang w:val="en-US"/>
        </w:rPr>
        <w:t xml:space="preserve"> This table summarizes all primary and secondary antibodies, conjugated antibodies, dyes, and quenchers utilized in the study. For each antibody, the descriptor, manufacturer, product number, host species, target reactivity (species cross-reactivity), and working dilutions for immunofluorescence (IF) and Western blotting (WB) are listed.</w:t>
      </w:r>
    </w:p>
    <w:p w14:paraId="46258F52" w14:textId="77777777" w:rsidR="00363B4C" w:rsidRDefault="00363B4C" w:rsidP="00363B4C">
      <w:pPr>
        <w:spacing w:after="0"/>
        <w:jc w:val="center"/>
        <w:rPr>
          <w:rFonts w:cs="Times New Roman"/>
          <w:lang w:val="en-US"/>
        </w:rPr>
      </w:pPr>
      <w:r w:rsidRPr="0081360D">
        <w:rPr>
          <w:rFonts w:cs="Times New Roman"/>
          <w:noProof/>
        </w:rPr>
        <w:drawing>
          <wp:inline distT="0" distB="0" distL="0" distR="0" wp14:anchorId="23869F4D" wp14:editId="7E9A17E6">
            <wp:extent cx="5688000" cy="3811437"/>
            <wp:effectExtent l="0" t="0" r="1905" b="0"/>
            <wp:docPr id="403662365" name="Picture 5" descr="A table of products with text&#10;&#10;AI-generated content may be incorrect.">
              <a:extLst xmlns:a="http://schemas.openxmlformats.org/drawingml/2006/main">
                <a:ext uri="{FF2B5EF4-FFF2-40B4-BE49-F238E27FC236}">
                  <a16:creationId xmlns:a16="http://schemas.microsoft.com/office/drawing/2014/main" id="{C60C0B45-D303-F140-980D-788ED8F763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62365" name="Picture 5" descr="A table of products with text&#10;&#10;AI-generated content may be incorrect.">
                      <a:extLst>
                        <a:ext uri="{FF2B5EF4-FFF2-40B4-BE49-F238E27FC236}">
                          <a16:creationId xmlns:a16="http://schemas.microsoft.com/office/drawing/2014/main" id="{C60C0B45-D303-F140-980D-788ED8F76391}"/>
                        </a:ext>
                      </a:extLst>
                    </pic:cNvPr>
                    <pic:cNvPicPr>
                      <a:picLocks noChangeAspect="1"/>
                    </pic:cNvPicPr>
                  </pic:nvPicPr>
                  <pic:blipFill>
                    <a:blip r:embed="rId6"/>
                    <a:stretch>
                      <a:fillRect/>
                    </a:stretch>
                  </pic:blipFill>
                  <pic:spPr>
                    <a:xfrm>
                      <a:off x="0" y="0"/>
                      <a:ext cx="5688000" cy="3811437"/>
                    </a:xfrm>
                    <a:prstGeom prst="rect">
                      <a:avLst/>
                    </a:prstGeom>
                  </pic:spPr>
                </pic:pic>
              </a:graphicData>
            </a:graphic>
          </wp:inline>
        </w:drawing>
      </w:r>
    </w:p>
    <w:p w14:paraId="29F817D4" w14:textId="77777777" w:rsidR="00363B4C" w:rsidRDefault="00363B4C" w:rsidP="00363B4C">
      <w:pPr>
        <w:spacing w:before="240"/>
        <w:rPr>
          <w:rFonts w:cs="Times New Roman"/>
          <w:lang w:val="en-US"/>
        </w:rPr>
      </w:pPr>
    </w:p>
    <w:p w14:paraId="2DB6EE18" w14:textId="77777777" w:rsidR="00363B4C" w:rsidRDefault="00363B4C" w:rsidP="00363B4C">
      <w:pPr>
        <w:pStyle w:val="Caption"/>
        <w:spacing w:after="0"/>
        <w:jc w:val="both"/>
        <w:rPr>
          <w:lang w:val="en-US"/>
        </w:rPr>
      </w:pPr>
      <w:r w:rsidRPr="00EF1A9F">
        <w:rPr>
          <w:lang w:val="en-US"/>
        </w:rPr>
        <w:t>Table</w:t>
      </w:r>
      <w:r>
        <w:rPr>
          <w:lang w:val="en-US"/>
        </w:rPr>
        <w:t xml:space="preserve"> S</w:t>
      </w:r>
      <w:r w:rsidRPr="00EF1A9F">
        <w:rPr>
          <w:lang w:val="en-US"/>
        </w:rPr>
        <w:t>3:</w:t>
      </w:r>
      <w:r>
        <w:rPr>
          <w:b/>
          <w:bCs/>
          <w:lang w:val="en-US"/>
        </w:rPr>
        <w:t xml:space="preserve"> </w:t>
      </w:r>
      <w:r w:rsidRPr="00EF1A9F">
        <w:rPr>
          <w:b/>
          <w:bCs/>
          <w:lang w:val="en-US"/>
        </w:rPr>
        <w:t>Comparison of EM grid types tested for cryo-ET sample preparation of cultured neurons.</w:t>
      </w:r>
      <w:r>
        <w:rPr>
          <w:lang w:val="en-US"/>
        </w:rPr>
        <w:t xml:space="preserve"> </w:t>
      </w:r>
      <w:r w:rsidRPr="00962999">
        <w:rPr>
          <w:lang w:val="en-US"/>
        </w:rPr>
        <w:t>Cryo-electron tomography (cryo-ET) experiments were conducted on various gold EM grids using standard cell culture methods with minor modifications. The table summarizes each grid type, mesh size, and carbon film configuration, highlighting observed challenges during culture and imaging, adaptations applied to improve performance, and an overall assessment of suitability.</w:t>
      </w:r>
    </w:p>
    <w:tbl>
      <w:tblPr>
        <w:tblStyle w:val="PlainTable1"/>
        <w:tblW w:w="9060" w:type="dxa"/>
        <w:tblLayout w:type="fixed"/>
        <w:tblLook w:val="06A0" w:firstRow="1" w:lastRow="0" w:firstColumn="1" w:lastColumn="0" w:noHBand="1" w:noVBand="1"/>
      </w:tblPr>
      <w:tblGrid>
        <w:gridCol w:w="1271"/>
        <w:gridCol w:w="1134"/>
        <w:gridCol w:w="1843"/>
        <w:gridCol w:w="1701"/>
        <w:gridCol w:w="1843"/>
        <w:gridCol w:w="1268"/>
      </w:tblGrid>
      <w:tr w:rsidR="00363B4C" w:rsidRPr="00783E66" w14:paraId="08F03472" w14:textId="77777777" w:rsidTr="00A441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tcPr>
          <w:p w14:paraId="5DD8CC88" w14:textId="77777777" w:rsidR="00363B4C" w:rsidRPr="00340C34" w:rsidRDefault="00363B4C" w:rsidP="00A4410B">
            <w:pPr>
              <w:rPr>
                <w:rFonts w:cs="Times New Roman"/>
                <w:i/>
                <w:iCs/>
                <w:sz w:val="21"/>
                <w:szCs w:val="21"/>
                <w:lang w:val="en-US"/>
              </w:rPr>
            </w:pPr>
            <w:r w:rsidRPr="00340C34">
              <w:rPr>
                <w:rFonts w:cs="Times New Roman"/>
                <w:i/>
                <w:iCs/>
                <w:sz w:val="21"/>
                <w:szCs w:val="21"/>
                <w:lang w:val="en-US"/>
              </w:rPr>
              <w:t>Grid type</w:t>
            </w:r>
          </w:p>
        </w:tc>
        <w:tc>
          <w:tcPr>
            <w:tcW w:w="1134" w:type="dxa"/>
          </w:tcPr>
          <w:p w14:paraId="612B77FD" w14:textId="77777777" w:rsidR="00363B4C" w:rsidRPr="00340C34" w:rsidRDefault="00363B4C" w:rsidP="00A4410B">
            <w:pPr>
              <w:cnfStyle w:val="100000000000" w:firstRow="1"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Mesh No.</w:t>
            </w:r>
          </w:p>
        </w:tc>
        <w:tc>
          <w:tcPr>
            <w:tcW w:w="1843" w:type="dxa"/>
          </w:tcPr>
          <w:p w14:paraId="5BA7050B" w14:textId="77777777" w:rsidR="00363B4C" w:rsidRPr="00340C34" w:rsidRDefault="00363B4C" w:rsidP="00A4410B">
            <w:pPr>
              <w:cnfStyle w:val="100000000000" w:firstRow="1"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Carbon film</w:t>
            </w:r>
          </w:p>
        </w:tc>
        <w:tc>
          <w:tcPr>
            <w:tcW w:w="1701" w:type="dxa"/>
          </w:tcPr>
          <w:p w14:paraId="3179528F" w14:textId="77777777" w:rsidR="00363B4C" w:rsidRPr="00340C34" w:rsidRDefault="00363B4C" w:rsidP="00A4410B">
            <w:pPr>
              <w:cnfStyle w:val="100000000000" w:firstRow="1"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Challenges</w:t>
            </w:r>
          </w:p>
        </w:tc>
        <w:tc>
          <w:tcPr>
            <w:tcW w:w="1843" w:type="dxa"/>
          </w:tcPr>
          <w:p w14:paraId="16611071" w14:textId="77777777" w:rsidR="00363B4C" w:rsidRPr="00340C34" w:rsidRDefault="00363B4C" w:rsidP="00A4410B">
            <w:pPr>
              <w:cnfStyle w:val="100000000000" w:firstRow="1"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Adaptation/note</w:t>
            </w:r>
          </w:p>
        </w:tc>
        <w:tc>
          <w:tcPr>
            <w:tcW w:w="1268" w:type="dxa"/>
          </w:tcPr>
          <w:p w14:paraId="24C08662" w14:textId="77777777" w:rsidR="00363B4C" w:rsidRPr="00340C34" w:rsidRDefault="00363B4C" w:rsidP="00A4410B">
            <w:pPr>
              <w:cnfStyle w:val="100000000000" w:firstRow="1"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Suitability</w:t>
            </w:r>
          </w:p>
        </w:tc>
      </w:tr>
      <w:tr w:rsidR="00363B4C" w:rsidRPr="00783E66" w14:paraId="7FB27525" w14:textId="77777777" w:rsidTr="00A4410B">
        <w:trPr>
          <w:trHeight w:val="300"/>
        </w:trPr>
        <w:tc>
          <w:tcPr>
            <w:cnfStyle w:val="001000000000" w:firstRow="0" w:lastRow="0" w:firstColumn="1" w:lastColumn="0" w:oddVBand="0" w:evenVBand="0" w:oddHBand="0" w:evenHBand="0" w:firstRowFirstColumn="0" w:firstRowLastColumn="0" w:lastRowFirstColumn="0" w:lastRowLastColumn="0"/>
            <w:tcW w:w="1271" w:type="dxa"/>
          </w:tcPr>
          <w:p w14:paraId="0218C0E6" w14:textId="77777777" w:rsidR="00363B4C" w:rsidRPr="00340C34" w:rsidRDefault="00363B4C" w:rsidP="00A4410B">
            <w:pPr>
              <w:rPr>
                <w:rFonts w:cs="Times New Roman"/>
                <w:i/>
                <w:iCs/>
                <w:sz w:val="21"/>
                <w:szCs w:val="21"/>
                <w:lang w:val="en-US"/>
              </w:rPr>
            </w:pPr>
            <w:proofErr w:type="spellStart"/>
            <w:r w:rsidRPr="00340C34">
              <w:rPr>
                <w:rFonts w:cs="Times New Roman"/>
                <w:i/>
                <w:iCs/>
                <w:sz w:val="21"/>
                <w:szCs w:val="21"/>
                <w:lang w:val="en-US"/>
              </w:rPr>
              <w:t>Quantifoil</w:t>
            </w:r>
            <w:proofErr w:type="spellEnd"/>
            <w:r w:rsidRPr="00340C34">
              <w:rPr>
                <w:rFonts w:cs="Times New Roman"/>
                <w:i/>
                <w:iCs/>
                <w:sz w:val="21"/>
                <w:szCs w:val="21"/>
                <w:lang w:val="en-US"/>
              </w:rPr>
              <w:t xml:space="preserve"> R2/1, R2/2</w:t>
            </w:r>
          </w:p>
        </w:tc>
        <w:tc>
          <w:tcPr>
            <w:tcW w:w="1134" w:type="dxa"/>
          </w:tcPr>
          <w:p w14:paraId="0AACF5F9"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200 / 300 mesh</w:t>
            </w:r>
          </w:p>
        </w:tc>
        <w:tc>
          <w:tcPr>
            <w:tcW w:w="1843" w:type="dxa"/>
          </w:tcPr>
          <w:p w14:paraId="286510B3"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Holey carbon</w:t>
            </w:r>
          </w:p>
        </w:tc>
        <w:tc>
          <w:tcPr>
            <w:tcW w:w="1701" w:type="dxa"/>
          </w:tcPr>
          <w:p w14:paraId="483E792F"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Cells not easily visible; neurites span holes</w:t>
            </w:r>
          </w:p>
        </w:tc>
        <w:tc>
          <w:tcPr>
            <w:tcW w:w="1843" w:type="dxa"/>
          </w:tcPr>
          <w:p w14:paraId="1FBBECAF"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 xml:space="preserve">Suitable for visualization of short neurite </w:t>
            </w:r>
          </w:p>
        </w:tc>
        <w:tc>
          <w:tcPr>
            <w:tcW w:w="1268" w:type="dxa"/>
          </w:tcPr>
          <w:p w14:paraId="0773C753"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Moderate</w:t>
            </w:r>
          </w:p>
        </w:tc>
      </w:tr>
      <w:tr w:rsidR="00363B4C" w:rsidRPr="00783E66" w14:paraId="51DE1E66" w14:textId="77777777" w:rsidTr="00A4410B">
        <w:trPr>
          <w:trHeight w:val="300"/>
        </w:trPr>
        <w:tc>
          <w:tcPr>
            <w:cnfStyle w:val="001000000000" w:firstRow="0" w:lastRow="0" w:firstColumn="1" w:lastColumn="0" w:oddVBand="0" w:evenVBand="0" w:oddHBand="0" w:evenHBand="0" w:firstRowFirstColumn="0" w:firstRowLastColumn="0" w:lastRowFirstColumn="0" w:lastRowLastColumn="0"/>
            <w:tcW w:w="1271" w:type="dxa"/>
          </w:tcPr>
          <w:p w14:paraId="7C44FCE8" w14:textId="77777777" w:rsidR="00363B4C" w:rsidRPr="00340C34" w:rsidRDefault="00363B4C" w:rsidP="00A4410B">
            <w:pPr>
              <w:rPr>
                <w:rFonts w:cs="Times New Roman"/>
                <w:i/>
                <w:iCs/>
                <w:sz w:val="21"/>
                <w:szCs w:val="21"/>
                <w:lang w:val="en-US"/>
              </w:rPr>
            </w:pPr>
            <w:proofErr w:type="spellStart"/>
            <w:r w:rsidRPr="00340C34">
              <w:rPr>
                <w:rFonts w:cs="Times New Roman"/>
                <w:i/>
                <w:iCs/>
                <w:sz w:val="21"/>
                <w:szCs w:val="21"/>
                <w:lang w:val="en-US"/>
              </w:rPr>
              <w:t>Quantifoil</w:t>
            </w:r>
            <w:proofErr w:type="spellEnd"/>
            <w:r w:rsidRPr="00340C34">
              <w:rPr>
                <w:rFonts w:cs="Times New Roman"/>
                <w:i/>
                <w:iCs/>
                <w:sz w:val="21"/>
                <w:szCs w:val="21"/>
                <w:lang w:val="en-US"/>
              </w:rPr>
              <w:t xml:space="preserve"> S7/2</w:t>
            </w:r>
          </w:p>
        </w:tc>
        <w:tc>
          <w:tcPr>
            <w:tcW w:w="1134" w:type="dxa"/>
          </w:tcPr>
          <w:p w14:paraId="7DA742D8"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200 mesh</w:t>
            </w:r>
          </w:p>
        </w:tc>
        <w:tc>
          <w:tcPr>
            <w:tcW w:w="1843" w:type="dxa"/>
          </w:tcPr>
          <w:p w14:paraId="14BC4E55"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Ultrathin continuous carbon (2–3 nm)</w:t>
            </w:r>
          </w:p>
        </w:tc>
        <w:tc>
          <w:tcPr>
            <w:tcW w:w="1701" w:type="dxa"/>
          </w:tcPr>
          <w:p w14:paraId="1715E215"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Fragile; unstable for long-term culture</w:t>
            </w:r>
          </w:p>
        </w:tc>
        <w:tc>
          <w:tcPr>
            <w:tcW w:w="1843" w:type="dxa"/>
          </w:tcPr>
          <w:p w14:paraId="3D8EF2E1"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i/>
                <w:iCs/>
                <w:sz w:val="21"/>
                <w:szCs w:val="21"/>
                <w:lang w:val="fr-CH"/>
              </w:rPr>
            </w:pPr>
            <w:proofErr w:type="spellStart"/>
            <w:r w:rsidRPr="00340C34">
              <w:rPr>
                <w:rFonts w:eastAsia="Times New Roman" w:cs="Times New Roman"/>
                <w:i/>
                <w:iCs/>
                <w:sz w:val="21"/>
                <w:szCs w:val="21"/>
                <w:lang w:val="fr-CH"/>
              </w:rPr>
              <w:t>Promotes</w:t>
            </w:r>
            <w:proofErr w:type="spellEnd"/>
            <w:r w:rsidRPr="00340C34">
              <w:rPr>
                <w:rFonts w:eastAsia="Times New Roman" w:cs="Times New Roman"/>
                <w:i/>
                <w:iCs/>
                <w:sz w:val="21"/>
                <w:szCs w:val="21"/>
                <w:lang w:val="fr-CH"/>
              </w:rPr>
              <w:t xml:space="preserve"> synapse formation on </w:t>
            </w:r>
            <w:proofErr w:type="spellStart"/>
            <w:r w:rsidRPr="00340C34">
              <w:rPr>
                <w:rFonts w:eastAsia="Times New Roman" w:cs="Times New Roman"/>
                <w:i/>
                <w:iCs/>
                <w:sz w:val="21"/>
                <w:szCs w:val="21"/>
                <w:lang w:val="fr-CH"/>
              </w:rPr>
              <w:t>ultrathin</w:t>
            </w:r>
            <w:proofErr w:type="spellEnd"/>
            <w:r w:rsidRPr="00340C34">
              <w:rPr>
                <w:rFonts w:eastAsia="Times New Roman" w:cs="Times New Roman"/>
                <w:i/>
                <w:iCs/>
                <w:sz w:val="21"/>
                <w:szCs w:val="21"/>
                <w:lang w:val="fr-CH"/>
              </w:rPr>
              <w:t xml:space="preserve"> </w:t>
            </w:r>
            <w:proofErr w:type="spellStart"/>
            <w:r w:rsidRPr="00340C34">
              <w:rPr>
                <w:rFonts w:eastAsia="Times New Roman" w:cs="Times New Roman"/>
                <w:i/>
                <w:iCs/>
                <w:sz w:val="21"/>
                <w:szCs w:val="21"/>
                <w:lang w:val="fr-CH"/>
              </w:rPr>
              <w:t>carbon</w:t>
            </w:r>
            <w:proofErr w:type="spellEnd"/>
          </w:p>
        </w:tc>
        <w:tc>
          <w:tcPr>
            <w:tcW w:w="1268" w:type="dxa"/>
          </w:tcPr>
          <w:p w14:paraId="300884DF"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High</w:t>
            </w:r>
          </w:p>
        </w:tc>
      </w:tr>
      <w:tr w:rsidR="00363B4C" w:rsidRPr="00783E66" w14:paraId="7B18AB6F" w14:textId="77777777" w:rsidTr="00A4410B">
        <w:trPr>
          <w:trHeight w:val="300"/>
        </w:trPr>
        <w:tc>
          <w:tcPr>
            <w:cnfStyle w:val="001000000000" w:firstRow="0" w:lastRow="0" w:firstColumn="1" w:lastColumn="0" w:oddVBand="0" w:evenVBand="0" w:oddHBand="0" w:evenHBand="0" w:firstRowFirstColumn="0" w:firstRowLastColumn="0" w:lastRowFirstColumn="0" w:lastRowLastColumn="0"/>
            <w:tcW w:w="1271" w:type="dxa"/>
          </w:tcPr>
          <w:p w14:paraId="51412285" w14:textId="77777777" w:rsidR="00363B4C" w:rsidRPr="00340C34" w:rsidRDefault="00363B4C" w:rsidP="00A4410B">
            <w:pPr>
              <w:rPr>
                <w:rFonts w:eastAsia="Times New Roman" w:cs="Times New Roman"/>
                <w:i/>
                <w:iCs/>
                <w:sz w:val="21"/>
                <w:szCs w:val="21"/>
                <w:lang w:val="en-US"/>
              </w:rPr>
            </w:pPr>
            <w:r w:rsidRPr="00340C34">
              <w:rPr>
                <w:rFonts w:eastAsia="Times New Roman" w:cs="Times New Roman"/>
                <w:i/>
                <w:iCs/>
                <w:sz w:val="21"/>
                <w:szCs w:val="21"/>
                <w:lang w:val="en-US"/>
              </w:rPr>
              <w:t>Lacey carbon film</w:t>
            </w:r>
          </w:p>
        </w:tc>
        <w:tc>
          <w:tcPr>
            <w:tcW w:w="1134" w:type="dxa"/>
          </w:tcPr>
          <w:p w14:paraId="4AD61EA2"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200 / 300 mesh</w:t>
            </w:r>
          </w:p>
        </w:tc>
        <w:tc>
          <w:tcPr>
            <w:tcW w:w="1843" w:type="dxa"/>
          </w:tcPr>
          <w:p w14:paraId="13621049"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1"/>
                <w:szCs w:val="21"/>
                <w:lang w:val="en-US"/>
              </w:rPr>
            </w:pPr>
            <w:r w:rsidRPr="00340C34">
              <w:rPr>
                <w:rFonts w:eastAsia="Times New Roman" w:cs="Times New Roman"/>
                <w:i/>
                <w:iCs/>
                <w:sz w:val="21"/>
                <w:szCs w:val="21"/>
                <w:lang w:val="en-US"/>
              </w:rPr>
              <w:t>With and without continuous carbon</w:t>
            </w:r>
          </w:p>
        </w:tc>
        <w:tc>
          <w:tcPr>
            <w:tcW w:w="1701" w:type="dxa"/>
          </w:tcPr>
          <w:p w14:paraId="3417756C"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i/>
                <w:iCs/>
                <w:sz w:val="21"/>
                <w:szCs w:val="21"/>
                <w:lang w:val="en-US"/>
              </w:rPr>
            </w:pPr>
            <w:r w:rsidRPr="00340C34">
              <w:rPr>
                <w:rFonts w:eastAsia="Times New Roman" w:cs="Times New Roman"/>
                <w:i/>
                <w:iCs/>
                <w:sz w:val="21"/>
                <w:szCs w:val="21"/>
                <w:lang w:val="en-US"/>
              </w:rPr>
              <w:t>Cell adhesion and ice thickness issues</w:t>
            </w:r>
          </w:p>
        </w:tc>
        <w:tc>
          <w:tcPr>
            <w:tcW w:w="1843" w:type="dxa"/>
          </w:tcPr>
          <w:p w14:paraId="03006CDB"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i/>
                <w:iCs/>
                <w:sz w:val="21"/>
                <w:szCs w:val="21"/>
                <w:lang w:val="en-US"/>
              </w:rPr>
            </w:pPr>
            <w:r w:rsidRPr="00340C34">
              <w:rPr>
                <w:rFonts w:eastAsia="Times New Roman" w:cs="Times New Roman"/>
                <w:i/>
                <w:iCs/>
                <w:sz w:val="21"/>
                <w:szCs w:val="21"/>
                <w:lang w:val="en-US"/>
              </w:rPr>
              <w:t>Laminin coating improved adhesion</w:t>
            </w:r>
          </w:p>
        </w:tc>
        <w:tc>
          <w:tcPr>
            <w:tcW w:w="1268" w:type="dxa"/>
          </w:tcPr>
          <w:p w14:paraId="425CBF03"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1"/>
                <w:szCs w:val="21"/>
                <w:lang w:val="en-US"/>
              </w:rPr>
            </w:pPr>
            <w:r w:rsidRPr="00340C34">
              <w:rPr>
                <w:rFonts w:cs="Times New Roman"/>
                <w:i/>
                <w:iCs/>
                <w:sz w:val="21"/>
                <w:szCs w:val="21"/>
                <w:lang w:val="en-US"/>
              </w:rPr>
              <w:t>Moderate</w:t>
            </w:r>
            <w:r w:rsidRPr="00340C34">
              <w:rPr>
                <w:rFonts w:eastAsia="Times New Roman" w:cs="Times New Roman"/>
                <w:i/>
                <w:iCs/>
                <w:sz w:val="21"/>
                <w:szCs w:val="21"/>
                <w:lang w:val="en-US"/>
              </w:rPr>
              <w:t xml:space="preserve"> (most used)</w:t>
            </w:r>
          </w:p>
        </w:tc>
      </w:tr>
      <w:tr w:rsidR="00363B4C" w:rsidRPr="00783E66" w14:paraId="777E103C" w14:textId="77777777" w:rsidTr="00A4410B">
        <w:trPr>
          <w:trHeight w:val="300"/>
        </w:trPr>
        <w:tc>
          <w:tcPr>
            <w:cnfStyle w:val="001000000000" w:firstRow="0" w:lastRow="0" w:firstColumn="1" w:lastColumn="0" w:oddVBand="0" w:evenVBand="0" w:oddHBand="0" w:evenHBand="0" w:firstRowFirstColumn="0" w:firstRowLastColumn="0" w:lastRowFirstColumn="0" w:lastRowLastColumn="0"/>
            <w:tcW w:w="1271" w:type="dxa"/>
          </w:tcPr>
          <w:p w14:paraId="7C75ADE4" w14:textId="77777777" w:rsidR="00363B4C" w:rsidRPr="00340C34" w:rsidRDefault="00363B4C" w:rsidP="00A4410B">
            <w:pPr>
              <w:rPr>
                <w:rFonts w:eastAsia="Times New Roman" w:cs="Times New Roman"/>
                <w:i/>
                <w:iCs/>
                <w:sz w:val="21"/>
                <w:szCs w:val="21"/>
                <w:lang w:val="en-US"/>
              </w:rPr>
            </w:pPr>
            <w:r w:rsidRPr="00340C34">
              <w:rPr>
                <w:rFonts w:eastAsia="Times New Roman" w:cs="Times New Roman"/>
                <w:i/>
                <w:iCs/>
                <w:sz w:val="21"/>
                <w:szCs w:val="21"/>
                <w:lang w:val="en-US"/>
              </w:rPr>
              <w:t>Hexagonal pattern</w:t>
            </w:r>
          </w:p>
        </w:tc>
        <w:tc>
          <w:tcPr>
            <w:tcW w:w="1134" w:type="dxa"/>
          </w:tcPr>
          <w:p w14:paraId="499D0BAC"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cs="Times New Roman"/>
                <w:i/>
                <w:iCs/>
                <w:sz w:val="21"/>
                <w:szCs w:val="21"/>
                <w:lang w:val="en-US"/>
              </w:rPr>
            </w:pPr>
            <w:r w:rsidRPr="00340C34">
              <w:rPr>
                <w:rFonts w:cs="Times New Roman"/>
                <w:i/>
                <w:iCs/>
                <w:sz w:val="21"/>
                <w:szCs w:val="21"/>
                <w:lang w:val="en-US"/>
              </w:rPr>
              <w:t>Various</w:t>
            </w:r>
          </w:p>
        </w:tc>
        <w:tc>
          <w:tcPr>
            <w:tcW w:w="1843" w:type="dxa"/>
          </w:tcPr>
          <w:p w14:paraId="28D5AB77"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1"/>
                <w:szCs w:val="21"/>
                <w:lang w:val="en-US"/>
              </w:rPr>
            </w:pPr>
            <w:r w:rsidRPr="00340C34">
              <w:rPr>
                <w:rFonts w:eastAsia="Times New Roman" w:cs="Times New Roman"/>
                <w:i/>
                <w:iCs/>
                <w:sz w:val="21"/>
                <w:szCs w:val="21"/>
                <w:lang w:val="en-US"/>
              </w:rPr>
              <w:t>With and without continuous carbon</w:t>
            </w:r>
          </w:p>
        </w:tc>
        <w:tc>
          <w:tcPr>
            <w:tcW w:w="1701" w:type="dxa"/>
          </w:tcPr>
          <w:p w14:paraId="281FAFE0"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i/>
                <w:iCs/>
                <w:sz w:val="21"/>
                <w:szCs w:val="21"/>
                <w:lang w:val="en-US"/>
              </w:rPr>
            </w:pPr>
            <w:r w:rsidRPr="00340C34">
              <w:rPr>
                <w:rFonts w:eastAsia="Times New Roman" w:cs="Times New Roman"/>
                <w:i/>
                <w:iCs/>
                <w:sz w:val="21"/>
                <w:szCs w:val="21"/>
                <w:lang w:val="en-US"/>
              </w:rPr>
              <w:t>Traps excess media; blotting inefficiency</w:t>
            </w:r>
          </w:p>
        </w:tc>
        <w:tc>
          <w:tcPr>
            <w:tcW w:w="1843" w:type="dxa"/>
          </w:tcPr>
          <w:p w14:paraId="62AAEE54"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1"/>
                <w:szCs w:val="21"/>
                <w:lang w:val="en-US"/>
              </w:rPr>
            </w:pPr>
            <w:r w:rsidRPr="00340C34">
              <w:rPr>
                <w:rFonts w:eastAsia="Times New Roman" w:cs="Times New Roman"/>
                <w:i/>
                <w:iCs/>
                <w:sz w:val="21"/>
                <w:szCs w:val="21"/>
                <w:lang w:val="en-US"/>
              </w:rPr>
              <w:t>No viable adaptation found</w:t>
            </w:r>
          </w:p>
        </w:tc>
        <w:tc>
          <w:tcPr>
            <w:tcW w:w="1268" w:type="dxa"/>
          </w:tcPr>
          <w:p w14:paraId="5285F112" w14:textId="77777777" w:rsidR="00363B4C" w:rsidRPr="00340C34" w:rsidRDefault="00363B4C" w:rsidP="00A4410B">
            <w:pPr>
              <w:cnfStyle w:val="000000000000" w:firstRow="0" w:lastRow="0" w:firstColumn="0" w:lastColumn="0" w:oddVBand="0" w:evenVBand="0" w:oddHBand="0" w:evenHBand="0" w:firstRowFirstColumn="0" w:firstRowLastColumn="0" w:lastRowFirstColumn="0" w:lastRowLastColumn="0"/>
              <w:rPr>
                <w:rFonts w:eastAsia="Times New Roman" w:cs="Times New Roman"/>
                <w:i/>
                <w:iCs/>
                <w:sz w:val="21"/>
                <w:szCs w:val="21"/>
                <w:lang w:val="en-US"/>
              </w:rPr>
            </w:pPr>
            <w:r w:rsidRPr="00340C34">
              <w:rPr>
                <w:rFonts w:eastAsia="Times New Roman" w:cs="Times New Roman"/>
                <w:i/>
                <w:iCs/>
                <w:sz w:val="21"/>
                <w:szCs w:val="21"/>
                <w:lang w:val="en-US"/>
              </w:rPr>
              <w:t>Unsuitable</w:t>
            </w:r>
          </w:p>
        </w:tc>
      </w:tr>
    </w:tbl>
    <w:p w14:paraId="3A41BFB0" w14:textId="77777777" w:rsidR="00363B4C" w:rsidRPr="00363B4C" w:rsidRDefault="00363B4C" w:rsidP="00363B4C">
      <w:pPr>
        <w:pStyle w:val="Subtitle"/>
        <w:spacing w:before="240"/>
        <w:jc w:val="both"/>
        <w:rPr>
          <w:rFonts w:cs="Times New Roman"/>
          <w:sz w:val="22"/>
          <w:szCs w:val="22"/>
          <w:lang w:val="en-US"/>
        </w:rPr>
      </w:pPr>
    </w:p>
    <w:p w14:paraId="0763A060" w14:textId="77777777" w:rsidR="00363B4C" w:rsidRPr="000838CE" w:rsidRDefault="00363B4C" w:rsidP="00363B4C">
      <w:pPr>
        <w:pStyle w:val="Heading4"/>
        <w:rPr>
          <w:b/>
          <w:bCs/>
          <w:lang w:val="en-US"/>
        </w:rPr>
      </w:pPr>
      <w:r w:rsidRPr="000838CE">
        <w:rPr>
          <w:b/>
          <w:bCs/>
          <w:lang w:val="en-US"/>
        </w:rPr>
        <w:t xml:space="preserve">Immunofluorescence of </w:t>
      </w:r>
      <w:r>
        <w:rPr>
          <w:b/>
          <w:bCs/>
          <w:lang w:val="en-US"/>
        </w:rPr>
        <w:t>S</w:t>
      </w:r>
      <w:r w:rsidRPr="000838CE">
        <w:rPr>
          <w:b/>
          <w:bCs/>
          <w:lang w:val="en-US"/>
        </w:rPr>
        <w:t xml:space="preserve">ynaptic </w:t>
      </w:r>
      <w:r>
        <w:rPr>
          <w:b/>
          <w:bCs/>
          <w:lang w:val="en-US"/>
        </w:rPr>
        <w:t>P</w:t>
      </w:r>
      <w:r w:rsidRPr="000838CE">
        <w:rPr>
          <w:b/>
          <w:bCs/>
          <w:lang w:val="en-US"/>
        </w:rPr>
        <w:t xml:space="preserve">rotein </w:t>
      </w:r>
      <w:r>
        <w:rPr>
          <w:b/>
          <w:bCs/>
          <w:lang w:val="en-US"/>
        </w:rPr>
        <w:t>C</w:t>
      </w:r>
      <w:r w:rsidRPr="000838CE">
        <w:rPr>
          <w:b/>
          <w:bCs/>
          <w:lang w:val="en-US"/>
        </w:rPr>
        <w:t>olocalization</w:t>
      </w:r>
    </w:p>
    <w:p w14:paraId="140C49C3" w14:textId="77777777" w:rsidR="00363B4C" w:rsidRPr="0056774F" w:rsidRDefault="00363B4C" w:rsidP="00363B4C">
      <w:pPr>
        <w:jc w:val="center"/>
        <w:rPr>
          <w:lang w:val="en-US"/>
        </w:rPr>
      </w:pPr>
      <w:r w:rsidRPr="00AB063E">
        <w:rPr>
          <w:noProof/>
        </w:rPr>
        <w:drawing>
          <wp:inline distT="0" distB="0" distL="0" distR="0" wp14:anchorId="7893C4F8" wp14:editId="17C18DE8">
            <wp:extent cx="4860000" cy="3151613"/>
            <wp:effectExtent l="0" t="0" r="4445" b="0"/>
            <wp:docPr id="220953811" name="Picture 8" descr="A collage of multiple images of green and yellow spots&#10;&#10;AI-generated content may be incorrect.">
              <a:extLst xmlns:a="http://schemas.openxmlformats.org/drawingml/2006/main">
                <a:ext uri="{FF2B5EF4-FFF2-40B4-BE49-F238E27FC236}">
                  <a16:creationId xmlns:a16="http://schemas.microsoft.com/office/drawing/2014/main" id="{68C31BCE-59DB-C91D-7445-663082A9A4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53811" name="Picture 8" descr="A collage of multiple images of green and yellow spots&#10;&#10;AI-generated content may be incorrect.">
                      <a:extLst>
                        <a:ext uri="{FF2B5EF4-FFF2-40B4-BE49-F238E27FC236}">
                          <a16:creationId xmlns:a16="http://schemas.microsoft.com/office/drawing/2014/main" id="{68C31BCE-59DB-C91D-7445-663082A9A44E}"/>
                        </a:ext>
                      </a:extLst>
                    </pic:cNvPr>
                    <pic:cNvPicPr>
                      <a:picLocks noChangeAspect="1"/>
                    </pic:cNvPicPr>
                  </pic:nvPicPr>
                  <pic:blipFill>
                    <a:blip r:embed="rId7"/>
                    <a:srcRect b="1322"/>
                    <a:stretch>
                      <a:fillRect/>
                    </a:stretch>
                  </pic:blipFill>
                  <pic:spPr>
                    <a:xfrm>
                      <a:off x="0" y="0"/>
                      <a:ext cx="4860000" cy="3151613"/>
                    </a:xfrm>
                    <a:prstGeom prst="rect">
                      <a:avLst/>
                    </a:prstGeom>
                  </pic:spPr>
                </pic:pic>
              </a:graphicData>
            </a:graphic>
          </wp:inline>
        </w:drawing>
      </w:r>
    </w:p>
    <w:p w14:paraId="36766ADF" w14:textId="77777777" w:rsidR="00363B4C" w:rsidRPr="00817519" w:rsidRDefault="00363B4C" w:rsidP="00363B4C">
      <w:pPr>
        <w:pStyle w:val="Caption"/>
        <w:jc w:val="both"/>
        <w:rPr>
          <w:rFonts w:cs="Times New Roman"/>
          <w:lang w:val="en-US"/>
        </w:rPr>
      </w:pPr>
      <w:r w:rsidRPr="44623BD4">
        <w:rPr>
          <w:lang w:val="en-US"/>
        </w:rPr>
        <w:t xml:space="preserve">Figure S1: </w:t>
      </w:r>
      <w:r w:rsidRPr="44623BD4">
        <w:rPr>
          <w:b/>
          <w:bCs/>
          <w:lang w:val="en-US"/>
        </w:rPr>
        <w:t xml:space="preserve">Confocal analysis of synaptic marker colocalization in </w:t>
      </w:r>
      <w:proofErr w:type="spellStart"/>
      <w:r w:rsidRPr="44623BD4">
        <w:rPr>
          <w:b/>
          <w:bCs/>
          <w:lang w:val="en-US"/>
        </w:rPr>
        <w:t>iMNs</w:t>
      </w:r>
      <w:proofErr w:type="spellEnd"/>
      <w:r w:rsidRPr="44623BD4">
        <w:rPr>
          <w:b/>
          <w:bCs/>
          <w:lang w:val="en-US"/>
        </w:rPr>
        <w:t xml:space="preserve"> at DPD28 under control and neuromodulator-treated conditions. Top panel (Control):</w:t>
      </w:r>
      <w:r w:rsidRPr="44623BD4">
        <w:rPr>
          <w:lang w:val="en-US"/>
        </w:rPr>
        <w:t xml:space="preserve"> Representative confocal images of untreated </w:t>
      </w:r>
      <w:proofErr w:type="spellStart"/>
      <w:r w:rsidRPr="44623BD4">
        <w:rPr>
          <w:lang w:val="en-US"/>
        </w:rPr>
        <w:t>iMNs</w:t>
      </w:r>
      <w:proofErr w:type="spellEnd"/>
      <w:r w:rsidRPr="44623BD4">
        <w:rPr>
          <w:lang w:val="en-US"/>
        </w:rPr>
        <w:t xml:space="preserve"> stained for Synaptophysin (SYP, orange), PSD-95 (green), and merged channels. SYP marks presynaptic terminals, while PSD-95 indicates postsynaptic densities. Colocalized puncta along MAP2-positive neurites (not shown here) represent putative excitatory synapses. </w:t>
      </w:r>
      <w:r w:rsidRPr="44623BD4">
        <w:rPr>
          <w:b/>
          <w:bCs/>
          <w:lang w:val="en-US"/>
        </w:rPr>
        <w:t>Bottom panel:</w:t>
      </w:r>
      <w:r w:rsidRPr="44623BD4">
        <w:rPr>
          <w:lang w:val="en-US"/>
        </w:rPr>
        <w:t xml:space="preserve"> </w:t>
      </w:r>
      <w:proofErr w:type="spellStart"/>
      <w:r w:rsidRPr="44623BD4">
        <w:rPr>
          <w:lang w:val="en-US"/>
        </w:rPr>
        <w:t>iMNs</w:t>
      </w:r>
      <w:proofErr w:type="spellEnd"/>
      <w:r w:rsidRPr="44623BD4">
        <w:rPr>
          <w:lang w:val="en-US"/>
        </w:rPr>
        <w:t xml:space="preserve"> treated with the neuromodulators CX516 and CDPPB exhibit a marked increase in both SYP- and PSD-95-positive puncta, with more extensive colocalization between pre- and postsynaptic markers. This suggests enhanced synaptogenesis following treatment. Scale bars: 20 </w:t>
      </w:r>
      <w:proofErr w:type="spellStart"/>
      <w:r w:rsidRPr="44623BD4">
        <w:rPr>
          <w:lang w:val="en-US"/>
        </w:rPr>
        <w:t>μm</w:t>
      </w:r>
      <w:proofErr w:type="spellEnd"/>
      <w:r w:rsidRPr="44623BD4">
        <w:rPr>
          <w:lang w:val="en-US"/>
        </w:rPr>
        <w:t>.</w:t>
      </w:r>
    </w:p>
    <w:p w14:paraId="77EECD37" w14:textId="77777777" w:rsidR="00363B4C" w:rsidRPr="00783E66" w:rsidRDefault="00363B4C" w:rsidP="00363B4C">
      <w:pPr>
        <w:spacing w:after="0"/>
        <w:rPr>
          <w:lang w:val="en-US"/>
        </w:rPr>
      </w:pPr>
    </w:p>
    <w:p w14:paraId="1F43BFE0" w14:textId="77777777" w:rsidR="00363B4C" w:rsidRPr="000838CE" w:rsidRDefault="00363B4C" w:rsidP="00363B4C">
      <w:pPr>
        <w:pStyle w:val="Heading4"/>
        <w:rPr>
          <w:b/>
          <w:bCs/>
          <w:lang w:val="en-US"/>
        </w:rPr>
      </w:pPr>
      <w:r w:rsidRPr="000838CE">
        <w:rPr>
          <w:b/>
          <w:bCs/>
          <w:lang w:val="en-US"/>
        </w:rPr>
        <w:t>Whole-</w:t>
      </w:r>
      <w:r>
        <w:rPr>
          <w:b/>
          <w:bCs/>
          <w:lang w:val="en-US"/>
        </w:rPr>
        <w:t>C</w:t>
      </w:r>
      <w:r w:rsidRPr="000838CE">
        <w:rPr>
          <w:b/>
          <w:bCs/>
          <w:lang w:val="en-US"/>
        </w:rPr>
        <w:t xml:space="preserve">ell </w:t>
      </w:r>
      <w:r>
        <w:rPr>
          <w:b/>
          <w:bCs/>
          <w:lang w:val="en-US"/>
        </w:rPr>
        <w:t>P</w:t>
      </w:r>
      <w:r w:rsidRPr="000838CE">
        <w:rPr>
          <w:b/>
          <w:bCs/>
          <w:lang w:val="en-US"/>
        </w:rPr>
        <w:t xml:space="preserve">atch </w:t>
      </w:r>
      <w:r>
        <w:rPr>
          <w:b/>
          <w:bCs/>
          <w:lang w:val="en-US"/>
        </w:rPr>
        <w:t>C</w:t>
      </w:r>
      <w:r w:rsidRPr="000838CE">
        <w:rPr>
          <w:b/>
          <w:bCs/>
          <w:lang w:val="en-US"/>
        </w:rPr>
        <w:t xml:space="preserve">lamp </w:t>
      </w:r>
      <w:r>
        <w:rPr>
          <w:b/>
          <w:bCs/>
          <w:lang w:val="en-US"/>
        </w:rPr>
        <w:t>E</w:t>
      </w:r>
      <w:r w:rsidRPr="000838CE">
        <w:rPr>
          <w:b/>
          <w:bCs/>
          <w:lang w:val="en-US"/>
        </w:rPr>
        <w:t xml:space="preserve">lectrophysiology </w:t>
      </w:r>
      <w:r>
        <w:rPr>
          <w:b/>
          <w:bCs/>
          <w:lang w:val="en-US"/>
        </w:rPr>
        <w:t>A</w:t>
      </w:r>
      <w:r w:rsidRPr="000838CE">
        <w:rPr>
          <w:b/>
          <w:bCs/>
          <w:lang w:val="en-US"/>
        </w:rPr>
        <w:t>nalysis</w:t>
      </w:r>
    </w:p>
    <w:p w14:paraId="0524C8D3" w14:textId="77777777" w:rsidR="00363B4C" w:rsidRPr="00E97064" w:rsidRDefault="00363B4C" w:rsidP="00363B4C">
      <w:pPr>
        <w:spacing w:after="0"/>
        <w:jc w:val="both"/>
        <w:rPr>
          <w:rFonts w:ascii="Aptos" w:eastAsia="Aptos" w:hAnsi="Aptos" w:cs="Aptos"/>
          <w:i/>
          <w:iCs/>
          <w:color w:val="0E2841" w:themeColor="text2"/>
          <w:sz w:val="18"/>
          <w:szCs w:val="18"/>
          <w:lang w:val="en-US"/>
        </w:rPr>
      </w:pPr>
      <w:r w:rsidRPr="00E97064">
        <w:rPr>
          <w:i/>
          <w:iCs/>
          <w:color w:val="0E2841" w:themeColor="text2"/>
          <w:sz w:val="18"/>
          <w:szCs w:val="18"/>
          <w:lang w:val="en-US"/>
        </w:rPr>
        <w:t xml:space="preserve">Table S4. </w:t>
      </w:r>
      <w:r w:rsidRPr="00E97064">
        <w:rPr>
          <w:b/>
          <w:bCs/>
          <w:i/>
          <w:iCs/>
          <w:color w:val="0E2841" w:themeColor="text2"/>
          <w:sz w:val="18"/>
          <w:szCs w:val="18"/>
          <w:lang w:val="en-US"/>
        </w:rPr>
        <w:t xml:space="preserve">Quantification of evoked action potential (AP) firing patterns in </w:t>
      </w:r>
      <w:proofErr w:type="spellStart"/>
      <w:r w:rsidRPr="00E97064">
        <w:rPr>
          <w:b/>
          <w:bCs/>
          <w:i/>
          <w:iCs/>
          <w:color w:val="0E2841" w:themeColor="text2"/>
          <w:sz w:val="18"/>
          <w:szCs w:val="18"/>
          <w:lang w:val="en-US"/>
        </w:rPr>
        <w:t>iMNs</w:t>
      </w:r>
      <w:proofErr w:type="spellEnd"/>
      <w:r w:rsidRPr="00E97064">
        <w:rPr>
          <w:b/>
          <w:bCs/>
          <w:i/>
          <w:iCs/>
          <w:color w:val="0E2841" w:themeColor="text2"/>
          <w:sz w:val="18"/>
          <w:szCs w:val="18"/>
          <w:lang w:val="en-US"/>
        </w:rPr>
        <w:t>.</w:t>
      </w:r>
      <w:r w:rsidRPr="00E97064">
        <w:rPr>
          <w:i/>
          <w:iCs/>
          <w:color w:val="0E2841" w:themeColor="text2"/>
          <w:sz w:val="18"/>
          <w:szCs w:val="18"/>
          <w:lang w:val="en-US"/>
        </w:rPr>
        <w:t xml:space="preserve"> </w:t>
      </w:r>
      <w:r w:rsidRPr="00E97064">
        <w:rPr>
          <w:rFonts w:ascii="Aptos" w:eastAsia="Aptos" w:hAnsi="Aptos" w:cs="Aptos"/>
          <w:i/>
          <w:iCs/>
          <w:color w:val="0E2841" w:themeColor="text2"/>
          <w:sz w:val="18"/>
          <w:szCs w:val="18"/>
          <w:lang w:val="en-US"/>
        </w:rPr>
        <w:t>Evoked firing properties of induced motor neurons (</w:t>
      </w:r>
      <w:proofErr w:type="spellStart"/>
      <w:r w:rsidRPr="00E97064">
        <w:rPr>
          <w:rFonts w:ascii="Aptos" w:eastAsia="Aptos" w:hAnsi="Aptos" w:cs="Aptos"/>
          <w:i/>
          <w:iCs/>
          <w:color w:val="0E2841" w:themeColor="text2"/>
          <w:sz w:val="18"/>
          <w:szCs w:val="18"/>
          <w:lang w:val="en-US"/>
        </w:rPr>
        <w:t>iMNs</w:t>
      </w:r>
      <w:proofErr w:type="spellEnd"/>
      <w:r w:rsidRPr="00E97064">
        <w:rPr>
          <w:rFonts w:ascii="Aptos" w:eastAsia="Aptos" w:hAnsi="Aptos" w:cs="Aptos"/>
          <w:i/>
          <w:iCs/>
          <w:color w:val="0E2841" w:themeColor="text2"/>
          <w:sz w:val="18"/>
          <w:szCs w:val="18"/>
          <w:lang w:val="en-US"/>
        </w:rPr>
        <w:t xml:space="preserve">) were assessed from whole-cell current-clamp recordings performed at two differentiation stages (DPD21 and DPD28). For each cell, twenty depolarizing current steps (-60 </w:t>
      </w:r>
      <w:proofErr w:type="spellStart"/>
      <w:r w:rsidRPr="00E97064">
        <w:rPr>
          <w:rFonts w:ascii="Aptos" w:eastAsia="Aptos" w:hAnsi="Aptos" w:cs="Aptos"/>
          <w:i/>
          <w:iCs/>
          <w:color w:val="0E2841" w:themeColor="text2"/>
          <w:sz w:val="18"/>
          <w:szCs w:val="18"/>
          <w:lang w:val="en-US"/>
        </w:rPr>
        <w:t>pA</w:t>
      </w:r>
      <w:proofErr w:type="spellEnd"/>
      <w:r w:rsidRPr="00E97064">
        <w:rPr>
          <w:rFonts w:ascii="Aptos" w:eastAsia="Aptos" w:hAnsi="Aptos" w:cs="Aptos"/>
          <w:i/>
          <w:iCs/>
          <w:color w:val="0E2841" w:themeColor="text2"/>
          <w:sz w:val="18"/>
          <w:szCs w:val="18"/>
          <w:lang w:val="en-US"/>
        </w:rPr>
        <w:t xml:space="preserve"> to +320 </w:t>
      </w:r>
      <w:proofErr w:type="spellStart"/>
      <w:r w:rsidRPr="00E97064">
        <w:rPr>
          <w:rFonts w:ascii="Aptos" w:eastAsia="Aptos" w:hAnsi="Aptos" w:cs="Aptos"/>
          <w:i/>
          <w:iCs/>
          <w:color w:val="0E2841" w:themeColor="text2"/>
          <w:sz w:val="18"/>
          <w:szCs w:val="18"/>
          <w:lang w:val="en-US"/>
        </w:rPr>
        <w:t>pA</w:t>
      </w:r>
      <w:proofErr w:type="spellEnd"/>
      <w:r w:rsidRPr="00E97064">
        <w:rPr>
          <w:rFonts w:ascii="Aptos" w:eastAsia="Aptos" w:hAnsi="Aptos" w:cs="Aptos"/>
          <w:i/>
          <w:iCs/>
          <w:color w:val="0E2841" w:themeColor="text2"/>
          <w:sz w:val="18"/>
          <w:szCs w:val="18"/>
          <w:lang w:val="en-US"/>
        </w:rPr>
        <w:t xml:space="preserve">, 20 </w:t>
      </w:r>
      <w:proofErr w:type="spellStart"/>
      <w:r w:rsidRPr="00E97064">
        <w:rPr>
          <w:rFonts w:ascii="Aptos" w:eastAsia="Aptos" w:hAnsi="Aptos" w:cs="Aptos"/>
          <w:i/>
          <w:iCs/>
          <w:color w:val="0E2841" w:themeColor="text2"/>
          <w:sz w:val="18"/>
          <w:szCs w:val="18"/>
          <w:lang w:val="en-US"/>
        </w:rPr>
        <w:t>pA</w:t>
      </w:r>
      <w:proofErr w:type="spellEnd"/>
      <w:r w:rsidRPr="00E97064">
        <w:rPr>
          <w:rFonts w:ascii="Aptos" w:eastAsia="Aptos" w:hAnsi="Aptos" w:cs="Aptos"/>
          <w:i/>
          <w:iCs/>
          <w:color w:val="0E2841" w:themeColor="text2"/>
          <w:sz w:val="18"/>
          <w:szCs w:val="18"/>
          <w:lang w:val="en-US"/>
        </w:rPr>
        <w:t xml:space="preserve"> increments) were applied. The number of single (</w:t>
      </w:r>
      <w:proofErr w:type="spellStart"/>
      <w:r w:rsidRPr="00E97064">
        <w:rPr>
          <w:rFonts w:ascii="Aptos" w:eastAsia="Aptos" w:hAnsi="Aptos" w:cs="Aptos"/>
          <w:i/>
          <w:iCs/>
          <w:color w:val="0E2841" w:themeColor="text2"/>
          <w:sz w:val="18"/>
          <w:szCs w:val="18"/>
          <w:lang w:val="en-US"/>
        </w:rPr>
        <w:t>sAP</w:t>
      </w:r>
      <w:proofErr w:type="spellEnd"/>
      <w:r w:rsidRPr="00E97064">
        <w:rPr>
          <w:rFonts w:ascii="Aptos" w:eastAsia="Aptos" w:hAnsi="Aptos" w:cs="Aptos"/>
          <w:i/>
          <w:iCs/>
          <w:color w:val="0E2841" w:themeColor="text2"/>
          <w:sz w:val="18"/>
          <w:szCs w:val="18"/>
          <w:lang w:val="en-US"/>
        </w:rPr>
        <w:t>) or repetitive (</w:t>
      </w:r>
      <w:proofErr w:type="spellStart"/>
      <w:r w:rsidRPr="00E97064">
        <w:rPr>
          <w:rFonts w:ascii="Aptos" w:eastAsia="Aptos" w:hAnsi="Aptos" w:cs="Aptos"/>
          <w:i/>
          <w:iCs/>
          <w:color w:val="0E2841" w:themeColor="text2"/>
          <w:sz w:val="18"/>
          <w:szCs w:val="18"/>
          <w:lang w:val="en-US"/>
        </w:rPr>
        <w:t>rAP</w:t>
      </w:r>
      <w:proofErr w:type="spellEnd"/>
      <w:r w:rsidRPr="00E97064">
        <w:rPr>
          <w:rFonts w:ascii="Aptos" w:eastAsia="Aptos" w:hAnsi="Aptos" w:cs="Aptos"/>
          <w:i/>
          <w:iCs/>
          <w:color w:val="0E2841" w:themeColor="text2"/>
          <w:sz w:val="18"/>
          <w:szCs w:val="18"/>
          <w:lang w:val="en-US"/>
        </w:rPr>
        <w:t xml:space="preserve">) action potentials was classified during the stimulation phase (SP) and during the subsequent resting phase (RP). Each current injection was considered one independent step.  </w:t>
      </w:r>
    </w:p>
    <w:p w14:paraId="6F38EEF6" w14:textId="77777777" w:rsidR="00363B4C" w:rsidRDefault="00363B4C" w:rsidP="00363B4C">
      <w:pPr>
        <w:spacing w:after="0"/>
        <w:jc w:val="both"/>
        <w:rPr>
          <w:i/>
          <w:iCs/>
          <w:color w:val="0E2841" w:themeColor="text2"/>
          <w:sz w:val="18"/>
          <w:szCs w:val="18"/>
          <w:lang w:val="en-US"/>
        </w:rPr>
      </w:pPr>
      <w:r w:rsidRPr="00E97064">
        <w:rPr>
          <w:rFonts w:ascii="Aptos" w:eastAsia="Aptos" w:hAnsi="Aptos" w:cs="Aptos"/>
          <w:i/>
          <w:iCs/>
          <w:color w:val="0E2841" w:themeColor="text2"/>
          <w:sz w:val="18"/>
          <w:szCs w:val="18"/>
          <w:lang w:val="en-US"/>
        </w:rPr>
        <w:t xml:space="preserve">For each condition (Norm, N; Modulated, M), total event counts were obtained across all recorded cells, separately for </w:t>
      </w:r>
      <w:proofErr w:type="spellStart"/>
      <w:r w:rsidRPr="00E97064">
        <w:rPr>
          <w:rFonts w:ascii="Aptos" w:eastAsia="Aptos" w:hAnsi="Aptos" w:cs="Aptos"/>
          <w:i/>
          <w:iCs/>
          <w:color w:val="0E2841" w:themeColor="text2"/>
          <w:sz w:val="18"/>
          <w:szCs w:val="18"/>
          <w:lang w:val="en-US"/>
        </w:rPr>
        <w:t>rAP</w:t>
      </w:r>
      <w:proofErr w:type="spellEnd"/>
      <w:r w:rsidRPr="00E97064">
        <w:rPr>
          <w:rFonts w:ascii="Aptos" w:eastAsia="Aptos" w:hAnsi="Aptos" w:cs="Aptos"/>
          <w:i/>
          <w:iCs/>
          <w:color w:val="0E2841" w:themeColor="text2"/>
          <w:sz w:val="18"/>
          <w:szCs w:val="18"/>
          <w:lang w:val="en-US"/>
        </w:rPr>
        <w:t xml:space="preserve"> SP, </w:t>
      </w:r>
      <w:proofErr w:type="spellStart"/>
      <w:r w:rsidRPr="00E97064">
        <w:rPr>
          <w:rFonts w:ascii="Aptos" w:eastAsia="Aptos" w:hAnsi="Aptos" w:cs="Aptos"/>
          <w:i/>
          <w:iCs/>
          <w:color w:val="0E2841" w:themeColor="text2"/>
          <w:sz w:val="18"/>
          <w:szCs w:val="18"/>
          <w:lang w:val="en-US"/>
        </w:rPr>
        <w:t>sAP</w:t>
      </w:r>
      <w:proofErr w:type="spellEnd"/>
      <w:r w:rsidRPr="00E97064">
        <w:rPr>
          <w:rFonts w:ascii="Aptos" w:eastAsia="Aptos" w:hAnsi="Aptos" w:cs="Aptos"/>
          <w:i/>
          <w:iCs/>
          <w:color w:val="0E2841" w:themeColor="text2"/>
          <w:sz w:val="18"/>
          <w:szCs w:val="18"/>
          <w:lang w:val="en-US"/>
        </w:rPr>
        <w:t xml:space="preserve"> SP, </w:t>
      </w:r>
      <w:proofErr w:type="spellStart"/>
      <w:r w:rsidRPr="00E97064">
        <w:rPr>
          <w:rFonts w:ascii="Aptos" w:eastAsia="Aptos" w:hAnsi="Aptos" w:cs="Aptos"/>
          <w:i/>
          <w:iCs/>
          <w:color w:val="0E2841" w:themeColor="text2"/>
          <w:sz w:val="18"/>
          <w:szCs w:val="18"/>
          <w:lang w:val="en-US"/>
        </w:rPr>
        <w:t>rAP</w:t>
      </w:r>
      <w:proofErr w:type="spellEnd"/>
      <w:r w:rsidRPr="00E97064">
        <w:rPr>
          <w:rFonts w:ascii="Aptos" w:eastAsia="Aptos" w:hAnsi="Aptos" w:cs="Aptos"/>
          <w:i/>
          <w:iCs/>
          <w:color w:val="0E2841" w:themeColor="text2"/>
          <w:sz w:val="18"/>
          <w:szCs w:val="18"/>
          <w:lang w:val="en-US"/>
        </w:rPr>
        <w:t xml:space="preserve"> RP, and </w:t>
      </w:r>
      <w:proofErr w:type="spellStart"/>
      <w:r w:rsidRPr="00E97064">
        <w:rPr>
          <w:rFonts w:ascii="Aptos" w:eastAsia="Aptos" w:hAnsi="Aptos" w:cs="Aptos"/>
          <w:i/>
          <w:iCs/>
          <w:color w:val="0E2841" w:themeColor="text2"/>
          <w:sz w:val="18"/>
          <w:szCs w:val="18"/>
          <w:lang w:val="en-US"/>
        </w:rPr>
        <w:t>sAP</w:t>
      </w:r>
      <w:proofErr w:type="spellEnd"/>
      <w:r w:rsidRPr="00E97064">
        <w:rPr>
          <w:rFonts w:ascii="Aptos" w:eastAsia="Aptos" w:hAnsi="Aptos" w:cs="Aptos"/>
          <w:i/>
          <w:iCs/>
          <w:color w:val="0E2841" w:themeColor="text2"/>
          <w:sz w:val="18"/>
          <w:szCs w:val="18"/>
          <w:lang w:val="en-US"/>
        </w:rPr>
        <w:t xml:space="preserve"> RP categories. The number of recordings (n) and corresponding total steps (exposure = n × 20) were as follows: DPD21 N: 4 coverslips (80 steps), DPD21 M: 4 coverslips (80 steps); DPD28 N: 3 coverslips (60 steps), DPD28 M: 3 coverslips (60 steps). For each category and developmental stage, the relative incidence of events in M compared with N was analyzed using a Poisson-rate model with the exposure term set to the number of steps. To account for multiple testing within each developmental stage (four comparisons per stage: </w:t>
      </w:r>
      <w:proofErr w:type="spellStart"/>
      <w:r w:rsidRPr="00E97064">
        <w:rPr>
          <w:rFonts w:ascii="Aptos" w:eastAsia="Aptos" w:hAnsi="Aptos" w:cs="Aptos"/>
          <w:i/>
          <w:iCs/>
          <w:color w:val="0E2841" w:themeColor="text2"/>
          <w:sz w:val="18"/>
          <w:szCs w:val="18"/>
          <w:lang w:val="en-US"/>
        </w:rPr>
        <w:t>rSP</w:t>
      </w:r>
      <w:proofErr w:type="spellEnd"/>
      <w:r w:rsidRPr="00E97064">
        <w:rPr>
          <w:rFonts w:ascii="Aptos" w:eastAsia="Aptos" w:hAnsi="Aptos" w:cs="Aptos"/>
          <w:i/>
          <w:iCs/>
          <w:color w:val="0E2841" w:themeColor="text2"/>
          <w:sz w:val="18"/>
          <w:szCs w:val="18"/>
          <w:lang w:val="en-US"/>
        </w:rPr>
        <w:t xml:space="preserve">, </w:t>
      </w:r>
      <w:proofErr w:type="spellStart"/>
      <w:r w:rsidRPr="00E97064">
        <w:rPr>
          <w:rFonts w:ascii="Aptos" w:eastAsia="Aptos" w:hAnsi="Aptos" w:cs="Aptos"/>
          <w:i/>
          <w:iCs/>
          <w:color w:val="0E2841" w:themeColor="text2"/>
          <w:sz w:val="18"/>
          <w:szCs w:val="18"/>
          <w:lang w:val="en-US"/>
        </w:rPr>
        <w:t>sSP</w:t>
      </w:r>
      <w:proofErr w:type="spellEnd"/>
      <w:r w:rsidRPr="00E97064">
        <w:rPr>
          <w:rFonts w:ascii="Aptos" w:eastAsia="Aptos" w:hAnsi="Aptos" w:cs="Aptos"/>
          <w:i/>
          <w:iCs/>
          <w:color w:val="0E2841" w:themeColor="text2"/>
          <w:sz w:val="18"/>
          <w:szCs w:val="18"/>
          <w:lang w:val="en-US"/>
        </w:rPr>
        <w:t xml:space="preserve">, </w:t>
      </w:r>
      <w:proofErr w:type="spellStart"/>
      <w:r w:rsidRPr="00E97064">
        <w:rPr>
          <w:rFonts w:ascii="Aptos" w:eastAsia="Aptos" w:hAnsi="Aptos" w:cs="Aptos"/>
          <w:i/>
          <w:iCs/>
          <w:color w:val="0E2841" w:themeColor="text2"/>
          <w:sz w:val="18"/>
          <w:szCs w:val="18"/>
          <w:lang w:val="en-US"/>
        </w:rPr>
        <w:t>rRP</w:t>
      </w:r>
      <w:proofErr w:type="spellEnd"/>
      <w:r w:rsidRPr="00E97064">
        <w:rPr>
          <w:rFonts w:ascii="Aptos" w:eastAsia="Aptos" w:hAnsi="Aptos" w:cs="Aptos"/>
          <w:i/>
          <w:iCs/>
          <w:color w:val="0E2841" w:themeColor="text2"/>
          <w:sz w:val="18"/>
          <w:szCs w:val="18"/>
          <w:lang w:val="en-US"/>
        </w:rPr>
        <w:t xml:space="preserve">, </w:t>
      </w:r>
      <w:proofErr w:type="spellStart"/>
      <w:r w:rsidRPr="00E97064">
        <w:rPr>
          <w:rFonts w:ascii="Aptos" w:eastAsia="Aptos" w:hAnsi="Aptos" w:cs="Aptos"/>
          <w:i/>
          <w:iCs/>
          <w:color w:val="0E2841" w:themeColor="text2"/>
          <w:sz w:val="18"/>
          <w:szCs w:val="18"/>
          <w:lang w:val="en-US"/>
        </w:rPr>
        <w:t>sRP</w:t>
      </w:r>
      <w:proofErr w:type="spellEnd"/>
      <w:r w:rsidRPr="00E97064">
        <w:rPr>
          <w:rFonts w:ascii="Aptos" w:eastAsia="Aptos" w:hAnsi="Aptos" w:cs="Aptos"/>
          <w:i/>
          <w:iCs/>
          <w:color w:val="0E2841" w:themeColor="text2"/>
          <w:sz w:val="18"/>
          <w:szCs w:val="18"/>
          <w:lang w:val="en-US"/>
        </w:rPr>
        <w:t>), p-values were adjusted using the Benjamini-Hochberg false discovery rate (FDR) method. Adjusted q-values (</w:t>
      </w:r>
      <w:proofErr w:type="spellStart"/>
      <w:r w:rsidRPr="00E97064">
        <w:rPr>
          <w:rFonts w:ascii="Aptos" w:eastAsia="Aptos" w:hAnsi="Aptos" w:cs="Aptos"/>
          <w:i/>
          <w:iCs/>
          <w:color w:val="0E2841" w:themeColor="text2"/>
          <w:sz w:val="18"/>
          <w:szCs w:val="18"/>
          <w:lang w:val="en-US"/>
        </w:rPr>
        <w:t>qFDR</w:t>
      </w:r>
      <w:proofErr w:type="spellEnd"/>
      <w:r w:rsidRPr="00E97064">
        <w:rPr>
          <w:rFonts w:ascii="Aptos" w:eastAsia="Aptos" w:hAnsi="Aptos" w:cs="Aptos"/>
          <w:i/>
          <w:iCs/>
          <w:color w:val="0E2841" w:themeColor="text2"/>
          <w:sz w:val="18"/>
          <w:szCs w:val="18"/>
          <w:lang w:val="en-US"/>
        </w:rPr>
        <w:t>) are reported alongside raw p-values.</w:t>
      </w:r>
    </w:p>
    <w:p w14:paraId="763448ED" w14:textId="77777777" w:rsidR="00363B4C" w:rsidRPr="00E97064" w:rsidRDefault="00363B4C" w:rsidP="00363B4C">
      <w:pPr>
        <w:spacing w:after="0"/>
        <w:ind w:left="360"/>
        <w:jc w:val="both"/>
        <w:rPr>
          <w:sz w:val="21"/>
          <w:szCs w:val="21"/>
          <w:lang w:val="en-US"/>
        </w:rPr>
      </w:pPr>
      <w:r w:rsidRPr="00E97064">
        <w:rPr>
          <w:b/>
          <w:bCs/>
          <w:sz w:val="21"/>
          <w:szCs w:val="21"/>
          <w:lang w:val="en-US"/>
        </w:rPr>
        <w:t xml:space="preserve">A) DPD21 </w:t>
      </w:r>
      <w:r w:rsidRPr="00E97064">
        <w:rPr>
          <w:sz w:val="21"/>
          <w:szCs w:val="21"/>
          <w:lang w:val="en-US"/>
        </w:rPr>
        <w:t>(N: 4 coverslips, 80 steps / M: 4 coverslips, 80 steps)</w:t>
      </w:r>
    </w:p>
    <w:tbl>
      <w:tblPr>
        <w:tblStyle w:val="PlainTable1"/>
        <w:tblW w:w="9062" w:type="dxa"/>
        <w:tblLook w:val="04A0" w:firstRow="1" w:lastRow="0" w:firstColumn="1" w:lastColumn="0" w:noHBand="0" w:noVBand="1"/>
      </w:tblPr>
      <w:tblGrid>
        <w:gridCol w:w="1295"/>
        <w:gridCol w:w="827"/>
        <w:gridCol w:w="850"/>
        <w:gridCol w:w="1134"/>
        <w:gridCol w:w="2368"/>
        <w:gridCol w:w="945"/>
        <w:gridCol w:w="1643"/>
      </w:tblGrid>
      <w:tr w:rsidR="00363B4C" w:rsidRPr="00E97064" w14:paraId="69D858E6" w14:textId="77777777" w:rsidTr="00A44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4EDEAC26" w14:textId="77777777" w:rsidR="00363B4C" w:rsidRPr="00E97064" w:rsidRDefault="00363B4C" w:rsidP="00A4410B">
            <w:pPr>
              <w:keepNext/>
              <w:rPr>
                <w:sz w:val="21"/>
                <w:szCs w:val="21"/>
                <w:lang w:val="en-US"/>
              </w:rPr>
            </w:pPr>
            <w:r w:rsidRPr="00E97064">
              <w:rPr>
                <w:sz w:val="21"/>
                <w:szCs w:val="21"/>
                <w:lang w:val="en-US"/>
              </w:rPr>
              <w:t>Category</w:t>
            </w:r>
          </w:p>
        </w:tc>
        <w:tc>
          <w:tcPr>
            <w:tcW w:w="827" w:type="dxa"/>
          </w:tcPr>
          <w:p w14:paraId="4F7F17FA"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y</w:t>
            </w:r>
            <w:r w:rsidRPr="00E97064">
              <w:rPr>
                <w:rFonts w:ascii="Segoe UI Symbol" w:hAnsi="Segoe UI Symbol" w:cs="Segoe UI Symbol"/>
                <w:sz w:val="21"/>
                <w:szCs w:val="21"/>
                <w:lang w:val="en-US"/>
              </w:rPr>
              <w:t>ₙ</w:t>
            </w:r>
            <w:r w:rsidRPr="00E97064">
              <w:rPr>
                <w:sz w:val="21"/>
                <w:szCs w:val="21"/>
                <w:lang w:val="en-US"/>
              </w:rPr>
              <w:t xml:space="preserve"> (N)</w:t>
            </w:r>
          </w:p>
        </w:tc>
        <w:tc>
          <w:tcPr>
            <w:tcW w:w="850" w:type="dxa"/>
          </w:tcPr>
          <w:p w14:paraId="59C7BA6B"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y</w:t>
            </w:r>
            <w:r w:rsidRPr="00E97064">
              <w:rPr>
                <w:rFonts w:ascii="Segoe UI Symbol" w:hAnsi="Segoe UI Symbol" w:cs="Segoe UI Symbol"/>
                <w:sz w:val="21"/>
                <w:szCs w:val="21"/>
                <w:lang w:val="en-US"/>
              </w:rPr>
              <w:t>ₘ</w:t>
            </w:r>
            <w:r w:rsidRPr="00E97064">
              <w:rPr>
                <w:sz w:val="21"/>
                <w:szCs w:val="21"/>
                <w:lang w:val="en-US"/>
              </w:rPr>
              <w:t xml:space="preserve"> (M)</w:t>
            </w:r>
          </w:p>
        </w:tc>
        <w:tc>
          <w:tcPr>
            <w:tcW w:w="1134" w:type="dxa"/>
          </w:tcPr>
          <w:p w14:paraId="5E478A96"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RR (M/N)</w:t>
            </w:r>
          </w:p>
        </w:tc>
        <w:tc>
          <w:tcPr>
            <w:tcW w:w="2368" w:type="dxa"/>
          </w:tcPr>
          <w:p w14:paraId="799C9606"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95% CI (lower-upper)</w:t>
            </w:r>
          </w:p>
        </w:tc>
        <w:tc>
          <w:tcPr>
            <w:tcW w:w="945" w:type="dxa"/>
          </w:tcPr>
          <w:p w14:paraId="073455DA"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i/>
                <w:iCs/>
                <w:sz w:val="21"/>
                <w:szCs w:val="21"/>
                <w:lang w:val="en-US"/>
              </w:rPr>
              <w:t>p</w:t>
            </w:r>
            <w:r>
              <w:rPr>
                <w:sz w:val="21"/>
                <w:szCs w:val="21"/>
                <w:lang w:val="en-US"/>
              </w:rPr>
              <w:t>-value</w:t>
            </w:r>
          </w:p>
        </w:tc>
        <w:tc>
          <w:tcPr>
            <w:tcW w:w="1643" w:type="dxa"/>
          </w:tcPr>
          <w:p w14:paraId="7DCE2E6F"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i/>
                <w:iCs/>
                <w:sz w:val="21"/>
                <w:szCs w:val="21"/>
                <w:lang w:val="en-US"/>
              </w:rPr>
              <w:t>q</w:t>
            </w:r>
            <w:r w:rsidRPr="00E97064">
              <w:rPr>
                <w:sz w:val="21"/>
                <w:szCs w:val="21"/>
                <w:lang w:val="en-US"/>
              </w:rPr>
              <w:t>-value (FDR)</w:t>
            </w:r>
          </w:p>
        </w:tc>
      </w:tr>
      <w:tr w:rsidR="00363B4C" w:rsidRPr="00E97064" w14:paraId="1C27C557"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2BD76412" w14:textId="77777777" w:rsidR="00363B4C" w:rsidRPr="00E97064" w:rsidRDefault="00363B4C" w:rsidP="00A4410B">
            <w:pPr>
              <w:keepNext/>
              <w:rPr>
                <w:sz w:val="21"/>
                <w:szCs w:val="21"/>
                <w:lang w:val="en-US"/>
              </w:rPr>
            </w:pPr>
            <w:proofErr w:type="spellStart"/>
            <w:r w:rsidRPr="00E97064">
              <w:rPr>
                <w:sz w:val="21"/>
                <w:szCs w:val="21"/>
                <w:lang w:val="en-US"/>
              </w:rPr>
              <w:t>rAP</w:t>
            </w:r>
            <w:proofErr w:type="spellEnd"/>
            <w:r w:rsidRPr="00E97064">
              <w:rPr>
                <w:sz w:val="21"/>
                <w:szCs w:val="21"/>
                <w:lang w:val="en-US"/>
              </w:rPr>
              <w:t xml:space="preserve"> SP</w:t>
            </w:r>
          </w:p>
        </w:tc>
        <w:tc>
          <w:tcPr>
            <w:tcW w:w="827" w:type="dxa"/>
          </w:tcPr>
          <w:p w14:paraId="0126CB54"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10</w:t>
            </w:r>
          </w:p>
        </w:tc>
        <w:tc>
          <w:tcPr>
            <w:tcW w:w="850" w:type="dxa"/>
          </w:tcPr>
          <w:p w14:paraId="4852FF40"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20</w:t>
            </w:r>
          </w:p>
        </w:tc>
        <w:tc>
          <w:tcPr>
            <w:tcW w:w="1134" w:type="dxa"/>
          </w:tcPr>
          <w:p w14:paraId="33171AC3"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2</w:t>
            </w:r>
            <w:r w:rsidRPr="00E97064">
              <w:rPr>
                <w:sz w:val="21"/>
                <w:szCs w:val="21"/>
                <w:lang w:val="en-US"/>
              </w:rPr>
              <w:t>.</w:t>
            </w:r>
            <w:r>
              <w:rPr>
                <w:sz w:val="21"/>
                <w:szCs w:val="21"/>
                <w:lang w:val="en-US"/>
              </w:rPr>
              <w:t>000</w:t>
            </w:r>
          </w:p>
        </w:tc>
        <w:tc>
          <w:tcPr>
            <w:tcW w:w="2368" w:type="dxa"/>
          </w:tcPr>
          <w:p w14:paraId="186A67FC"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936</w:t>
            </w:r>
            <w:r w:rsidRPr="00E97064">
              <w:rPr>
                <w:sz w:val="21"/>
                <w:szCs w:val="21"/>
                <w:lang w:val="en-US"/>
              </w:rPr>
              <w:t xml:space="preserve"> - </w:t>
            </w:r>
            <w:r>
              <w:rPr>
                <w:sz w:val="21"/>
                <w:szCs w:val="21"/>
                <w:lang w:val="en-US"/>
              </w:rPr>
              <w:t>4</w:t>
            </w:r>
            <w:r w:rsidRPr="00E97064">
              <w:rPr>
                <w:sz w:val="21"/>
                <w:szCs w:val="21"/>
                <w:lang w:val="en-US"/>
              </w:rPr>
              <w:t>.</w:t>
            </w:r>
            <w:r>
              <w:rPr>
                <w:sz w:val="21"/>
                <w:szCs w:val="21"/>
                <w:lang w:val="en-US"/>
              </w:rPr>
              <w:t>273</w:t>
            </w:r>
          </w:p>
        </w:tc>
        <w:tc>
          <w:tcPr>
            <w:tcW w:w="945" w:type="dxa"/>
          </w:tcPr>
          <w:p w14:paraId="4523EA6A"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0.07</w:t>
            </w:r>
            <w:r>
              <w:rPr>
                <w:sz w:val="21"/>
                <w:szCs w:val="21"/>
                <w:lang w:val="en-US"/>
              </w:rPr>
              <w:t>3</w:t>
            </w:r>
            <w:r w:rsidRPr="00E97064">
              <w:rPr>
                <w:sz w:val="21"/>
                <w:szCs w:val="21"/>
                <w:lang w:val="en-US"/>
              </w:rPr>
              <w:t>5</w:t>
            </w:r>
          </w:p>
        </w:tc>
        <w:tc>
          <w:tcPr>
            <w:tcW w:w="1643" w:type="dxa"/>
          </w:tcPr>
          <w:p w14:paraId="0DE4C35F"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0.1</w:t>
            </w:r>
            <w:r>
              <w:rPr>
                <w:sz w:val="21"/>
                <w:szCs w:val="21"/>
                <w:lang w:val="en-US"/>
              </w:rPr>
              <w:t>47</w:t>
            </w:r>
          </w:p>
        </w:tc>
      </w:tr>
      <w:tr w:rsidR="00363B4C" w:rsidRPr="00E97064" w14:paraId="6BEDA1FC" w14:textId="77777777" w:rsidTr="00A4410B">
        <w:tc>
          <w:tcPr>
            <w:cnfStyle w:val="001000000000" w:firstRow="0" w:lastRow="0" w:firstColumn="1" w:lastColumn="0" w:oddVBand="0" w:evenVBand="0" w:oddHBand="0" w:evenHBand="0" w:firstRowFirstColumn="0" w:firstRowLastColumn="0" w:lastRowFirstColumn="0" w:lastRowLastColumn="0"/>
            <w:tcW w:w="1295" w:type="dxa"/>
          </w:tcPr>
          <w:p w14:paraId="3CCA6C6D" w14:textId="77777777" w:rsidR="00363B4C" w:rsidRPr="00E97064" w:rsidRDefault="00363B4C" w:rsidP="00A4410B">
            <w:pPr>
              <w:keepNext/>
              <w:rPr>
                <w:sz w:val="21"/>
                <w:szCs w:val="21"/>
                <w:lang w:val="en-US"/>
              </w:rPr>
            </w:pPr>
            <w:proofErr w:type="spellStart"/>
            <w:r w:rsidRPr="00E97064">
              <w:rPr>
                <w:sz w:val="21"/>
                <w:szCs w:val="21"/>
                <w:lang w:val="en-US"/>
              </w:rPr>
              <w:t>sAP</w:t>
            </w:r>
            <w:proofErr w:type="spellEnd"/>
            <w:r w:rsidRPr="00E97064">
              <w:rPr>
                <w:sz w:val="21"/>
                <w:szCs w:val="21"/>
                <w:lang w:val="en-US"/>
              </w:rPr>
              <w:t xml:space="preserve"> SP</w:t>
            </w:r>
          </w:p>
        </w:tc>
        <w:tc>
          <w:tcPr>
            <w:tcW w:w="827" w:type="dxa"/>
          </w:tcPr>
          <w:p w14:paraId="3CAE78E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15</w:t>
            </w:r>
            <w:r>
              <w:rPr>
                <w:sz w:val="21"/>
                <w:szCs w:val="21"/>
                <w:lang w:val="en-US"/>
              </w:rPr>
              <w:t>2</w:t>
            </w:r>
          </w:p>
        </w:tc>
        <w:tc>
          <w:tcPr>
            <w:tcW w:w="850" w:type="dxa"/>
          </w:tcPr>
          <w:p w14:paraId="0C61E216"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2</w:t>
            </w:r>
            <w:r>
              <w:rPr>
                <w:sz w:val="21"/>
                <w:szCs w:val="21"/>
                <w:lang w:val="en-US"/>
              </w:rPr>
              <w:t>45</w:t>
            </w:r>
          </w:p>
        </w:tc>
        <w:tc>
          <w:tcPr>
            <w:tcW w:w="1134" w:type="dxa"/>
          </w:tcPr>
          <w:p w14:paraId="222B0C22"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612</w:t>
            </w:r>
          </w:p>
        </w:tc>
        <w:tc>
          <w:tcPr>
            <w:tcW w:w="2368" w:type="dxa"/>
          </w:tcPr>
          <w:p w14:paraId="687D3949"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317</w:t>
            </w:r>
            <w:r w:rsidRPr="00E97064">
              <w:rPr>
                <w:sz w:val="21"/>
                <w:szCs w:val="21"/>
                <w:lang w:val="en-US"/>
              </w:rPr>
              <w:t xml:space="preserve"> - 1. 9</w:t>
            </w:r>
            <w:r>
              <w:rPr>
                <w:sz w:val="21"/>
                <w:szCs w:val="21"/>
                <w:lang w:val="en-US"/>
              </w:rPr>
              <w:t>73</w:t>
            </w:r>
          </w:p>
        </w:tc>
        <w:tc>
          <w:tcPr>
            <w:tcW w:w="945" w:type="dxa"/>
          </w:tcPr>
          <w:p w14:paraId="270B838E"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&lt;0.001</w:t>
            </w:r>
          </w:p>
        </w:tc>
        <w:tc>
          <w:tcPr>
            <w:tcW w:w="1643" w:type="dxa"/>
          </w:tcPr>
          <w:p w14:paraId="7FC2B6D9"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&lt;0.001</w:t>
            </w:r>
          </w:p>
        </w:tc>
      </w:tr>
      <w:tr w:rsidR="00363B4C" w:rsidRPr="00E97064" w14:paraId="0641A0DE"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166C23D4" w14:textId="77777777" w:rsidR="00363B4C" w:rsidRPr="00E97064" w:rsidRDefault="00363B4C" w:rsidP="00A4410B">
            <w:pPr>
              <w:keepNext/>
              <w:rPr>
                <w:sz w:val="21"/>
                <w:szCs w:val="21"/>
                <w:lang w:val="en-US"/>
              </w:rPr>
            </w:pPr>
            <w:proofErr w:type="spellStart"/>
            <w:r w:rsidRPr="00E97064">
              <w:rPr>
                <w:sz w:val="21"/>
                <w:szCs w:val="21"/>
                <w:lang w:val="en-US"/>
              </w:rPr>
              <w:t>rAP</w:t>
            </w:r>
            <w:proofErr w:type="spellEnd"/>
            <w:r w:rsidRPr="00E97064">
              <w:rPr>
                <w:sz w:val="21"/>
                <w:szCs w:val="21"/>
                <w:lang w:val="en-US"/>
              </w:rPr>
              <w:t xml:space="preserve"> RP</w:t>
            </w:r>
          </w:p>
        </w:tc>
        <w:tc>
          <w:tcPr>
            <w:tcW w:w="827" w:type="dxa"/>
          </w:tcPr>
          <w:p w14:paraId="4DA7496B"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9</w:t>
            </w:r>
          </w:p>
        </w:tc>
        <w:tc>
          <w:tcPr>
            <w:tcW w:w="850" w:type="dxa"/>
          </w:tcPr>
          <w:p w14:paraId="25B859B3"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1</w:t>
            </w:r>
          </w:p>
        </w:tc>
        <w:tc>
          <w:tcPr>
            <w:tcW w:w="1134" w:type="dxa"/>
          </w:tcPr>
          <w:p w14:paraId="2C55FAF9"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222</w:t>
            </w:r>
          </w:p>
        </w:tc>
        <w:tc>
          <w:tcPr>
            <w:tcW w:w="2368" w:type="dxa"/>
          </w:tcPr>
          <w:p w14:paraId="7989FF37"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506</w:t>
            </w:r>
            <w:r w:rsidRPr="00E97064">
              <w:rPr>
                <w:sz w:val="21"/>
                <w:szCs w:val="21"/>
                <w:lang w:val="en-US"/>
              </w:rPr>
              <w:t xml:space="preserve"> - 2.</w:t>
            </w:r>
            <w:r>
              <w:rPr>
                <w:sz w:val="21"/>
                <w:szCs w:val="21"/>
                <w:lang w:val="en-US"/>
              </w:rPr>
              <w:t>9</w:t>
            </w:r>
            <w:r w:rsidRPr="00E97064">
              <w:rPr>
                <w:sz w:val="21"/>
                <w:szCs w:val="21"/>
                <w:lang w:val="en-US"/>
              </w:rPr>
              <w:t>4</w:t>
            </w:r>
            <w:r>
              <w:rPr>
                <w:sz w:val="21"/>
                <w:szCs w:val="21"/>
                <w:lang w:val="en-US"/>
              </w:rPr>
              <w:t>9</w:t>
            </w:r>
          </w:p>
        </w:tc>
        <w:tc>
          <w:tcPr>
            <w:tcW w:w="945" w:type="dxa"/>
          </w:tcPr>
          <w:p w14:paraId="3E10DC3D"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655</w:t>
            </w:r>
          </w:p>
        </w:tc>
        <w:tc>
          <w:tcPr>
            <w:tcW w:w="1643" w:type="dxa"/>
          </w:tcPr>
          <w:p w14:paraId="27DDE25C"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655</w:t>
            </w:r>
          </w:p>
        </w:tc>
      </w:tr>
      <w:tr w:rsidR="00363B4C" w:rsidRPr="00E97064" w14:paraId="1B1C8814" w14:textId="77777777" w:rsidTr="00A4410B">
        <w:tc>
          <w:tcPr>
            <w:cnfStyle w:val="001000000000" w:firstRow="0" w:lastRow="0" w:firstColumn="1" w:lastColumn="0" w:oddVBand="0" w:evenVBand="0" w:oddHBand="0" w:evenHBand="0" w:firstRowFirstColumn="0" w:firstRowLastColumn="0" w:lastRowFirstColumn="0" w:lastRowLastColumn="0"/>
            <w:tcW w:w="1295" w:type="dxa"/>
          </w:tcPr>
          <w:p w14:paraId="1EC51607" w14:textId="77777777" w:rsidR="00363B4C" w:rsidRPr="00E97064" w:rsidRDefault="00363B4C" w:rsidP="00A4410B">
            <w:pPr>
              <w:keepNext/>
              <w:rPr>
                <w:sz w:val="21"/>
                <w:szCs w:val="21"/>
                <w:lang w:val="en-US"/>
              </w:rPr>
            </w:pPr>
            <w:proofErr w:type="spellStart"/>
            <w:r w:rsidRPr="00E97064">
              <w:rPr>
                <w:sz w:val="21"/>
                <w:szCs w:val="21"/>
                <w:lang w:val="en-US"/>
              </w:rPr>
              <w:t>sAP</w:t>
            </w:r>
            <w:proofErr w:type="spellEnd"/>
            <w:r w:rsidRPr="00E97064">
              <w:rPr>
                <w:sz w:val="21"/>
                <w:szCs w:val="21"/>
                <w:lang w:val="en-US"/>
              </w:rPr>
              <w:t xml:space="preserve"> RP</w:t>
            </w:r>
          </w:p>
        </w:tc>
        <w:tc>
          <w:tcPr>
            <w:tcW w:w="827" w:type="dxa"/>
          </w:tcPr>
          <w:p w14:paraId="09EAD8EC"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Pr>
                <w:sz w:val="21"/>
                <w:szCs w:val="21"/>
                <w:lang w:val="en-US"/>
              </w:rPr>
              <w:t>15</w:t>
            </w:r>
          </w:p>
        </w:tc>
        <w:tc>
          <w:tcPr>
            <w:tcW w:w="850" w:type="dxa"/>
          </w:tcPr>
          <w:p w14:paraId="11908910"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23</w:t>
            </w:r>
          </w:p>
        </w:tc>
        <w:tc>
          <w:tcPr>
            <w:tcW w:w="1134" w:type="dxa"/>
          </w:tcPr>
          <w:p w14:paraId="70E6EE8C"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533</w:t>
            </w:r>
          </w:p>
        </w:tc>
        <w:tc>
          <w:tcPr>
            <w:tcW w:w="2368" w:type="dxa"/>
          </w:tcPr>
          <w:p w14:paraId="665A527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800</w:t>
            </w:r>
            <w:r w:rsidRPr="00E97064">
              <w:rPr>
                <w:sz w:val="21"/>
                <w:szCs w:val="21"/>
                <w:lang w:val="en-US"/>
              </w:rPr>
              <w:t xml:space="preserve"> - </w:t>
            </w:r>
            <w:r>
              <w:rPr>
                <w:sz w:val="21"/>
                <w:szCs w:val="21"/>
                <w:lang w:val="en-US"/>
              </w:rPr>
              <w:t>2</w:t>
            </w:r>
            <w:r w:rsidRPr="00E97064">
              <w:rPr>
                <w:sz w:val="21"/>
                <w:szCs w:val="21"/>
                <w:lang w:val="en-US"/>
              </w:rPr>
              <w:t>.</w:t>
            </w:r>
            <w:r>
              <w:rPr>
                <w:sz w:val="21"/>
                <w:szCs w:val="21"/>
                <w:lang w:val="en-US"/>
              </w:rPr>
              <w:t>939</w:t>
            </w:r>
          </w:p>
        </w:tc>
        <w:tc>
          <w:tcPr>
            <w:tcW w:w="945" w:type="dxa"/>
          </w:tcPr>
          <w:p w14:paraId="321B7953"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Pr>
                <w:sz w:val="21"/>
                <w:szCs w:val="21"/>
                <w:lang w:val="en-US"/>
              </w:rPr>
              <w:t>0</w:t>
            </w:r>
            <w:r w:rsidRPr="00E97064">
              <w:rPr>
                <w:sz w:val="21"/>
                <w:szCs w:val="21"/>
                <w:lang w:val="en-US"/>
              </w:rPr>
              <w:t>.</w:t>
            </w:r>
            <w:r>
              <w:rPr>
                <w:sz w:val="21"/>
                <w:szCs w:val="21"/>
                <w:lang w:val="en-US"/>
              </w:rPr>
              <w:t>198</w:t>
            </w:r>
          </w:p>
        </w:tc>
        <w:tc>
          <w:tcPr>
            <w:tcW w:w="1643" w:type="dxa"/>
          </w:tcPr>
          <w:p w14:paraId="630A3EEA"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Pr>
                <w:sz w:val="21"/>
                <w:szCs w:val="21"/>
                <w:lang w:val="en-US"/>
              </w:rPr>
              <w:t>0</w:t>
            </w:r>
            <w:r w:rsidRPr="00E97064">
              <w:rPr>
                <w:sz w:val="21"/>
                <w:szCs w:val="21"/>
                <w:lang w:val="en-US"/>
              </w:rPr>
              <w:t>.</w:t>
            </w:r>
            <w:r>
              <w:rPr>
                <w:sz w:val="21"/>
                <w:szCs w:val="21"/>
                <w:lang w:val="en-US"/>
              </w:rPr>
              <w:t>264</w:t>
            </w:r>
          </w:p>
        </w:tc>
      </w:tr>
    </w:tbl>
    <w:p w14:paraId="309D1E6A" w14:textId="77777777" w:rsidR="00363B4C" w:rsidRPr="00E97064" w:rsidRDefault="00363B4C" w:rsidP="00363B4C">
      <w:pPr>
        <w:keepNext/>
        <w:spacing w:after="0"/>
        <w:rPr>
          <w:sz w:val="18"/>
          <w:szCs w:val="18"/>
          <w:lang w:val="en-US"/>
        </w:rPr>
      </w:pPr>
    </w:p>
    <w:p w14:paraId="16A4965C" w14:textId="77777777" w:rsidR="00363B4C" w:rsidRPr="00E97064" w:rsidRDefault="00363B4C" w:rsidP="00363B4C">
      <w:pPr>
        <w:spacing w:after="0"/>
        <w:ind w:left="360"/>
        <w:jc w:val="both"/>
        <w:rPr>
          <w:sz w:val="21"/>
          <w:szCs w:val="21"/>
          <w:lang w:val="en-US"/>
        </w:rPr>
      </w:pPr>
      <w:r w:rsidRPr="00E97064">
        <w:rPr>
          <w:b/>
          <w:bCs/>
          <w:sz w:val="21"/>
          <w:szCs w:val="21"/>
          <w:lang w:val="en-US"/>
        </w:rPr>
        <w:t xml:space="preserve">B) DPD28 </w:t>
      </w:r>
      <w:r w:rsidRPr="00E97064">
        <w:rPr>
          <w:sz w:val="21"/>
          <w:szCs w:val="21"/>
          <w:lang w:val="en-US"/>
        </w:rPr>
        <w:t>(N: 3 coverslips, 60 steps / M: 3 coverslips, 60 steps)</w:t>
      </w:r>
    </w:p>
    <w:tbl>
      <w:tblPr>
        <w:tblStyle w:val="PlainTable1"/>
        <w:tblW w:w="9062" w:type="dxa"/>
        <w:tblLook w:val="04A0" w:firstRow="1" w:lastRow="0" w:firstColumn="1" w:lastColumn="0" w:noHBand="0" w:noVBand="1"/>
      </w:tblPr>
      <w:tblGrid>
        <w:gridCol w:w="1295"/>
        <w:gridCol w:w="827"/>
        <w:gridCol w:w="850"/>
        <w:gridCol w:w="1134"/>
        <w:gridCol w:w="2368"/>
        <w:gridCol w:w="945"/>
        <w:gridCol w:w="1643"/>
      </w:tblGrid>
      <w:tr w:rsidR="00363B4C" w:rsidRPr="00E97064" w14:paraId="127436B1" w14:textId="77777777" w:rsidTr="00A44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432916B2" w14:textId="77777777" w:rsidR="00363B4C" w:rsidRPr="00E97064" w:rsidRDefault="00363B4C" w:rsidP="00A4410B">
            <w:pPr>
              <w:keepNext/>
              <w:rPr>
                <w:sz w:val="21"/>
                <w:szCs w:val="21"/>
                <w:lang w:val="en-US"/>
              </w:rPr>
            </w:pPr>
            <w:r w:rsidRPr="00E97064">
              <w:rPr>
                <w:sz w:val="21"/>
                <w:szCs w:val="21"/>
                <w:lang w:val="en-US"/>
              </w:rPr>
              <w:t>Category</w:t>
            </w:r>
          </w:p>
        </w:tc>
        <w:tc>
          <w:tcPr>
            <w:tcW w:w="827" w:type="dxa"/>
          </w:tcPr>
          <w:p w14:paraId="1A588B40"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y</w:t>
            </w:r>
            <w:r w:rsidRPr="00E97064">
              <w:rPr>
                <w:rFonts w:ascii="Segoe UI Symbol" w:hAnsi="Segoe UI Symbol" w:cs="Segoe UI Symbol"/>
                <w:sz w:val="21"/>
                <w:szCs w:val="21"/>
                <w:lang w:val="en-US"/>
              </w:rPr>
              <w:t>ₙ</w:t>
            </w:r>
            <w:r w:rsidRPr="00E97064">
              <w:rPr>
                <w:sz w:val="21"/>
                <w:szCs w:val="21"/>
                <w:lang w:val="en-US"/>
              </w:rPr>
              <w:t xml:space="preserve"> (N)</w:t>
            </w:r>
          </w:p>
        </w:tc>
        <w:tc>
          <w:tcPr>
            <w:tcW w:w="850" w:type="dxa"/>
          </w:tcPr>
          <w:p w14:paraId="51E2CEE5"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y</w:t>
            </w:r>
            <w:r w:rsidRPr="00E97064">
              <w:rPr>
                <w:rFonts w:ascii="Segoe UI Symbol" w:hAnsi="Segoe UI Symbol" w:cs="Segoe UI Symbol"/>
                <w:sz w:val="21"/>
                <w:szCs w:val="21"/>
                <w:lang w:val="en-US"/>
              </w:rPr>
              <w:t>ₘ</w:t>
            </w:r>
            <w:r w:rsidRPr="00E97064">
              <w:rPr>
                <w:sz w:val="21"/>
                <w:szCs w:val="21"/>
                <w:lang w:val="en-US"/>
              </w:rPr>
              <w:t xml:space="preserve"> (M)</w:t>
            </w:r>
          </w:p>
        </w:tc>
        <w:tc>
          <w:tcPr>
            <w:tcW w:w="1134" w:type="dxa"/>
          </w:tcPr>
          <w:p w14:paraId="05280D53"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RR (M/N)</w:t>
            </w:r>
          </w:p>
        </w:tc>
        <w:tc>
          <w:tcPr>
            <w:tcW w:w="2368" w:type="dxa"/>
          </w:tcPr>
          <w:p w14:paraId="6C93CC5E"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95% CI (lower-upper)</w:t>
            </w:r>
          </w:p>
        </w:tc>
        <w:tc>
          <w:tcPr>
            <w:tcW w:w="945" w:type="dxa"/>
          </w:tcPr>
          <w:p w14:paraId="7D141A38"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i/>
                <w:iCs/>
                <w:sz w:val="21"/>
                <w:szCs w:val="21"/>
                <w:lang w:val="en-US"/>
              </w:rPr>
              <w:t>p</w:t>
            </w:r>
            <w:r>
              <w:rPr>
                <w:sz w:val="21"/>
                <w:szCs w:val="21"/>
                <w:lang w:val="en-US"/>
              </w:rPr>
              <w:t>-value</w:t>
            </w:r>
          </w:p>
        </w:tc>
        <w:tc>
          <w:tcPr>
            <w:tcW w:w="1643" w:type="dxa"/>
          </w:tcPr>
          <w:p w14:paraId="073EE217"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sz w:val="21"/>
                <w:szCs w:val="21"/>
                <w:lang w:val="en-US"/>
              </w:rPr>
            </w:pPr>
            <w:r w:rsidRPr="00E97064">
              <w:rPr>
                <w:i/>
                <w:iCs/>
                <w:sz w:val="21"/>
                <w:szCs w:val="21"/>
                <w:lang w:val="en-US"/>
              </w:rPr>
              <w:t>q</w:t>
            </w:r>
            <w:r w:rsidRPr="00E97064">
              <w:rPr>
                <w:sz w:val="21"/>
                <w:szCs w:val="21"/>
                <w:lang w:val="en-US"/>
              </w:rPr>
              <w:t>-value (FDR)</w:t>
            </w:r>
          </w:p>
        </w:tc>
      </w:tr>
      <w:tr w:rsidR="00363B4C" w:rsidRPr="00E97064" w14:paraId="7ECA1E0B"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0F62EFD5" w14:textId="77777777" w:rsidR="00363B4C" w:rsidRPr="00E97064" w:rsidRDefault="00363B4C" w:rsidP="00A4410B">
            <w:pPr>
              <w:keepNext/>
              <w:rPr>
                <w:sz w:val="21"/>
                <w:szCs w:val="21"/>
                <w:lang w:val="en-US"/>
              </w:rPr>
            </w:pPr>
            <w:proofErr w:type="spellStart"/>
            <w:r w:rsidRPr="00E97064">
              <w:rPr>
                <w:sz w:val="21"/>
                <w:szCs w:val="21"/>
                <w:lang w:val="en-US"/>
              </w:rPr>
              <w:t>rAP</w:t>
            </w:r>
            <w:proofErr w:type="spellEnd"/>
            <w:r w:rsidRPr="00E97064">
              <w:rPr>
                <w:sz w:val="21"/>
                <w:szCs w:val="21"/>
                <w:lang w:val="en-US"/>
              </w:rPr>
              <w:t xml:space="preserve"> SP</w:t>
            </w:r>
          </w:p>
        </w:tc>
        <w:tc>
          <w:tcPr>
            <w:tcW w:w="827" w:type="dxa"/>
          </w:tcPr>
          <w:p w14:paraId="61977573"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0</w:t>
            </w:r>
          </w:p>
        </w:tc>
        <w:tc>
          <w:tcPr>
            <w:tcW w:w="850" w:type="dxa"/>
          </w:tcPr>
          <w:p w14:paraId="0A81AA07"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9</w:t>
            </w:r>
          </w:p>
        </w:tc>
        <w:tc>
          <w:tcPr>
            <w:tcW w:w="1134" w:type="dxa"/>
          </w:tcPr>
          <w:p w14:paraId="2B647B94"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19</w:t>
            </w:r>
            <w:r w:rsidRPr="00E97064">
              <w:rPr>
                <w:sz w:val="21"/>
                <w:szCs w:val="21"/>
                <w:lang w:val="en-US"/>
              </w:rPr>
              <w:t>.</w:t>
            </w:r>
            <w:r>
              <w:rPr>
                <w:sz w:val="21"/>
                <w:szCs w:val="21"/>
                <w:lang w:val="en-US"/>
              </w:rPr>
              <w:t>0</w:t>
            </w:r>
            <w:r w:rsidRPr="00E97064">
              <w:rPr>
                <w:sz w:val="21"/>
                <w:szCs w:val="21"/>
                <w:lang w:val="en-US"/>
              </w:rPr>
              <w:t>00</w:t>
            </w:r>
          </w:p>
        </w:tc>
        <w:tc>
          <w:tcPr>
            <w:tcW w:w="2368" w:type="dxa"/>
          </w:tcPr>
          <w:p w14:paraId="48E5969C"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1.1</w:t>
            </w:r>
            <w:r>
              <w:rPr>
                <w:sz w:val="21"/>
                <w:szCs w:val="21"/>
                <w:lang w:val="en-US"/>
              </w:rPr>
              <w:t>06</w:t>
            </w:r>
            <w:r w:rsidRPr="00E97064">
              <w:rPr>
                <w:sz w:val="21"/>
                <w:szCs w:val="21"/>
                <w:lang w:val="en-US"/>
              </w:rPr>
              <w:t xml:space="preserve"> - </w:t>
            </w:r>
            <w:r>
              <w:rPr>
                <w:sz w:val="21"/>
                <w:szCs w:val="21"/>
                <w:lang w:val="en-US"/>
              </w:rPr>
              <w:t>326</w:t>
            </w:r>
            <w:r w:rsidRPr="00E97064">
              <w:rPr>
                <w:sz w:val="21"/>
                <w:szCs w:val="21"/>
                <w:lang w:val="en-US"/>
              </w:rPr>
              <w:t>.</w:t>
            </w:r>
            <w:r>
              <w:rPr>
                <w:sz w:val="21"/>
                <w:szCs w:val="21"/>
                <w:lang w:val="en-US"/>
              </w:rPr>
              <w:t>459</w:t>
            </w:r>
          </w:p>
        </w:tc>
        <w:tc>
          <w:tcPr>
            <w:tcW w:w="945" w:type="dxa"/>
          </w:tcPr>
          <w:p w14:paraId="2ACFC134"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0.0</w:t>
            </w:r>
            <w:r>
              <w:rPr>
                <w:sz w:val="21"/>
                <w:szCs w:val="21"/>
                <w:lang w:val="en-US"/>
              </w:rPr>
              <w:t>42</w:t>
            </w:r>
          </w:p>
        </w:tc>
        <w:tc>
          <w:tcPr>
            <w:tcW w:w="1643" w:type="dxa"/>
          </w:tcPr>
          <w:p w14:paraId="7F33BC42"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085</w:t>
            </w:r>
          </w:p>
        </w:tc>
      </w:tr>
      <w:tr w:rsidR="00363B4C" w:rsidRPr="00E97064" w14:paraId="577763A2" w14:textId="77777777" w:rsidTr="00A4410B">
        <w:tc>
          <w:tcPr>
            <w:cnfStyle w:val="001000000000" w:firstRow="0" w:lastRow="0" w:firstColumn="1" w:lastColumn="0" w:oddVBand="0" w:evenVBand="0" w:oddHBand="0" w:evenHBand="0" w:firstRowFirstColumn="0" w:firstRowLastColumn="0" w:lastRowFirstColumn="0" w:lastRowLastColumn="0"/>
            <w:tcW w:w="1295" w:type="dxa"/>
          </w:tcPr>
          <w:p w14:paraId="2AEF85C2" w14:textId="77777777" w:rsidR="00363B4C" w:rsidRPr="00E97064" w:rsidRDefault="00363B4C" w:rsidP="00A4410B">
            <w:pPr>
              <w:keepNext/>
              <w:rPr>
                <w:sz w:val="21"/>
                <w:szCs w:val="21"/>
                <w:lang w:val="en-US"/>
              </w:rPr>
            </w:pPr>
            <w:proofErr w:type="spellStart"/>
            <w:r w:rsidRPr="00E97064">
              <w:rPr>
                <w:sz w:val="21"/>
                <w:szCs w:val="21"/>
                <w:lang w:val="en-US"/>
              </w:rPr>
              <w:t>sAP</w:t>
            </w:r>
            <w:proofErr w:type="spellEnd"/>
            <w:r w:rsidRPr="00E97064">
              <w:rPr>
                <w:sz w:val="21"/>
                <w:szCs w:val="21"/>
                <w:lang w:val="en-US"/>
              </w:rPr>
              <w:t xml:space="preserve"> SP</w:t>
            </w:r>
          </w:p>
        </w:tc>
        <w:tc>
          <w:tcPr>
            <w:tcW w:w="827" w:type="dxa"/>
          </w:tcPr>
          <w:p w14:paraId="41EB1D65"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45</w:t>
            </w:r>
          </w:p>
        </w:tc>
        <w:tc>
          <w:tcPr>
            <w:tcW w:w="850" w:type="dxa"/>
          </w:tcPr>
          <w:p w14:paraId="73D39530"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52</w:t>
            </w:r>
          </w:p>
        </w:tc>
        <w:tc>
          <w:tcPr>
            <w:tcW w:w="1134" w:type="dxa"/>
          </w:tcPr>
          <w:p w14:paraId="170F490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Pr>
                <w:sz w:val="21"/>
                <w:szCs w:val="21"/>
                <w:lang w:val="en-US"/>
              </w:rPr>
              <w:t>1</w:t>
            </w:r>
            <w:r w:rsidRPr="00E97064">
              <w:rPr>
                <w:sz w:val="21"/>
                <w:szCs w:val="21"/>
                <w:lang w:val="en-US"/>
              </w:rPr>
              <w:t>.</w:t>
            </w:r>
            <w:r>
              <w:rPr>
                <w:sz w:val="21"/>
                <w:szCs w:val="21"/>
                <w:lang w:val="en-US"/>
              </w:rPr>
              <w:t>048</w:t>
            </w:r>
          </w:p>
        </w:tc>
        <w:tc>
          <w:tcPr>
            <w:tcW w:w="2368" w:type="dxa"/>
          </w:tcPr>
          <w:p w14:paraId="40723FE1"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835</w:t>
            </w:r>
            <w:r w:rsidRPr="00E97064">
              <w:rPr>
                <w:sz w:val="21"/>
                <w:szCs w:val="21"/>
                <w:lang w:val="en-US"/>
              </w:rPr>
              <w:t xml:space="preserve"> - 1.</w:t>
            </w:r>
            <w:r>
              <w:rPr>
                <w:sz w:val="21"/>
                <w:szCs w:val="21"/>
                <w:lang w:val="en-US"/>
              </w:rPr>
              <w:t>316</w:t>
            </w:r>
          </w:p>
        </w:tc>
        <w:tc>
          <w:tcPr>
            <w:tcW w:w="945" w:type="dxa"/>
          </w:tcPr>
          <w:p w14:paraId="7A097181"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685</w:t>
            </w:r>
          </w:p>
        </w:tc>
        <w:tc>
          <w:tcPr>
            <w:tcW w:w="1643" w:type="dxa"/>
          </w:tcPr>
          <w:p w14:paraId="575448B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685</w:t>
            </w:r>
          </w:p>
        </w:tc>
      </w:tr>
      <w:tr w:rsidR="00363B4C" w:rsidRPr="00E97064" w14:paraId="39303C16"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5" w:type="dxa"/>
          </w:tcPr>
          <w:p w14:paraId="1A362A0D" w14:textId="77777777" w:rsidR="00363B4C" w:rsidRPr="00E97064" w:rsidRDefault="00363B4C" w:rsidP="00A4410B">
            <w:pPr>
              <w:keepNext/>
              <w:rPr>
                <w:sz w:val="21"/>
                <w:szCs w:val="21"/>
                <w:lang w:val="en-US"/>
              </w:rPr>
            </w:pPr>
            <w:proofErr w:type="spellStart"/>
            <w:r w:rsidRPr="00E97064">
              <w:rPr>
                <w:sz w:val="21"/>
                <w:szCs w:val="21"/>
                <w:lang w:val="en-US"/>
              </w:rPr>
              <w:t>rAP</w:t>
            </w:r>
            <w:proofErr w:type="spellEnd"/>
            <w:r w:rsidRPr="00E97064">
              <w:rPr>
                <w:sz w:val="21"/>
                <w:szCs w:val="21"/>
                <w:lang w:val="en-US"/>
              </w:rPr>
              <w:t xml:space="preserve"> RP</w:t>
            </w:r>
          </w:p>
        </w:tc>
        <w:tc>
          <w:tcPr>
            <w:tcW w:w="827" w:type="dxa"/>
          </w:tcPr>
          <w:p w14:paraId="2AF7F34A"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6</w:t>
            </w:r>
          </w:p>
        </w:tc>
        <w:tc>
          <w:tcPr>
            <w:tcW w:w="850" w:type="dxa"/>
          </w:tcPr>
          <w:p w14:paraId="053D2B10"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9</w:t>
            </w:r>
          </w:p>
        </w:tc>
        <w:tc>
          <w:tcPr>
            <w:tcW w:w="1134" w:type="dxa"/>
          </w:tcPr>
          <w:p w14:paraId="16A9BBBD"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3</w:t>
            </w:r>
            <w:r w:rsidRPr="00E97064">
              <w:rPr>
                <w:sz w:val="21"/>
                <w:szCs w:val="21"/>
                <w:lang w:val="en-US"/>
              </w:rPr>
              <w:t>.</w:t>
            </w:r>
            <w:r>
              <w:rPr>
                <w:sz w:val="21"/>
                <w:szCs w:val="21"/>
                <w:lang w:val="en-US"/>
              </w:rPr>
              <w:t>167</w:t>
            </w:r>
          </w:p>
        </w:tc>
        <w:tc>
          <w:tcPr>
            <w:tcW w:w="2368" w:type="dxa"/>
          </w:tcPr>
          <w:p w14:paraId="0893FA9C"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Pr>
                <w:sz w:val="21"/>
                <w:szCs w:val="21"/>
                <w:lang w:val="en-US"/>
              </w:rPr>
              <w:t>1</w:t>
            </w:r>
            <w:r w:rsidRPr="00E97064">
              <w:rPr>
                <w:sz w:val="21"/>
                <w:szCs w:val="21"/>
                <w:lang w:val="en-US"/>
              </w:rPr>
              <w:t>.</w:t>
            </w:r>
            <w:r>
              <w:rPr>
                <w:sz w:val="21"/>
                <w:szCs w:val="21"/>
                <w:lang w:val="en-US"/>
              </w:rPr>
              <w:t>265</w:t>
            </w:r>
            <w:r w:rsidRPr="00E97064">
              <w:rPr>
                <w:sz w:val="21"/>
                <w:szCs w:val="21"/>
                <w:lang w:val="en-US"/>
              </w:rPr>
              <w:t xml:space="preserve"> - </w:t>
            </w:r>
            <w:r>
              <w:rPr>
                <w:sz w:val="21"/>
                <w:szCs w:val="21"/>
                <w:lang w:val="en-US"/>
              </w:rPr>
              <w:t>7</w:t>
            </w:r>
            <w:r w:rsidRPr="00E97064">
              <w:rPr>
                <w:sz w:val="21"/>
                <w:szCs w:val="21"/>
                <w:lang w:val="en-US"/>
              </w:rPr>
              <w:t>.9</w:t>
            </w:r>
            <w:r>
              <w:rPr>
                <w:sz w:val="21"/>
                <w:szCs w:val="21"/>
                <w:lang w:val="en-US"/>
              </w:rPr>
              <w:t>29</w:t>
            </w:r>
          </w:p>
        </w:tc>
        <w:tc>
          <w:tcPr>
            <w:tcW w:w="945" w:type="dxa"/>
          </w:tcPr>
          <w:p w14:paraId="3001E7F2"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014</w:t>
            </w:r>
          </w:p>
        </w:tc>
        <w:tc>
          <w:tcPr>
            <w:tcW w:w="1643" w:type="dxa"/>
          </w:tcPr>
          <w:p w14:paraId="542C0E5F"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055</w:t>
            </w:r>
          </w:p>
        </w:tc>
      </w:tr>
      <w:tr w:rsidR="00363B4C" w:rsidRPr="00E97064" w14:paraId="58411A92" w14:textId="77777777" w:rsidTr="00A4410B">
        <w:tc>
          <w:tcPr>
            <w:cnfStyle w:val="001000000000" w:firstRow="0" w:lastRow="0" w:firstColumn="1" w:lastColumn="0" w:oddVBand="0" w:evenVBand="0" w:oddHBand="0" w:evenHBand="0" w:firstRowFirstColumn="0" w:firstRowLastColumn="0" w:lastRowFirstColumn="0" w:lastRowLastColumn="0"/>
            <w:tcW w:w="1295" w:type="dxa"/>
          </w:tcPr>
          <w:p w14:paraId="0A7DEF36" w14:textId="77777777" w:rsidR="00363B4C" w:rsidRPr="00E97064" w:rsidRDefault="00363B4C" w:rsidP="00A4410B">
            <w:pPr>
              <w:keepNext/>
              <w:rPr>
                <w:sz w:val="21"/>
                <w:szCs w:val="21"/>
                <w:lang w:val="en-US"/>
              </w:rPr>
            </w:pPr>
            <w:proofErr w:type="spellStart"/>
            <w:r w:rsidRPr="00E97064">
              <w:rPr>
                <w:sz w:val="21"/>
                <w:szCs w:val="21"/>
                <w:lang w:val="en-US"/>
              </w:rPr>
              <w:t>sAP</w:t>
            </w:r>
            <w:proofErr w:type="spellEnd"/>
            <w:r w:rsidRPr="00E97064">
              <w:rPr>
                <w:sz w:val="21"/>
                <w:szCs w:val="21"/>
                <w:lang w:val="en-US"/>
              </w:rPr>
              <w:t xml:space="preserve"> RP</w:t>
            </w:r>
          </w:p>
        </w:tc>
        <w:tc>
          <w:tcPr>
            <w:tcW w:w="827" w:type="dxa"/>
          </w:tcPr>
          <w:p w14:paraId="1C4EAE94"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w:t>
            </w:r>
            <w:r>
              <w:rPr>
                <w:sz w:val="21"/>
                <w:szCs w:val="21"/>
                <w:lang w:val="en-US"/>
              </w:rPr>
              <w:t>5</w:t>
            </w:r>
          </w:p>
        </w:tc>
        <w:tc>
          <w:tcPr>
            <w:tcW w:w="850" w:type="dxa"/>
          </w:tcPr>
          <w:p w14:paraId="118C33F1"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10</w:t>
            </w:r>
          </w:p>
        </w:tc>
        <w:tc>
          <w:tcPr>
            <w:tcW w:w="1134" w:type="dxa"/>
          </w:tcPr>
          <w:p w14:paraId="4AB165AA"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0.6</w:t>
            </w:r>
            <w:r>
              <w:rPr>
                <w:sz w:val="21"/>
                <w:szCs w:val="21"/>
                <w:lang w:val="en-US"/>
              </w:rPr>
              <w:t>67</w:t>
            </w:r>
          </w:p>
        </w:tc>
        <w:tc>
          <w:tcPr>
            <w:tcW w:w="2368" w:type="dxa"/>
          </w:tcPr>
          <w:p w14:paraId="1295FEAE"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0.256 - 1.4</w:t>
            </w:r>
            <w:r>
              <w:rPr>
                <w:sz w:val="21"/>
                <w:szCs w:val="21"/>
                <w:lang w:val="en-US"/>
              </w:rPr>
              <w:t>84</w:t>
            </w:r>
          </w:p>
        </w:tc>
        <w:tc>
          <w:tcPr>
            <w:tcW w:w="945" w:type="dxa"/>
          </w:tcPr>
          <w:p w14:paraId="1F581D79"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321</w:t>
            </w:r>
          </w:p>
        </w:tc>
        <w:tc>
          <w:tcPr>
            <w:tcW w:w="1643" w:type="dxa"/>
          </w:tcPr>
          <w:p w14:paraId="126F70A5"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sz w:val="21"/>
                <w:szCs w:val="21"/>
                <w:lang w:val="en-US"/>
              </w:rPr>
            </w:pPr>
            <w:r w:rsidRPr="00E97064">
              <w:rPr>
                <w:sz w:val="21"/>
                <w:szCs w:val="21"/>
                <w:lang w:val="en-US"/>
              </w:rPr>
              <w:t>0.</w:t>
            </w:r>
            <w:r>
              <w:rPr>
                <w:sz w:val="21"/>
                <w:szCs w:val="21"/>
                <w:lang w:val="en-US"/>
              </w:rPr>
              <w:t>427</w:t>
            </w:r>
          </w:p>
        </w:tc>
      </w:tr>
    </w:tbl>
    <w:p w14:paraId="54A52875" w14:textId="77777777" w:rsidR="00363B4C" w:rsidRPr="00213390" w:rsidRDefault="00363B4C" w:rsidP="00363B4C">
      <w:pPr>
        <w:keepNext/>
        <w:spacing w:before="240"/>
        <w:rPr>
          <w:lang w:val="en-US"/>
        </w:rPr>
      </w:pPr>
    </w:p>
    <w:p w14:paraId="5F0DED0A" w14:textId="77777777" w:rsidR="00363B4C" w:rsidRDefault="00363B4C" w:rsidP="00363B4C">
      <w:pPr>
        <w:keepNext/>
        <w:spacing w:after="0"/>
        <w:jc w:val="both"/>
        <w:rPr>
          <w:i/>
          <w:iCs/>
          <w:color w:val="0E2841" w:themeColor="text2"/>
          <w:sz w:val="18"/>
          <w:szCs w:val="18"/>
          <w:lang w:val="en-US"/>
        </w:rPr>
      </w:pPr>
      <w:r w:rsidRPr="00F93E8B">
        <w:rPr>
          <w:i/>
          <w:iCs/>
          <w:color w:val="0E2841" w:themeColor="text2"/>
          <w:sz w:val="18"/>
          <w:szCs w:val="18"/>
          <w:lang w:val="en-US"/>
        </w:rPr>
        <w:t xml:space="preserve">Table S5. </w:t>
      </w:r>
      <w:r w:rsidRPr="000B3796">
        <w:rPr>
          <w:b/>
          <w:bCs/>
          <w:i/>
          <w:iCs/>
          <w:color w:val="0E2841" w:themeColor="text2"/>
          <w:sz w:val="18"/>
          <w:szCs w:val="18"/>
          <w:lang w:val="en-US"/>
        </w:rPr>
        <w:t>Comparison of spontaneous excitatory postsynaptic currents (</w:t>
      </w:r>
      <w:proofErr w:type="spellStart"/>
      <w:r w:rsidRPr="000B3796">
        <w:rPr>
          <w:b/>
          <w:bCs/>
          <w:i/>
          <w:iCs/>
          <w:color w:val="0E2841" w:themeColor="text2"/>
          <w:sz w:val="18"/>
          <w:szCs w:val="18"/>
          <w:lang w:val="en-US"/>
        </w:rPr>
        <w:t>sEPSCs</w:t>
      </w:r>
      <w:proofErr w:type="spellEnd"/>
      <w:r w:rsidRPr="000B3796">
        <w:rPr>
          <w:b/>
          <w:bCs/>
          <w:i/>
          <w:iCs/>
          <w:color w:val="0E2841" w:themeColor="text2"/>
          <w:sz w:val="18"/>
          <w:szCs w:val="18"/>
          <w:lang w:val="en-US"/>
        </w:rPr>
        <w:t xml:space="preserve">) in </w:t>
      </w:r>
      <w:proofErr w:type="spellStart"/>
      <w:r w:rsidRPr="000B3796">
        <w:rPr>
          <w:b/>
          <w:bCs/>
          <w:i/>
          <w:iCs/>
          <w:color w:val="0E2841" w:themeColor="text2"/>
          <w:sz w:val="18"/>
          <w:szCs w:val="18"/>
          <w:lang w:val="en-US"/>
        </w:rPr>
        <w:t>i</w:t>
      </w:r>
      <w:r>
        <w:rPr>
          <w:b/>
          <w:bCs/>
          <w:i/>
          <w:iCs/>
          <w:color w:val="0E2841" w:themeColor="text2"/>
          <w:sz w:val="18"/>
          <w:szCs w:val="18"/>
          <w:lang w:val="en-US"/>
        </w:rPr>
        <w:t>MN</w:t>
      </w:r>
      <w:r w:rsidRPr="000B3796">
        <w:rPr>
          <w:b/>
          <w:bCs/>
          <w:i/>
          <w:iCs/>
          <w:color w:val="0E2841" w:themeColor="text2"/>
          <w:sz w:val="18"/>
          <w:szCs w:val="18"/>
          <w:lang w:val="en-US"/>
        </w:rPr>
        <w:t>s</w:t>
      </w:r>
      <w:proofErr w:type="spellEnd"/>
      <w:r w:rsidRPr="000B3796">
        <w:rPr>
          <w:b/>
          <w:bCs/>
          <w:i/>
          <w:iCs/>
          <w:color w:val="0E2841" w:themeColor="text2"/>
          <w:sz w:val="18"/>
          <w:szCs w:val="18"/>
          <w:lang w:val="en-US"/>
        </w:rPr>
        <w:t xml:space="preserve"> under conventional (N) and neuromodulator-enhanced (M) conditions. </w:t>
      </w:r>
      <w:r w:rsidRPr="00FF7FA5">
        <w:rPr>
          <w:i/>
          <w:iCs/>
          <w:color w:val="0E2841" w:themeColor="text2"/>
          <w:sz w:val="18"/>
          <w:szCs w:val="18"/>
          <w:lang w:val="en-US"/>
        </w:rPr>
        <w:t xml:space="preserve">Paired whole-cell voltage-clamp recordings were analyzed between sister cultures recorded on the same experimental dates under conventional (N) and neuromodulator-treated (M) conditions. Mean values represent per-cell averages. The incidence of spontaneous activity was modeled using a binomial generalized linear model (GLM) with a logit link to estimate the probability of observing at least one </w:t>
      </w:r>
      <w:proofErr w:type="spellStart"/>
      <w:r w:rsidRPr="00FF7FA5">
        <w:rPr>
          <w:i/>
          <w:iCs/>
          <w:color w:val="0E2841" w:themeColor="text2"/>
          <w:sz w:val="18"/>
          <w:szCs w:val="18"/>
          <w:lang w:val="en-US"/>
        </w:rPr>
        <w:t>sEPSC</w:t>
      </w:r>
      <w:proofErr w:type="spellEnd"/>
      <w:r w:rsidRPr="00FF7FA5">
        <w:rPr>
          <w:i/>
          <w:iCs/>
          <w:color w:val="0E2841" w:themeColor="text2"/>
          <w:sz w:val="18"/>
          <w:szCs w:val="18"/>
          <w:lang w:val="en-US"/>
        </w:rPr>
        <w:t xml:space="preserve"> per recording run. Condition effects were expressed as odds ratios (OR) with 95% confidence intervals (CI). Statistical significance was assessed using two-sided Wald tests, and p-values were adjusted for multiple comparisons using the Benjamini–Hochberg false discovery rate (FDR) method (q-values). Event frequency was modeled using a Poisson GLM with log link and offset for total runs, with condition effects expressed as rate ratios (RR) with 95% CI.</w:t>
      </w:r>
      <w:r>
        <w:rPr>
          <w:i/>
          <w:iCs/>
          <w:color w:val="0E2841" w:themeColor="text2"/>
          <w:sz w:val="18"/>
          <w:szCs w:val="18"/>
          <w:lang w:val="en-US"/>
        </w:rPr>
        <w:t xml:space="preserve"> </w:t>
      </w:r>
      <w:r w:rsidRPr="00903113">
        <w:rPr>
          <w:i/>
          <w:iCs/>
          <w:color w:val="0E2841" w:themeColor="text2"/>
          <w:sz w:val="18"/>
          <w:szCs w:val="18"/>
          <w:lang w:val="en-US"/>
        </w:rPr>
        <w:t xml:space="preserve">The number of </w:t>
      </w:r>
      <w:r w:rsidRPr="00903113">
        <w:rPr>
          <w:i/>
          <w:iCs/>
          <w:color w:val="0E2841" w:themeColor="text2"/>
          <w:sz w:val="18"/>
          <w:szCs w:val="18"/>
          <w:lang w:val="en-US"/>
        </w:rPr>
        <w:lastRenderedPageBreak/>
        <w:t xml:space="preserve">recordings (n) and corresponding total runs were as follows: DPD21 N: 23 cells (307 runs), DPD21 M: </w:t>
      </w:r>
      <w:r>
        <w:rPr>
          <w:i/>
          <w:iCs/>
          <w:color w:val="0E2841" w:themeColor="text2"/>
          <w:sz w:val="18"/>
          <w:szCs w:val="18"/>
          <w:lang w:val="en-US"/>
        </w:rPr>
        <w:t>29</w:t>
      </w:r>
      <w:r w:rsidRPr="00903113">
        <w:rPr>
          <w:i/>
          <w:iCs/>
          <w:color w:val="0E2841" w:themeColor="text2"/>
          <w:sz w:val="18"/>
          <w:szCs w:val="18"/>
          <w:lang w:val="en-US"/>
        </w:rPr>
        <w:t xml:space="preserve"> cells (431 runs); DPD28 N: 10 cells (142 runs), DPD28 M: 15 cells (174 runs).</w:t>
      </w:r>
    </w:p>
    <w:p w14:paraId="344B7EFC" w14:textId="77777777" w:rsidR="00363B4C" w:rsidRPr="00E97064" w:rsidRDefault="00363B4C" w:rsidP="00363B4C">
      <w:pPr>
        <w:pStyle w:val="ListParagraph"/>
        <w:keepNext/>
        <w:numPr>
          <w:ilvl w:val="0"/>
          <w:numId w:val="1"/>
        </w:numPr>
        <w:spacing w:after="0"/>
        <w:jc w:val="both"/>
        <w:rPr>
          <w:b/>
          <w:bCs/>
          <w:iCs/>
          <w:color w:val="000000" w:themeColor="text1"/>
          <w:sz w:val="21"/>
          <w:szCs w:val="21"/>
          <w:lang w:val="en-US"/>
        </w:rPr>
      </w:pPr>
      <w:r w:rsidRPr="00E97064">
        <w:rPr>
          <w:b/>
          <w:bCs/>
          <w:iCs/>
          <w:color w:val="000000" w:themeColor="text1"/>
          <w:sz w:val="21"/>
          <w:szCs w:val="21"/>
          <w:lang w:val="en-US"/>
        </w:rPr>
        <w:t>DPD21</w:t>
      </w:r>
    </w:p>
    <w:tbl>
      <w:tblPr>
        <w:tblStyle w:val="PlainTable1"/>
        <w:tblW w:w="0" w:type="auto"/>
        <w:tblLook w:val="04A0" w:firstRow="1" w:lastRow="0" w:firstColumn="1" w:lastColumn="0" w:noHBand="0" w:noVBand="1"/>
      </w:tblPr>
      <w:tblGrid>
        <w:gridCol w:w="1555"/>
        <w:gridCol w:w="1842"/>
        <w:gridCol w:w="2266"/>
        <w:gridCol w:w="1699"/>
        <w:gridCol w:w="1700"/>
      </w:tblGrid>
      <w:tr w:rsidR="00363B4C" w:rsidRPr="00E97064" w14:paraId="4399DFDB" w14:textId="77777777" w:rsidTr="00A44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F536808" w14:textId="77777777" w:rsidR="00363B4C" w:rsidRPr="00E97064" w:rsidRDefault="00363B4C" w:rsidP="00A4410B">
            <w:pPr>
              <w:keepNext/>
              <w:jc w:val="both"/>
              <w:rPr>
                <w:iCs/>
                <w:sz w:val="21"/>
                <w:szCs w:val="21"/>
                <w:lang w:val="en-US"/>
              </w:rPr>
            </w:pPr>
            <w:r w:rsidRPr="00E97064">
              <w:rPr>
                <w:iCs/>
                <w:sz w:val="21"/>
                <w:szCs w:val="21"/>
                <w:lang w:val="en-US"/>
              </w:rPr>
              <w:t>Metric</w:t>
            </w:r>
          </w:p>
        </w:tc>
        <w:tc>
          <w:tcPr>
            <w:tcW w:w="1842" w:type="dxa"/>
          </w:tcPr>
          <w:p w14:paraId="4DCAD69E"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Cs/>
                <w:sz w:val="21"/>
                <w:szCs w:val="21"/>
                <w:lang w:val="en-US"/>
              </w:rPr>
              <w:t>Ratio (M/N)</w:t>
            </w:r>
          </w:p>
        </w:tc>
        <w:tc>
          <w:tcPr>
            <w:tcW w:w="2266" w:type="dxa"/>
          </w:tcPr>
          <w:p w14:paraId="799851D2"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Cs/>
                <w:sz w:val="21"/>
                <w:szCs w:val="21"/>
                <w:lang w:val="en-US"/>
              </w:rPr>
              <w:t>95% CI (lower-upper)</w:t>
            </w:r>
          </w:p>
        </w:tc>
        <w:tc>
          <w:tcPr>
            <w:tcW w:w="1699" w:type="dxa"/>
          </w:tcPr>
          <w:p w14:paraId="6387F11A"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
                <w:sz w:val="21"/>
                <w:szCs w:val="21"/>
                <w:lang w:val="en-US"/>
              </w:rPr>
              <w:t>p</w:t>
            </w:r>
            <w:r>
              <w:rPr>
                <w:iCs/>
                <w:sz w:val="21"/>
                <w:szCs w:val="21"/>
                <w:lang w:val="en-US"/>
              </w:rPr>
              <w:t>-value</w:t>
            </w:r>
          </w:p>
        </w:tc>
        <w:tc>
          <w:tcPr>
            <w:tcW w:w="1700" w:type="dxa"/>
          </w:tcPr>
          <w:p w14:paraId="71397066"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
                <w:sz w:val="21"/>
                <w:szCs w:val="21"/>
                <w:lang w:val="en-US"/>
              </w:rPr>
              <w:t>q</w:t>
            </w:r>
            <w:r>
              <w:rPr>
                <w:iCs/>
                <w:sz w:val="21"/>
                <w:szCs w:val="21"/>
                <w:lang w:val="en-US"/>
              </w:rPr>
              <w:t>-value</w:t>
            </w:r>
            <w:r w:rsidRPr="00E97064">
              <w:rPr>
                <w:iCs/>
                <w:sz w:val="21"/>
                <w:szCs w:val="21"/>
                <w:lang w:val="en-US"/>
              </w:rPr>
              <w:t xml:space="preserve"> (FDR)</w:t>
            </w:r>
          </w:p>
        </w:tc>
      </w:tr>
      <w:tr w:rsidR="00363B4C" w:rsidRPr="00E97064" w14:paraId="6346D499"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12DB67E" w14:textId="77777777" w:rsidR="00363B4C" w:rsidRPr="00E97064" w:rsidRDefault="00363B4C" w:rsidP="00A4410B">
            <w:pPr>
              <w:keepNext/>
              <w:jc w:val="both"/>
              <w:rPr>
                <w:iCs/>
                <w:sz w:val="21"/>
                <w:szCs w:val="21"/>
                <w:lang w:val="en-US"/>
              </w:rPr>
            </w:pPr>
            <w:r w:rsidRPr="00E97064">
              <w:rPr>
                <w:iCs/>
                <w:sz w:val="21"/>
                <w:szCs w:val="21"/>
                <w:lang w:val="en-US"/>
              </w:rPr>
              <w:t>Incidence</w:t>
            </w:r>
          </w:p>
        </w:tc>
        <w:tc>
          <w:tcPr>
            <w:tcW w:w="1842" w:type="dxa"/>
          </w:tcPr>
          <w:p w14:paraId="51BEC2C2"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rPr>
              <w:t>OR = 1.31</w:t>
            </w:r>
          </w:p>
        </w:tc>
        <w:tc>
          <w:tcPr>
            <w:tcW w:w="2266" w:type="dxa"/>
          </w:tcPr>
          <w:p w14:paraId="1E427528"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rPr>
              <w:t>0.56 - 3.03</w:t>
            </w:r>
          </w:p>
        </w:tc>
        <w:tc>
          <w:tcPr>
            <w:tcW w:w="1699" w:type="dxa"/>
          </w:tcPr>
          <w:p w14:paraId="769534F4"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lang w:val="en-US"/>
              </w:rPr>
              <w:t>0.533</w:t>
            </w:r>
          </w:p>
        </w:tc>
        <w:tc>
          <w:tcPr>
            <w:tcW w:w="1700" w:type="dxa"/>
          </w:tcPr>
          <w:p w14:paraId="551D6209"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lang w:val="en-US"/>
              </w:rPr>
              <w:t>0.533</w:t>
            </w:r>
          </w:p>
        </w:tc>
      </w:tr>
      <w:tr w:rsidR="00363B4C" w:rsidRPr="00E97064" w14:paraId="580ADF6D" w14:textId="77777777" w:rsidTr="00A4410B">
        <w:tc>
          <w:tcPr>
            <w:cnfStyle w:val="001000000000" w:firstRow="0" w:lastRow="0" w:firstColumn="1" w:lastColumn="0" w:oddVBand="0" w:evenVBand="0" w:oddHBand="0" w:evenHBand="0" w:firstRowFirstColumn="0" w:firstRowLastColumn="0" w:lastRowFirstColumn="0" w:lastRowLastColumn="0"/>
            <w:tcW w:w="1555" w:type="dxa"/>
          </w:tcPr>
          <w:p w14:paraId="2F56EFEA" w14:textId="77777777" w:rsidR="00363B4C" w:rsidRPr="00E97064" w:rsidRDefault="00363B4C" w:rsidP="00A4410B">
            <w:pPr>
              <w:keepNext/>
              <w:jc w:val="both"/>
              <w:rPr>
                <w:iCs/>
                <w:sz w:val="21"/>
                <w:szCs w:val="21"/>
                <w:lang w:val="en-US"/>
              </w:rPr>
            </w:pPr>
            <w:r w:rsidRPr="00E97064">
              <w:rPr>
                <w:iCs/>
                <w:sz w:val="21"/>
                <w:szCs w:val="21"/>
                <w:lang w:val="en-US"/>
              </w:rPr>
              <w:t>Frequency</w:t>
            </w:r>
          </w:p>
        </w:tc>
        <w:tc>
          <w:tcPr>
            <w:tcW w:w="1842" w:type="dxa"/>
          </w:tcPr>
          <w:p w14:paraId="353EA0E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rPr>
              <w:t>RR = 2.30</w:t>
            </w:r>
          </w:p>
        </w:tc>
        <w:tc>
          <w:tcPr>
            <w:tcW w:w="2266" w:type="dxa"/>
          </w:tcPr>
          <w:p w14:paraId="3EB0716D"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rPr>
              <w:t>1.28 - 4.14</w:t>
            </w:r>
          </w:p>
        </w:tc>
        <w:tc>
          <w:tcPr>
            <w:tcW w:w="1699" w:type="dxa"/>
          </w:tcPr>
          <w:p w14:paraId="11FC2776"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rPr>
              <w:t>0.005</w:t>
            </w:r>
          </w:p>
        </w:tc>
        <w:tc>
          <w:tcPr>
            <w:tcW w:w="1700" w:type="dxa"/>
          </w:tcPr>
          <w:p w14:paraId="11828A93"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lang w:val="en-US"/>
              </w:rPr>
              <w:t>0.007</w:t>
            </w:r>
          </w:p>
        </w:tc>
      </w:tr>
    </w:tbl>
    <w:p w14:paraId="342A3104" w14:textId="77777777" w:rsidR="00363B4C" w:rsidRPr="00E97064" w:rsidRDefault="00363B4C" w:rsidP="00363B4C">
      <w:pPr>
        <w:pStyle w:val="ListParagraph"/>
        <w:keepNext/>
        <w:numPr>
          <w:ilvl w:val="0"/>
          <w:numId w:val="1"/>
        </w:numPr>
        <w:spacing w:before="240" w:after="0"/>
        <w:jc w:val="both"/>
        <w:rPr>
          <w:b/>
          <w:bCs/>
          <w:iCs/>
          <w:color w:val="000000" w:themeColor="text1"/>
          <w:sz w:val="21"/>
          <w:szCs w:val="21"/>
          <w:lang w:val="en-US"/>
        </w:rPr>
      </w:pPr>
      <w:r w:rsidRPr="00E97064">
        <w:rPr>
          <w:b/>
          <w:bCs/>
          <w:iCs/>
          <w:color w:val="000000" w:themeColor="text1"/>
          <w:sz w:val="21"/>
          <w:szCs w:val="21"/>
          <w:lang w:val="en-US"/>
        </w:rPr>
        <w:t>DPD28</w:t>
      </w:r>
    </w:p>
    <w:tbl>
      <w:tblPr>
        <w:tblStyle w:val="PlainTable1"/>
        <w:tblW w:w="0" w:type="auto"/>
        <w:tblLook w:val="04A0" w:firstRow="1" w:lastRow="0" w:firstColumn="1" w:lastColumn="0" w:noHBand="0" w:noVBand="1"/>
      </w:tblPr>
      <w:tblGrid>
        <w:gridCol w:w="1555"/>
        <w:gridCol w:w="1842"/>
        <w:gridCol w:w="2266"/>
        <w:gridCol w:w="1699"/>
        <w:gridCol w:w="1700"/>
      </w:tblGrid>
      <w:tr w:rsidR="00363B4C" w:rsidRPr="00E97064" w14:paraId="5E92B23F" w14:textId="77777777" w:rsidTr="00A44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1A726D1" w14:textId="77777777" w:rsidR="00363B4C" w:rsidRPr="00E97064" w:rsidRDefault="00363B4C" w:rsidP="00A4410B">
            <w:pPr>
              <w:keepNext/>
              <w:jc w:val="both"/>
              <w:rPr>
                <w:iCs/>
                <w:sz w:val="21"/>
                <w:szCs w:val="21"/>
                <w:lang w:val="en-US"/>
              </w:rPr>
            </w:pPr>
            <w:r w:rsidRPr="00E97064">
              <w:rPr>
                <w:iCs/>
                <w:sz w:val="21"/>
                <w:szCs w:val="21"/>
                <w:lang w:val="en-US"/>
              </w:rPr>
              <w:t>Metric</w:t>
            </w:r>
          </w:p>
        </w:tc>
        <w:tc>
          <w:tcPr>
            <w:tcW w:w="1842" w:type="dxa"/>
          </w:tcPr>
          <w:p w14:paraId="1488FAE4"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Cs/>
                <w:sz w:val="21"/>
                <w:szCs w:val="21"/>
                <w:lang w:val="en-US"/>
              </w:rPr>
              <w:t>Ratio (M/N)</w:t>
            </w:r>
          </w:p>
        </w:tc>
        <w:tc>
          <w:tcPr>
            <w:tcW w:w="2266" w:type="dxa"/>
          </w:tcPr>
          <w:p w14:paraId="660DC3EF"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Cs/>
                <w:sz w:val="21"/>
                <w:szCs w:val="21"/>
                <w:lang w:val="en-US"/>
              </w:rPr>
              <w:t>95% CI (lower-upper)</w:t>
            </w:r>
          </w:p>
        </w:tc>
        <w:tc>
          <w:tcPr>
            <w:tcW w:w="1699" w:type="dxa"/>
          </w:tcPr>
          <w:p w14:paraId="39229020"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
                <w:sz w:val="21"/>
                <w:szCs w:val="21"/>
                <w:lang w:val="en-US"/>
              </w:rPr>
              <w:t>p</w:t>
            </w:r>
            <w:r>
              <w:rPr>
                <w:iCs/>
                <w:sz w:val="21"/>
                <w:szCs w:val="21"/>
                <w:lang w:val="en-US"/>
              </w:rPr>
              <w:t>-value</w:t>
            </w:r>
          </w:p>
        </w:tc>
        <w:tc>
          <w:tcPr>
            <w:tcW w:w="1700" w:type="dxa"/>
          </w:tcPr>
          <w:p w14:paraId="7DFFEF77" w14:textId="77777777" w:rsidR="00363B4C" w:rsidRPr="00E97064" w:rsidRDefault="00363B4C" w:rsidP="00A4410B">
            <w:pPr>
              <w:keepNext/>
              <w:jc w:val="center"/>
              <w:cnfStyle w:val="100000000000" w:firstRow="1" w:lastRow="0" w:firstColumn="0" w:lastColumn="0" w:oddVBand="0" w:evenVBand="0" w:oddHBand="0" w:evenHBand="0" w:firstRowFirstColumn="0" w:firstRowLastColumn="0" w:lastRowFirstColumn="0" w:lastRowLastColumn="0"/>
              <w:rPr>
                <w:iCs/>
                <w:sz w:val="21"/>
                <w:szCs w:val="21"/>
                <w:lang w:val="en-US"/>
              </w:rPr>
            </w:pPr>
            <w:r w:rsidRPr="00E97064">
              <w:rPr>
                <w:i/>
                <w:sz w:val="21"/>
                <w:szCs w:val="21"/>
                <w:lang w:val="en-US"/>
              </w:rPr>
              <w:t>q</w:t>
            </w:r>
            <w:r>
              <w:rPr>
                <w:iCs/>
                <w:sz w:val="21"/>
                <w:szCs w:val="21"/>
                <w:lang w:val="en-US"/>
              </w:rPr>
              <w:t>-value</w:t>
            </w:r>
            <w:r w:rsidRPr="00E97064">
              <w:rPr>
                <w:iCs/>
                <w:sz w:val="21"/>
                <w:szCs w:val="21"/>
                <w:lang w:val="en-US"/>
              </w:rPr>
              <w:t xml:space="preserve"> (FDR)</w:t>
            </w:r>
          </w:p>
        </w:tc>
      </w:tr>
      <w:tr w:rsidR="00363B4C" w:rsidRPr="00E97064" w14:paraId="0248FF53" w14:textId="77777777" w:rsidTr="00A44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CCD0B0E" w14:textId="77777777" w:rsidR="00363B4C" w:rsidRPr="00E97064" w:rsidRDefault="00363B4C" w:rsidP="00A4410B">
            <w:pPr>
              <w:keepNext/>
              <w:jc w:val="both"/>
              <w:rPr>
                <w:iCs/>
                <w:sz w:val="21"/>
                <w:szCs w:val="21"/>
                <w:lang w:val="en-US"/>
              </w:rPr>
            </w:pPr>
            <w:r w:rsidRPr="00E97064">
              <w:rPr>
                <w:iCs/>
                <w:sz w:val="21"/>
                <w:szCs w:val="21"/>
                <w:lang w:val="en-US"/>
              </w:rPr>
              <w:t>Incidence</w:t>
            </w:r>
          </w:p>
        </w:tc>
        <w:tc>
          <w:tcPr>
            <w:tcW w:w="1842" w:type="dxa"/>
          </w:tcPr>
          <w:p w14:paraId="212DEEB5"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rPr>
              <w:t>OR = 5.48</w:t>
            </w:r>
          </w:p>
        </w:tc>
        <w:tc>
          <w:tcPr>
            <w:tcW w:w="2266" w:type="dxa"/>
          </w:tcPr>
          <w:p w14:paraId="7A2B4854"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rPr>
              <w:t>2.77 - 10.83</w:t>
            </w:r>
          </w:p>
        </w:tc>
        <w:tc>
          <w:tcPr>
            <w:tcW w:w="1699" w:type="dxa"/>
          </w:tcPr>
          <w:p w14:paraId="6982AFA8"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lang w:val="en-US"/>
              </w:rPr>
              <w:t>&lt;0.001</w:t>
            </w:r>
          </w:p>
        </w:tc>
        <w:tc>
          <w:tcPr>
            <w:tcW w:w="1700" w:type="dxa"/>
          </w:tcPr>
          <w:p w14:paraId="5599A482" w14:textId="77777777" w:rsidR="00363B4C" w:rsidRPr="00E97064" w:rsidRDefault="00363B4C" w:rsidP="00A4410B">
            <w:pPr>
              <w:keepNext/>
              <w:jc w:val="center"/>
              <w:cnfStyle w:val="000000100000" w:firstRow="0" w:lastRow="0" w:firstColumn="0" w:lastColumn="0" w:oddVBand="0" w:evenVBand="0" w:oddHBand="1" w:evenHBand="0" w:firstRowFirstColumn="0" w:firstRowLastColumn="0" w:lastRowFirstColumn="0" w:lastRowLastColumn="0"/>
              <w:rPr>
                <w:iCs/>
                <w:sz w:val="21"/>
                <w:szCs w:val="21"/>
              </w:rPr>
            </w:pPr>
            <w:r w:rsidRPr="00E97064">
              <w:rPr>
                <w:iCs/>
                <w:sz w:val="21"/>
                <w:szCs w:val="21"/>
                <w:lang w:val="en-US"/>
              </w:rPr>
              <w:t>&lt;0.001</w:t>
            </w:r>
          </w:p>
        </w:tc>
      </w:tr>
      <w:tr w:rsidR="00363B4C" w:rsidRPr="00E97064" w14:paraId="03BBB708" w14:textId="77777777" w:rsidTr="00A4410B">
        <w:tc>
          <w:tcPr>
            <w:cnfStyle w:val="001000000000" w:firstRow="0" w:lastRow="0" w:firstColumn="1" w:lastColumn="0" w:oddVBand="0" w:evenVBand="0" w:oddHBand="0" w:evenHBand="0" w:firstRowFirstColumn="0" w:firstRowLastColumn="0" w:lastRowFirstColumn="0" w:lastRowLastColumn="0"/>
            <w:tcW w:w="1555" w:type="dxa"/>
          </w:tcPr>
          <w:p w14:paraId="4577BC70" w14:textId="77777777" w:rsidR="00363B4C" w:rsidRPr="00E97064" w:rsidRDefault="00363B4C" w:rsidP="00A4410B">
            <w:pPr>
              <w:keepNext/>
              <w:jc w:val="both"/>
              <w:rPr>
                <w:iCs/>
                <w:sz w:val="21"/>
                <w:szCs w:val="21"/>
                <w:lang w:val="en-US"/>
              </w:rPr>
            </w:pPr>
            <w:r w:rsidRPr="00E97064">
              <w:rPr>
                <w:iCs/>
                <w:sz w:val="21"/>
                <w:szCs w:val="21"/>
                <w:lang w:val="en-US"/>
              </w:rPr>
              <w:t>Frequency</w:t>
            </w:r>
          </w:p>
        </w:tc>
        <w:tc>
          <w:tcPr>
            <w:tcW w:w="1842" w:type="dxa"/>
          </w:tcPr>
          <w:p w14:paraId="1D84F1C1"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rPr>
              <w:t>RR = 2.51</w:t>
            </w:r>
          </w:p>
        </w:tc>
        <w:tc>
          <w:tcPr>
            <w:tcW w:w="2266" w:type="dxa"/>
          </w:tcPr>
          <w:p w14:paraId="103B3429"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rPr>
              <w:t>1.72 - 3.65</w:t>
            </w:r>
          </w:p>
        </w:tc>
        <w:tc>
          <w:tcPr>
            <w:tcW w:w="1699" w:type="dxa"/>
          </w:tcPr>
          <w:p w14:paraId="4A4CC177"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lang w:val="en-US"/>
              </w:rPr>
              <w:t>&lt;</w:t>
            </w:r>
            <w:r w:rsidRPr="00E97064">
              <w:rPr>
                <w:iCs/>
                <w:sz w:val="21"/>
                <w:szCs w:val="21"/>
              </w:rPr>
              <w:t>0.001</w:t>
            </w:r>
          </w:p>
        </w:tc>
        <w:tc>
          <w:tcPr>
            <w:tcW w:w="1700" w:type="dxa"/>
          </w:tcPr>
          <w:p w14:paraId="7DA6D163" w14:textId="77777777" w:rsidR="00363B4C" w:rsidRPr="00E97064" w:rsidRDefault="00363B4C" w:rsidP="00A4410B">
            <w:pPr>
              <w:keepNext/>
              <w:jc w:val="center"/>
              <w:cnfStyle w:val="000000000000" w:firstRow="0" w:lastRow="0" w:firstColumn="0" w:lastColumn="0" w:oddVBand="0" w:evenVBand="0" w:oddHBand="0" w:evenHBand="0" w:firstRowFirstColumn="0" w:firstRowLastColumn="0" w:lastRowFirstColumn="0" w:lastRowLastColumn="0"/>
              <w:rPr>
                <w:iCs/>
                <w:sz w:val="21"/>
                <w:szCs w:val="21"/>
              </w:rPr>
            </w:pPr>
            <w:r w:rsidRPr="00E97064">
              <w:rPr>
                <w:iCs/>
                <w:sz w:val="21"/>
                <w:szCs w:val="21"/>
                <w:lang w:val="en-US"/>
              </w:rPr>
              <w:t>&lt;0.001</w:t>
            </w:r>
          </w:p>
        </w:tc>
      </w:tr>
    </w:tbl>
    <w:p w14:paraId="53696F51" w14:textId="77777777" w:rsidR="00363B4C" w:rsidRPr="00C1601A" w:rsidRDefault="00363B4C" w:rsidP="00363B4C">
      <w:pPr>
        <w:spacing w:before="240"/>
        <w:rPr>
          <w:lang w:val="en-US"/>
        </w:rPr>
      </w:pPr>
    </w:p>
    <w:p w14:paraId="0EE06639" w14:textId="77777777" w:rsidR="00363B4C" w:rsidRPr="000838CE" w:rsidRDefault="00363B4C" w:rsidP="00363B4C">
      <w:pPr>
        <w:pStyle w:val="Heading4"/>
        <w:rPr>
          <w:b/>
          <w:bCs/>
          <w:lang w:val="en-US"/>
        </w:rPr>
      </w:pPr>
      <w:r w:rsidRPr="000838CE">
        <w:rPr>
          <w:b/>
          <w:bCs/>
          <w:lang w:val="en-US"/>
        </w:rPr>
        <w:t xml:space="preserve">Live </w:t>
      </w:r>
      <w:r>
        <w:rPr>
          <w:b/>
          <w:bCs/>
          <w:lang w:val="en-US"/>
        </w:rPr>
        <w:t>S</w:t>
      </w:r>
      <w:r w:rsidRPr="000838CE">
        <w:rPr>
          <w:b/>
          <w:bCs/>
          <w:lang w:val="en-US"/>
        </w:rPr>
        <w:t xml:space="preserve">taining </w:t>
      </w:r>
      <w:r>
        <w:rPr>
          <w:b/>
          <w:bCs/>
          <w:lang w:val="en-US"/>
        </w:rPr>
        <w:t>A</w:t>
      </w:r>
      <w:r w:rsidRPr="000838CE">
        <w:rPr>
          <w:b/>
          <w:bCs/>
          <w:lang w:val="en-US"/>
        </w:rPr>
        <w:t xml:space="preserve">nalysis </w:t>
      </w:r>
      <w:r>
        <w:rPr>
          <w:b/>
          <w:bCs/>
          <w:lang w:val="en-US"/>
        </w:rPr>
        <w:t>U</w:t>
      </w:r>
      <w:r w:rsidRPr="000838CE">
        <w:rPr>
          <w:b/>
          <w:bCs/>
          <w:lang w:val="en-US"/>
        </w:rPr>
        <w:t>sing AM4-64</w:t>
      </w:r>
    </w:p>
    <w:p w14:paraId="51BE4C7B" w14:textId="77777777" w:rsidR="00363B4C" w:rsidRPr="003B26A7" w:rsidRDefault="00363B4C" w:rsidP="00363B4C">
      <w:pPr>
        <w:spacing w:after="0"/>
        <w:jc w:val="center"/>
        <w:rPr>
          <w:lang w:val="en-US"/>
        </w:rPr>
      </w:pPr>
      <w:r w:rsidRPr="003202EC">
        <w:rPr>
          <w:noProof/>
        </w:rPr>
        <w:drawing>
          <wp:inline distT="0" distB="0" distL="0" distR="0" wp14:anchorId="6AA30541" wp14:editId="0B0D8DD8">
            <wp:extent cx="5616000" cy="1876921"/>
            <wp:effectExtent l="0" t="0" r="3810" b="9525"/>
            <wp:docPr id="904231597" name="Picture 7" descr="A diagram of a graph&#10;&#10;AI-generated content may be incorrect.">
              <a:extLst xmlns:a="http://schemas.openxmlformats.org/drawingml/2006/main">
                <a:ext uri="{FF2B5EF4-FFF2-40B4-BE49-F238E27FC236}">
                  <a16:creationId xmlns:a16="http://schemas.microsoft.com/office/drawing/2014/main" id="{05F9248A-DC31-598D-92A7-C37DD4AE8A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31597" name="Picture 7" descr="A diagram of a graph&#10;&#10;AI-generated content may be incorrect.">
                      <a:extLst>
                        <a:ext uri="{FF2B5EF4-FFF2-40B4-BE49-F238E27FC236}">
                          <a16:creationId xmlns:a16="http://schemas.microsoft.com/office/drawing/2014/main" id="{05F9248A-DC31-598D-92A7-C37DD4AE8A3E}"/>
                        </a:ext>
                      </a:extLst>
                    </pic:cNvPr>
                    <pic:cNvPicPr>
                      <a:picLocks noChangeAspect="1"/>
                    </pic:cNvPicPr>
                  </pic:nvPicPr>
                  <pic:blipFill rotWithShape="1">
                    <a:blip r:embed="rId8"/>
                    <a:srcRect l="2279" r="4447"/>
                    <a:stretch>
                      <a:fillRect/>
                    </a:stretch>
                  </pic:blipFill>
                  <pic:spPr bwMode="auto">
                    <a:xfrm>
                      <a:off x="0" y="0"/>
                      <a:ext cx="5616000" cy="1876921"/>
                    </a:xfrm>
                    <a:prstGeom prst="rect">
                      <a:avLst/>
                    </a:prstGeom>
                    <a:ln>
                      <a:noFill/>
                    </a:ln>
                    <a:extLst>
                      <a:ext uri="{53640926-AAD7-44D8-BBD7-CCE9431645EC}">
                        <a14:shadowObscured xmlns:a14="http://schemas.microsoft.com/office/drawing/2010/main"/>
                      </a:ext>
                    </a:extLst>
                  </pic:spPr>
                </pic:pic>
              </a:graphicData>
            </a:graphic>
          </wp:inline>
        </w:drawing>
      </w:r>
      <w:r w:rsidRPr="003B26A7">
        <w:rPr>
          <w:lang w:val="en-US"/>
        </w:rPr>
        <w:t xml:space="preserve"> </w:t>
      </w:r>
    </w:p>
    <w:p w14:paraId="0C88F83B" w14:textId="77777777" w:rsidR="00363B4C" w:rsidRPr="00D91EC2" w:rsidRDefault="00363B4C" w:rsidP="00363B4C">
      <w:pPr>
        <w:pStyle w:val="Caption"/>
        <w:spacing w:after="0"/>
        <w:jc w:val="both"/>
        <w:rPr>
          <w:lang w:val="en-US"/>
        </w:rPr>
      </w:pPr>
      <w:r w:rsidRPr="1EC9F521">
        <w:rPr>
          <w:lang w:val="en-US"/>
        </w:rPr>
        <w:t>Figure S</w:t>
      </w:r>
      <w:r>
        <w:rPr>
          <w:lang w:val="en-US"/>
        </w:rPr>
        <w:t>2</w:t>
      </w:r>
      <w:r w:rsidRPr="1EC9F521">
        <w:rPr>
          <w:lang w:val="en-US"/>
        </w:rPr>
        <w:t>:</w:t>
      </w:r>
      <w:r w:rsidRPr="1EC9F521">
        <w:rPr>
          <w:b/>
          <w:bCs/>
          <w:lang w:val="en-US"/>
        </w:rPr>
        <w:t xml:space="preserve"> AM4-64 fluorescence destaining kinetics in human </w:t>
      </w:r>
      <w:proofErr w:type="spellStart"/>
      <w:r w:rsidRPr="1EC9F521">
        <w:rPr>
          <w:b/>
          <w:bCs/>
          <w:lang w:val="en-US"/>
        </w:rPr>
        <w:t>iMNs</w:t>
      </w:r>
      <w:proofErr w:type="spellEnd"/>
      <w:r w:rsidRPr="1EC9F521">
        <w:rPr>
          <w:b/>
          <w:bCs/>
          <w:lang w:val="en-US"/>
        </w:rPr>
        <w:t xml:space="preserve"> with or without synapse-modulating treatment.</w:t>
      </w:r>
      <w:r w:rsidRPr="1EC9F521">
        <w:rPr>
          <w:lang w:val="en-US"/>
        </w:rPr>
        <w:t xml:space="preserve"> </w:t>
      </w:r>
      <w:r w:rsidRPr="1EC9F521">
        <w:rPr>
          <w:b/>
          <w:bCs/>
          <w:lang w:val="en-US"/>
        </w:rPr>
        <w:t>Left panel:</w:t>
      </w:r>
      <w:r w:rsidRPr="1EC9F521">
        <w:rPr>
          <w:lang w:val="en-US"/>
        </w:rPr>
        <w:t xml:space="preserve"> Representative fluorescence decay curves (</w:t>
      </w:r>
      <w:proofErr w:type="spellStart"/>
      <w:r w:rsidRPr="1EC9F521">
        <w:rPr>
          <w:lang w:val="en-US"/>
        </w:rPr>
        <w:t>dF</w:t>
      </w:r>
      <w:proofErr w:type="spellEnd"/>
      <w:r w:rsidRPr="1EC9F521">
        <w:rPr>
          <w:lang w:val="en-US"/>
        </w:rPr>
        <w:t xml:space="preserve">/F) of AM4-64-labeled synaptic puncta following high-potassium stimulation (time = 0 s) in </w:t>
      </w:r>
      <w:proofErr w:type="spellStart"/>
      <w:r w:rsidRPr="1EC9F521">
        <w:rPr>
          <w:lang w:val="en-US"/>
        </w:rPr>
        <w:t>iMNs</w:t>
      </w:r>
      <w:proofErr w:type="spellEnd"/>
      <w:r w:rsidRPr="1EC9F521">
        <w:rPr>
          <w:lang w:val="en-US"/>
        </w:rPr>
        <w:t xml:space="preserve"> cultured without (orange, N) or with (</w:t>
      </w:r>
      <w:r>
        <w:rPr>
          <w:lang w:val="en-US"/>
        </w:rPr>
        <w:t>light blue</w:t>
      </w:r>
      <w:r w:rsidRPr="1EC9F521">
        <w:rPr>
          <w:lang w:val="en-US"/>
        </w:rPr>
        <w:t xml:space="preserve">, M) the neuromodulators CX516 and CDPPB. Both conditions show a rapid drop in fluorescence intensity after stimulation, reflecting SV exocytosis, followed by a gradual plateau phase. Despite a previously observed increase in the density of active puncta in modulator-treated cultures, the overall kinetics of fluorescence decay remain comparable between groups. Error bars represent </w:t>
      </w:r>
      <w:r>
        <w:rPr>
          <w:lang w:val="en-US"/>
        </w:rPr>
        <w:t xml:space="preserve">95% CI. </w:t>
      </w:r>
      <w:r w:rsidRPr="1EC9F521">
        <w:rPr>
          <w:lang w:val="en-US"/>
        </w:rPr>
        <w:t xml:space="preserve"> </w:t>
      </w:r>
      <w:r w:rsidRPr="1EC9F521">
        <w:rPr>
          <w:b/>
          <w:bCs/>
          <w:lang w:val="en-US"/>
        </w:rPr>
        <w:t>Middle panel:</w:t>
      </w:r>
      <w:r w:rsidRPr="1EC9F521">
        <w:rPr>
          <w:lang w:val="en-US"/>
        </w:rPr>
        <w:t xml:space="preserve"> Quantification of relative loss of fluorescence (%) per punctum, representing the relative fraction of SVs that underwent exocytosis during stimulation. No significant difference was observed between untreated and treated neurons (p-value = 0.58). </w:t>
      </w:r>
      <w:r w:rsidRPr="1EC9F521">
        <w:rPr>
          <w:b/>
          <w:bCs/>
          <w:lang w:val="en-US"/>
        </w:rPr>
        <w:t xml:space="preserve">Right panel: </w:t>
      </w:r>
      <w:r w:rsidRPr="1EC9F521">
        <w:rPr>
          <w:lang w:val="en-US"/>
        </w:rPr>
        <w:t>Decay rate constant (κ, in s</w:t>
      </w:r>
      <w:r w:rsidRPr="1EC9F521">
        <w:rPr>
          <w:rFonts w:ascii="Cambria Math" w:hAnsi="Cambria Math" w:cs="Cambria Math"/>
          <w:lang w:val="en-US"/>
        </w:rPr>
        <w:t>⁻</w:t>
      </w:r>
      <w:r w:rsidRPr="1EC9F521">
        <w:rPr>
          <w:rFonts w:ascii="Aptos" w:hAnsi="Aptos" w:cs="Aptos"/>
          <w:lang w:val="en-US"/>
        </w:rPr>
        <w:t>¹</w:t>
      </w:r>
      <w:r w:rsidRPr="1EC9F521">
        <w:rPr>
          <w:lang w:val="en-US"/>
        </w:rPr>
        <w:t xml:space="preserve">) derived from exponential fitting of the fluorescence traces. This parameter reflects the rate of vesicle release (higher </w:t>
      </w:r>
      <w:r w:rsidRPr="1EC9F521">
        <w:rPr>
          <w:rFonts w:ascii="Aptos" w:hAnsi="Aptos" w:cs="Aptos"/>
          <w:lang w:val="en-US"/>
        </w:rPr>
        <w:t>κ</w:t>
      </w:r>
      <w:r w:rsidRPr="1EC9F521">
        <w:rPr>
          <w:lang w:val="en-US"/>
        </w:rPr>
        <w:t xml:space="preserve"> = faster turnover). No significant differences were detected between conditions (p-value = 0.92; ns = not significant).</w:t>
      </w:r>
    </w:p>
    <w:p w14:paraId="7DA7B856" w14:textId="77777777" w:rsidR="00363B4C" w:rsidRDefault="00363B4C" w:rsidP="00363B4C">
      <w:pPr>
        <w:spacing w:before="240"/>
        <w:rPr>
          <w:lang w:val="en-US"/>
        </w:rPr>
      </w:pPr>
    </w:p>
    <w:p w14:paraId="2657B155" w14:textId="77777777" w:rsidR="00363B4C" w:rsidRPr="000838CE" w:rsidRDefault="00363B4C" w:rsidP="00363B4C">
      <w:pPr>
        <w:pStyle w:val="Heading4"/>
        <w:rPr>
          <w:rFonts w:eastAsia="Times New Roman"/>
          <w:b/>
          <w:bCs/>
          <w:lang w:val="en-US"/>
        </w:rPr>
      </w:pPr>
      <w:r w:rsidRPr="000838CE">
        <w:rPr>
          <w:rFonts w:eastAsia="Times New Roman"/>
          <w:b/>
          <w:bCs/>
          <w:lang w:val="en-US"/>
        </w:rPr>
        <w:lastRenderedPageBreak/>
        <w:t xml:space="preserve">Conventional EM of </w:t>
      </w:r>
      <w:proofErr w:type="spellStart"/>
      <w:r>
        <w:rPr>
          <w:rFonts w:eastAsia="Times New Roman"/>
          <w:b/>
          <w:bCs/>
          <w:lang w:val="en-US"/>
        </w:rPr>
        <w:t>U</w:t>
      </w:r>
      <w:r w:rsidRPr="000838CE">
        <w:rPr>
          <w:rFonts w:eastAsia="Times New Roman"/>
          <w:b/>
          <w:bCs/>
          <w:lang w:val="en-US"/>
        </w:rPr>
        <w:t>ltrastructures</w:t>
      </w:r>
      <w:proofErr w:type="spellEnd"/>
      <w:r w:rsidRPr="000838CE">
        <w:rPr>
          <w:rFonts w:eastAsia="Times New Roman"/>
          <w:b/>
          <w:bCs/>
          <w:lang w:val="en-US"/>
        </w:rPr>
        <w:t xml:space="preserve"> in </w:t>
      </w:r>
      <w:proofErr w:type="spellStart"/>
      <w:r w:rsidRPr="000838CE">
        <w:rPr>
          <w:rFonts w:eastAsia="Times New Roman"/>
          <w:b/>
          <w:bCs/>
          <w:lang w:val="en-US"/>
        </w:rPr>
        <w:t>iMNs</w:t>
      </w:r>
      <w:proofErr w:type="spellEnd"/>
    </w:p>
    <w:p w14:paraId="0D3AC78C" w14:textId="77777777" w:rsidR="00363B4C" w:rsidRPr="00783E66" w:rsidRDefault="00363B4C" w:rsidP="00363B4C">
      <w:pPr>
        <w:keepNext/>
        <w:spacing w:after="0"/>
        <w:jc w:val="center"/>
      </w:pPr>
      <w:r w:rsidRPr="00F53EFA">
        <w:rPr>
          <w:noProof/>
        </w:rPr>
        <w:drawing>
          <wp:inline distT="0" distB="0" distL="0" distR="0" wp14:anchorId="22075B48" wp14:editId="0F459B65">
            <wp:extent cx="5688000" cy="2906072"/>
            <wp:effectExtent l="0" t="0" r="1905" b="2540"/>
            <wp:docPr id="8" name="Picture 7" descr="A close-up of a microscope&#10;&#10;AI-generated content may be incorrect.">
              <a:extLst xmlns:a="http://schemas.openxmlformats.org/drawingml/2006/main">
                <a:ext uri="{FF2B5EF4-FFF2-40B4-BE49-F238E27FC236}">
                  <a16:creationId xmlns:a16="http://schemas.microsoft.com/office/drawing/2014/main" id="{A197AC83-9682-FE81-96DF-DBDDD9227D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up of a microscope&#10;&#10;AI-generated content may be incorrect.">
                      <a:extLst>
                        <a:ext uri="{FF2B5EF4-FFF2-40B4-BE49-F238E27FC236}">
                          <a16:creationId xmlns:a16="http://schemas.microsoft.com/office/drawing/2014/main" id="{A197AC83-9682-FE81-96DF-DBDDD9227D84}"/>
                        </a:ext>
                      </a:extLst>
                    </pic:cNvPr>
                    <pic:cNvPicPr>
                      <a:picLocks noChangeAspect="1"/>
                    </pic:cNvPicPr>
                  </pic:nvPicPr>
                  <pic:blipFill>
                    <a:blip r:embed="rId9"/>
                    <a:stretch>
                      <a:fillRect/>
                    </a:stretch>
                  </pic:blipFill>
                  <pic:spPr>
                    <a:xfrm>
                      <a:off x="0" y="0"/>
                      <a:ext cx="5688000" cy="2906072"/>
                    </a:xfrm>
                    <a:prstGeom prst="rect">
                      <a:avLst/>
                    </a:prstGeom>
                  </pic:spPr>
                </pic:pic>
              </a:graphicData>
            </a:graphic>
          </wp:inline>
        </w:drawing>
      </w:r>
    </w:p>
    <w:p w14:paraId="23060C25" w14:textId="77777777" w:rsidR="00363B4C" w:rsidRPr="00783E66" w:rsidRDefault="00363B4C" w:rsidP="00363B4C">
      <w:pPr>
        <w:pStyle w:val="Caption"/>
        <w:jc w:val="both"/>
        <w:rPr>
          <w:lang w:val="en-US"/>
        </w:rPr>
      </w:pPr>
      <w:r w:rsidRPr="444D74D3">
        <w:rPr>
          <w:lang w:val="en-US"/>
        </w:rPr>
        <w:t xml:space="preserve">Figure S3: </w:t>
      </w:r>
      <w:r w:rsidRPr="444D74D3">
        <w:rPr>
          <w:b/>
          <w:bCs/>
          <w:lang w:val="en-US"/>
        </w:rPr>
        <w:t xml:space="preserve">Electron micrographs of selected </w:t>
      </w:r>
      <w:proofErr w:type="spellStart"/>
      <w:r w:rsidRPr="444D74D3">
        <w:rPr>
          <w:b/>
          <w:bCs/>
          <w:lang w:val="en-US"/>
        </w:rPr>
        <w:t>iMN</w:t>
      </w:r>
      <w:proofErr w:type="spellEnd"/>
      <w:r w:rsidRPr="444D74D3">
        <w:rPr>
          <w:b/>
          <w:bCs/>
          <w:lang w:val="en-US"/>
        </w:rPr>
        <w:t xml:space="preserve"> characteristics.</w:t>
      </w:r>
      <w:r w:rsidRPr="444D74D3">
        <w:rPr>
          <w:lang w:val="en-US"/>
        </w:rPr>
        <w:t xml:space="preserve"> </w:t>
      </w:r>
      <w:r w:rsidRPr="444D74D3">
        <w:rPr>
          <w:b/>
          <w:bCs/>
          <w:lang w:val="en-US"/>
        </w:rPr>
        <w:t>Left micrograph:</w:t>
      </w:r>
      <w:r w:rsidRPr="444D74D3">
        <w:rPr>
          <w:lang w:val="en-US"/>
        </w:rPr>
        <w:t xml:space="preserve"> An overview of healthy neurons at DPD28 with presence of neurites surrounding the </w:t>
      </w:r>
      <w:proofErr w:type="spellStart"/>
      <w:r w:rsidRPr="444D74D3">
        <w:rPr>
          <w:lang w:val="en-US"/>
        </w:rPr>
        <w:t>somata</w:t>
      </w:r>
      <w:proofErr w:type="spellEnd"/>
      <w:r w:rsidRPr="444D74D3">
        <w:rPr>
          <w:lang w:val="en-US"/>
        </w:rPr>
        <w:t xml:space="preserve">. </w:t>
      </w:r>
      <w:r w:rsidRPr="444D74D3">
        <w:rPr>
          <w:b/>
          <w:bCs/>
          <w:lang w:val="en-US"/>
        </w:rPr>
        <w:t>Right micrograph:</w:t>
      </w:r>
      <w:r w:rsidRPr="444D74D3">
        <w:rPr>
          <w:lang w:val="en-US"/>
        </w:rPr>
        <w:t xml:space="preserve"> Large dense core vesicles (LDCVs) (50-100 nm diameter) localized in varicosities.</w:t>
      </w:r>
    </w:p>
    <w:p w14:paraId="3A0CA974" w14:textId="77777777" w:rsidR="00363B4C" w:rsidRDefault="00363B4C" w:rsidP="00363B4C">
      <w:pPr>
        <w:keepNext/>
        <w:rPr>
          <w:lang w:val="en-US"/>
        </w:rPr>
      </w:pPr>
    </w:p>
    <w:p w14:paraId="12CDA1F5" w14:textId="77777777" w:rsidR="00363B4C" w:rsidRPr="00F0513B" w:rsidRDefault="00363B4C" w:rsidP="00363B4C">
      <w:pPr>
        <w:keepNext/>
        <w:spacing w:after="0"/>
        <w:jc w:val="center"/>
      </w:pPr>
      <w:r w:rsidRPr="00DB53FB">
        <w:rPr>
          <w:noProof/>
        </w:rPr>
        <w:drawing>
          <wp:inline distT="0" distB="0" distL="0" distR="0" wp14:anchorId="7C673B0B" wp14:editId="1F510E88">
            <wp:extent cx="5688000" cy="2917358"/>
            <wp:effectExtent l="0" t="0" r="1905" b="3810"/>
            <wp:docPr id="29" name="Picture 28" descr="A close-up of a microscope&#10;&#10;AI-generated content may be incorrect.">
              <a:extLst xmlns:a="http://schemas.openxmlformats.org/drawingml/2006/main">
                <a:ext uri="{FF2B5EF4-FFF2-40B4-BE49-F238E27FC236}">
                  <a16:creationId xmlns:a16="http://schemas.microsoft.com/office/drawing/2014/main" id="{32D4CF49-25B7-24A8-A2A2-945E8A0B34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 close-up of a microscope&#10;&#10;AI-generated content may be incorrect.">
                      <a:extLst>
                        <a:ext uri="{FF2B5EF4-FFF2-40B4-BE49-F238E27FC236}">
                          <a16:creationId xmlns:a16="http://schemas.microsoft.com/office/drawing/2014/main" id="{32D4CF49-25B7-24A8-A2A2-945E8A0B34D2}"/>
                        </a:ext>
                      </a:extLst>
                    </pic:cNvPr>
                    <pic:cNvPicPr>
                      <a:picLocks noChangeAspect="1"/>
                    </pic:cNvPicPr>
                  </pic:nvPicPr>
                  <pic:blipFill>
                    <a:blip r:embed="rId10"/>
                    <a:stretch>
                      <a:fillRect/>
                    </a:stretch>
                  </pic:blipFill>
                  <pic:spPr>
                    <a:xfrm>
                      <a:off x="0" y="0"/>
                      <a:ext cx="5688000" cy="2917358"/>
                    </a:xfrm>
                    <a:prstGeom prst="rect">
                      <a:avLst/>
                    </a:prstGeom>
                  </pic:spPr>
                </pic:pic>
              </a:graphicData>
            </a:graphic>
          </wp:inline>
        </w:drawing>
      </w:r>
    </w:p>
    <w:p w14:paraId="75CAED2C" w14:textId="77777777" w:rsidR="00363B4C" w:rsidRDefault="00363B4C" w:rsidP="00363B4C">
      <w:pPr>
        <w:pStyle w:val="Caption"/>
        <w:jc w:val="both"/>
        <w:rPr>
          <w:lang w:val="en-US"/>
        </w:rPr>
      </w:pPr>
      <w:r w:rsidRPr="444D74D3">
        <w:rPr>
          <w:lang w:val="en-US"/>
        </w:rPr>
        <w:t xml:space="preserve">Figure S4: </w:t>
      </w:r>
      <w:r w:rsidRPr="444D74D3">
        <w:rPr>
          <w:b/>
          <w:bCs/>
          <w:lang w:val="en-US"/>
        </w:rPr>
        <w:t xml:space="preserve">Ultrastructural features of synaptic terminals in </w:t>
      </w:r>
      <w:proofErr w:type="spellStart"/>
      <w:r w:rsidRPr="444D74D3">
        <w:rPr>
          <w:b/>
          <w:bCs/>
          <w:lang w:val="en-US"/>
        </w:rPr>
        <w:t>iMNs</w:t>
      </w:r>
      <w:proofErr w:type="spellEnd"/>
      <w:r w:rsidRPr="444D74D3">
        <w:rPr>
          <w:b/>
          <w:bCs/>
          <w:lang w:val="en-US"/>
        </w:rPr>
        <w:t xml:space="preserve"> following neuromodulator treatment, revealed by conventional transmission EM. </w:t>
      </w:r>
      <w:r w:rsidRPr="444D74D3">
        <w:rPr>
          <w:lang w:val="en-US"/>
        </w:rPr>
        <w:t xml:space="preserve"> </w:t>
      </w:r>
      <w:r w:rsidRPr="444D74D3">
        <w:rPr>
          <w:b/>
          <w:bCs/>
          <w:lang w:val="en-US"/>
        </w:rPr>
        <w:t>Left panel:</w:t>
      </w:r>
      <w:r w:rsidRPr="444D74D3">
        <w:rPr>
          <w:lang w:val="en-US"/>
        </w:rPr>
        <w:t xml:space="preserve"> Representative EM micrograph showing a large presynaptic bouton with a densely packed SV cluster adjacent to the presynaptic membrane, indicative of a prominent active zone. Numerous vesicles appear docked, suggesting an expanded readily releasable pool consistent with enhanced synaptic activity following treatment with CX516 and CDPPB. Inset shows a magnified view of the active zone region. The yellow curved line marks the postsynaptic zone, which may represent one large or two closely apposed postsynaptic compartments. </w:t>
      </w:r>
      <w:r w:rsidRPr="444D74D3">
        <w:rPr>
          <w:b/>
          <w:bCs/>
          <w:lang w:val="en-US"/>
        </w:rPr>
        <w:t>Right panel:</w:t>
      </w:r>
      <w:r w:rsidRPr="444D74D3">
        <w:rPr>
          <w:lang w:val="en-US"/>
        </w:rPr>
        <w:t xml:space="preserve"> EM image of an </w:t>
      </w:r>
      <w:proofErr w:type="spellStart"/>
      <w:r w:rsidRPr="444D74D3">
        <w:rPr>
          <w:i w:val="0"/>
          <w:iCs w:val="0"/>
          <w:lang w:val="en-US"/>
        </w:rPr>
        <w:t>en</w:t>
      </w:r>
      <w:proofErr w:type="spellEnd"/>
      <w:r w:rsidRPr="444D74D3">
        <w:rPr>
          <w:i w:val="0"/>
          <w:iCs w:val="0"/>
          <w:lang w:val="en-US"/>
        </w:rPr>
        <w:t xml:space="preserve"> passant</w:t>
      </w:r>
      <w:r w:rsidRPr="444D74D3">
        <w:rPr>
          <w:lang w:val="en-US"/>
        </w:rPr>
        <w:t xml:space="preserve"> synapse highlighting key ultrastructural components of a mature neuronal terminal. Microtubules</w:t>
      </w:r>
      <w:r>
        <w:rPr>
          <w:lang w:val="en-US"/>
        </w:rPr>
        <w:t xml:space="preserve"> (</w:t>
      </w:r>
      <w:proofErr w:type="spellStart"/>
      <w:r>
        <w:rPr>
          <w:lang w:val="en-US"/>
        </w:rPr>
        <w:t>Mtb</w:t>
      </w:r>
      <w:proofErr w:type="spellEnd"/>
      <w:r>
        <w:rPr>
          <w:lang w:val="en-US"/>
        </w:rPr>
        <w:t>)</w:t>
      </w:r>
      <w:r w:rsidRPr="444D74D3">
        <w:rPr>
          <w:lang w:val="en-US"/>
        </w:rPr>
        <w:t xml:space="preserve"> are aligned along the axon shaft, while mitochondria (Mit) are positioned near the vesicle cluster. The presynaptic terminal contains a tightly organized SV cluster, aligned with the postsynaptic membrane (</w:t>
      </w:r>
      <w:proofErr w:type="spellStart"/>
      <w:r w:rsidRPr="444D74D3">
        <w:rPr>
          <w:lang w:val="en-US"/>
        </w:rPr>
        <w:t>PostSyn</w:t>
      </w:r>
      <w:proofErr w:type="spellEnd"/>
      <w:r w:rsidRPr="444D74D3">
        <w:rPr>
          <w:lang w:val="en-US"/>
        </w:rPr>
        <w:t>), demarcating a clearly identifiable synaptic cleft.</w:t>
      </w:r>
    </w:p>
    <w:p w14:paraId="04F9A188" w14:textId="77777777" w:rsidR="00363B4C" w:rsidRPr="00031286" w:rsidRDefault="00363B4C" w:rsidP="00363B4C">
      <w:pPr>
        <w:rPr>
          <w:lang w:val="en-US"/>
        </w:rPr>
      </w:pPr>
    </w:p>
    <w:p w14:paraId="77B68B23" w14:textId="77777777" w:rsidR="00363B4C" w:rsidRPr="000838CE" w:rsidRDefault="00363B4C" w:rsidP="00363B4C">
      <w:pPr>
        <w:pStyle w:val="Heading4"/>
        <w:rPr>
          <w:rFonts w:eastAsia="Times New Roman"/>
          <w:b/>
          <w:bCs/>
          <w:lang w:val="en-US"/>
        </w:rPr>
      </w:pPr>
      <w:r w:rsidRPr="000838CE">
        <w:rPr>
          <w:rFonts w:eastAsia="Times New Roman"/>
          <w:b/>
          <w:bCs/>
          <w:lang w:val="en-US"/>
        </w:rPr>
        <w:lastRenderedPageBreak/>
        <w:t xml:space="preserve">Cryo-EM/ET </w:t>
      </w:r>
      <w:r>
        <w:rPr>
          <w:rFonts w:eastAsia="Times New Roman"/>
          <w:b/>
          <w:bCs/>
          <w:lang w:val="en-US"/>
        </w:rPr>
        <w:t>S</w:t>
      </w:r>
      <w:r w:rsidRPr="000838CE">
        <w:rPr>
          <w:rFonts w:eastAsia="Times New Roman"/>
          <w:b/>
          <w:bCs/>
          <w:lang w:val="en-US"/>
        </w:rPr>
        <w:t xml:space="preserve">ample </w:t>
      </w:r>
      <w:r>
        <w:rPr>
          <w:rFonts w:eastAsia="Times New Roman"/>
          <w:b/>
          <w:bCs/>
          <w:lang w:val="en-US"/>
        </w:rPr>
        <w:t>P</w:t>
      </w:r>
      <w:r w:rsidRPr="000838CE">
        <w:rPr>
          <w:rFonts w:eastAsia="Times New Roman"/>
          <w:b/>
          <w:bCs/>
          <w:lang w:val="en-US"/>
        </w:rPr>
        <w:t xml:space="preserve">reparation; </w:t>
      </w:r>
      <w:r>
        <w:rPr>
          <w:rFonts w:eastAsia="Times New Roman"/>
          <w:b/>
          <w:bCs/>
          <w:lang w:val="en-US"/>
        </w:rPr>
        <w:t>P</w:t>
      </w:r>
      <w:r w:rsidRPr="000838CE">
        <w:rPr>
          <w:rFonts w:eastAsia="Times New Roman"/>
          <w:b/>
          <w:bCs/>
          <w:lang w:val="en-US"/>
        </w:rPr>
        <w:t xml:space="preserve">lunge </w:t>
      </w:r>
      <w:r>
        <w:rPr>
          <w:rFonts w:eastAsia="Times New Roman"/>
          <w:b/>
          <w:bCs/>
          <w:lang w:val="en-US"/>
        </w:rPr>
        <w:t>F</w:t>
      </w:r>
      <w:r w:rsidRPr="000838CE">
        <w:rPr>
          <w:rFonts w:eastAsia="Times New Roman"/>
          <w:b/>
          <w:bCs/>
          <w:lang w:val="en-US"/>
        </w:rPr>
        <w:t xml:space="preserve">reezing the </w:t>
      </w:r>
      <w:r>
        <w:rPr>
          <w:rFonts w:eastAsia="Times New Roman"/>
          <w:b/>
          <w:bCs/>
          <w:lang w:val="en-US"/>
        </w:rPr>
        <w:t>G</w:t>
      </w:r>
      <w:r w:rsidRPr="000838CE">
        <w:rPr>
          <w:rFonts w:eastAsia="Times New Roman"/>
          <w:b/>
          <w:bCs/>
          <w:lang w:val="en-US"/>
        </w:rPr>
        <w:t>rids</w:t>
      </w:r>
    </w:p>
    <w:p w14:paraId="3104A86A" w14:textId="77777777" w:rsidR="00363B4C" w:rsidRDefault="00363B4C" w:rsidP="00363B4C">
      <w:pPr>
        <w:pStyle w:val="Caption"/>
        <w:spacing w:after="0"/>
        <w:jc w:val="center"/>
        <w:rPr>
          <w:lang w:val="en-US"/>
        </w:rPr>
      </w:pPr>
      <w:r w:rsidRPr="00460E1F">
        <w:rPr>
          <w:noProof/>
        </w:rPr>
        <w:drawing>
          <wp:inline distT="0" distB="0" distL="0" distR="0" wp14:anchorId="03A742B7" wp14:editId="42B708A6">
            <wp:extent cx="5688000" cy="1140485"/>
            <wp:effectExtent l="0" t="0" r="0" b="0"/>
            <wp:docPr id="32" name="Picture 31" descr="A blue and pink arrows&#10;&#10;AI-generated content may be incorrect.">
              <a:extLst xmlns:a="http://schemas.openxmlformats.org/drawingml/2006/main">
                <a:ext uri="{FF2B5EF4-FFF2-40B4-BE49-F238E27FC236}">
                  <a16:creationId xmlns:a16="http://schemas.microsoft.com/office/drawing/2014/main" id="{EEED17EB-1DD2-9DFB-451E-7A14F24D6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A blue and pink arrows&#10;&#10;AI-generated content may be incorrect.">
                      <a:extLst>
                        <a:ext uri="{FF2B5EF4-FFF2-40B4-BE49-F238E27FC236}">
                          <a16:creationId xmlns:a16="http://schemas.microsoft.com/office/drawing/2014/main" id="{EEED17EB-1DD2-9DFB-451E-7A14F24D655F}"/>
                        </a:ext>
                      </a:extLst>
                    </pic:cNvPr>
                    <pic:cNvPicPr>
                      <a:picLocks noChangeAspect="1"/>
                    </pic:cNvPicPr>
                  </pic:nvPicPr>
                  <pic:blipFill>
                    <a:blip r:embed="rId11"/>
                    <a:stretch>
                      <a:fillRect/>
                    </a:stretch>
                  </pic:blipFill>
                  <pic:spPr>
                    <a:xfrm>
                      <a:off x="0" y="0"/>
                      <a:ext cx="5688000" cy="1140485"/>
                    </a:xfrm>
                    <a:prstGeom prst="rect">
                      <a:avLst/>
                    </a:prstGeom>
                  </pic:spPr>
                </pic:pic>
              </a:graphicData>
            </a:graphic>
          </wp:inline>
        </w:drawing>
      </w:r>
    </w:p>
    <w:p w14:paraId="1ABDB729" w14:textId="77777777" w:rsidR="00363B4C" w:rsidRPr="00B045BF" w:rsidRDefault="00363B4C" w:rsidP="00363B4C">
      <w:pPr>
        <w:spacing w:after="0"/>
        <w:jc w:val="center"/>
        <w:rPr>
          <w:lang w:val="en-US"/>
        </w:rPr>
      </w:pPr>
      <w:r w:rsidRPr="007A7D6E">
        <w:rPr>
          <w:noProof/>
        </w:rPr>
        <w:drawing>
          <wp:inline distT="0" distB="0" distL="0" distR="0" wp14:anchorId="02D39B8E" wp14:editId="0B03427F">
            <wp:extent cx="5688000" cy="1872802"/>
            <wp:effectExtent l="0" t="0" r="8255" b="0"/>
            <wp:docPr id="19" name="Picture 18" descr="A screenshot of a video game&#10;&#10;AI-generated content may be incorrect.">
              <a:extLst xmlns:a="http://schemas.openxmlformats.org/drawingml/2006/main">
                <a:ext uri="{FF2B5EF4-FFF2-40B4-BE49-F238E27FC236}">
                  <a16:creationId xmlns:a16="http://schemas.microsoft.com/office/drawing/2014/main" id="{F6EEEC3E-E7D2-A355-5DB2-D760733BD3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screenshot of a video game&#10;&#10;AI-generated content may be incorrect.">
                      <a:extLst>
                        <a:ext uri="{FF2B5EF4-FFF2-40B4-BE49-F238E27FC236}">
                          <a16:creationId xmlns:a16="http://schemas.microsoft.com/office/drawing/2014/main" id="{F6EEEC3E-E7D2-A355-5DB2-D760733BD3C2}"/>
                        </a:ext>
                      </a:extLst>
                    </pic:cNvPr>
                    <pic:cNvPicPr>
                      <a:picLocks noChangeAspect="1"/>
                    </pic:cNvPicPr>
                  </pic:nvPicPr>
                  <pic:blipFill>
                    <a:blip r:embed="rId12"/>
                    <a:srcRect l="742" b="3303"/>
                    <a:stretch>
                      <a:fillRect/>
                    </a:stretch>
                  </pic:blipFill>
                  <pic:spPr>
                    <a:xfrm>
                      <a:off x="0" y="0"/>
                      <a:ext cx="5688000" cy="1872802"/>
                    </a:xfrm>
                    <a:prstGeom prst="rect">
                      <a:avLst/>
                    </a:prstGeom>
                  </pic:spPr>
                </pic:pic>
              </a:graphicData>
            </a:graphic>
          </wp:inline>
        </w:drawing>
      </w:r>
    </w:p>
    <w:p w14:paraId="7B2872C3" w14:textId="77777777" w:rsidR="00363B4C" w:rsidRDefault="00363B4C" w:rsidP="00363B4C">
      <w:pPr>
        <w:pStyle w:val="Caption"/>
        <w:jc w:val="both"/>
        <w:rPr>
          <w:rFonts w:cs="Times New Roman"/>
          <w:lang w:val="en-US"/>
        </w:rPr>
      </w:pPr>
      <w:r w:rsidRPr="444D74D3">
        <w:rPr>
          <w:lang w:val="en-US"/>
        </w:rPr>
        <w:t xml:space="preserve">Figure S5: </w:t>
      </w:r>
      <w:r w:rsidRPr="444D74D3">
        <w:rPr>
          <w:b/>
          <w:bCs/>
          <w:lang w:val="en-US"/>
        </w:rPr>
        <w:t>Schematic of the front-blotting procedure using a torn filter paper edge and assessment of cryo-EM grid usability following front-side blotting optimization.</w:t>
      </w:r>
      <w:r w:rsidRPr="444D74D3">
        <w:rPr>
          <w:lang w:val="en-US"/>
        </w:rPr>
        <w:t xml:space="preserve"> To reduce ice thickness and improve grid quality for cryo-electron tomography, an additional manual front-side blotting step was introduced: 1) A standard filter paper is torn by hand to create a jagged edge with irregular protrusions that enhances the capability of liquid absorbance. 2) This torn edge is used to gently blot the front side of the EM grid near the area containing the cell monolayer. 3) Blotting is performed perpendicular to the grid surface and closer to the tweezers, targeting the periphery without disturbing the central cell area. The histogram on the right shows the evaluation of 22 cryo-EM grids prepared using the modified front-side blotting approach with torn filter paper edges. Each grid was assessed for vitrification of quality and suitability for cryo-ET and scored based on the proportion of usable area suitable for data acquisition. The histogram displays the distribution of usability grades across all tested grids. Notably, most of the grids were usable for image acquisition. This demonstrates the effectiveness of the front-side blotting method in consistently producing grids with proper ice thickness. </w:t>
      </w:r>
      <w:r w:rsidRPr="444D74D3">
        <w:rPr>
          <w:b/>
          <w:bCs/>
          <w:lang w:val="en-US"/>
        </w:rPr>
        <w:t>Bottom panel</w:t>
      </w:r>
      <w:r w:rsidRPr="444D74D3">
        <w:rPr>
          <w:lang w:val="en-US"/>
        </w:rPr>
        <w:t xml:space="preserve"> shows representative examples of intuitive usability grades assigned to grids based on stitched low-magnification overviews. The white rectangle outlines a potential trace of the blotting edge, supporting the directional effect of perpendicular front-side blotting.</w:t>
      </w:r>
    </w:p>
    <w:p w14:paraId="59C79EFF" w14:textId="77777777" w:rsidR="00363B4C" w:rsidRPr="00AF7004" w:rsidRDefault="00363B4C" w:rsidP="00363B4C">
      <w:pPr>
        <w:rPr>
          <w:lang w:val="en-US"/>
        </w:rPr>
      </w:pPr>
    </w:p>
    <w:p w14:paraId="5A2B75BA" w14:textId="77777777" w:rsidR="00363B4C" w:rsidRPr="000838CE" w:rsidRDefault="00363B4C" w:rsidP="00363B4C">
      <w:pPr>
        <w:pStyle w:val="Heading4"/>
        <w:rPr>
          <w:b/>
          <w:bCs/>
          <w:lang w:val="en-US"/>
        </w:rPr>
      </w:pPr>
      <w:r w:rsidRPr="000838CE">
        <w:rPr>
          <w:rFonts w:eastAsia="Times New Roman"/>
          <w:b/>
          <w:bCs/>
          <w:lang w:val="en-US"/>
        </w:rPr>
        <w:lastRenderedPageBreak/>
        <w:t xml:space="preserve">Cryo-ET of </w:t>
      </w:r>
      <w:proofErr w:type="spellStart"/>
      <w:r>
        <w:rPr>
          <w:rFonts w:eastAsia="Times New Roman"/>
          <w:b/>
          <w:bCs/>
          <w:lang w:val="en-US"/>
        </w:rPr>
        <w:t>U</w:t>
      </w:r>
      <w:r w:rsidRPr="000838CE">
        <w:rPr>
          <w:rFonts w:eastAsia="Times New Roman"/>
          <w:b/>
          <w:bCs/>
          <w:lang w:val="en-US"/>
        </w:rPr>
        <w:t>ltrastructures</w:t>
      </w:r>
      <w:proofErr w:type="spellEnd"/>
      <w:r w:rsidRPr="000838CE">
        <w:rPr>
          <w:rFonts w:eastAsia="Times New Roman"/>
          <w:b/>
          <w:bCs/>
          <w:lang w:val="en-US"/>
        </w:rPr>
        <w:t xml:space="preserve"> in </w:t>
      </w:r>
      <w:proofErr w:type="spellStart"/>
      <w:r w:rsidRPr="000838CE">
        <w:rPr>
          <w:rFonts w:eastAsia="Times New Roman"/>
          <w:b/>
          <w:bCs/>
          <w:lang w:val="en-US"/>
        </w:rPr>
        <w:t>iMNs</w:t>
      </w:r>
      <w:proofErr w:type="spellEnd"/>
    </w:p>
    <w:p w14:paraId="50503949" w14:textId="77777777" w:rsidR="00363B4C" w:rsidRPr="00783E66" w:rsidRDefault="00363B4C" w:rsidP="00363B4C">
      <w:pPr>
        <w:keepNext/>
        <w:spacing w:after="0"/>
        <w:jc w:val="center"/>
      </w:pPr>
      <w:r w:rsidRPr="008125B6">
        <w:rPr>
          <w:noProof/>
        </w:rPr>
        <w:drawing>
          <wp:inline distT="0" distB="0" distL="0" distR="0" wp14:anchorId="171AC68D" wp14:editId="793FD378">
            <wp:extent cx="5617858" cy="5616000"/>
            <wp:effectExtent l="0" t="0" r="0" b="0"/>
            <wp:docPr id="56" name="Picture 55" descr="A collage of images of a variety of objects&#10;&#10;AI-generated content may be incorrect.">
              <a:extLst xmlns:a="http://schemas.openxmlformats.org/drawingml/2006/main">
                <a:ext uri="{FF2B5EF4-FFF2-40B4-BE49-F238E27FC236}">
                  <a16:creationId xmlns:a16="http://schemas.microsoft.com/office/drawing/2014/main" id="{3044923C-7F9C-F1F0-3CE7-694FB01BD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descr="A collage of images of a variety of objects&#10;&#10;AI-generated content may be incorrect.">
                      <a:extLst>
                        <a:ext uri="{FF2B5EF4-FFF2-40B4-BE49-F238E27FC236}">
                          <a16:creationId xmlns:a16="http://schemas.microsoft.com/office/drawing/2014/main" id="{3044923C-7F9C-F1F0-3CE7-694FB01BD372}"/>
                        </a:ext>
                      </a:extLst>
                    </pic:cNvPr>
                    <pic:cNvPicPr>
                      <a:picLocks noChangeAspect="1"/>
                    </pic:cNvPicPr>
                  </pic:nvPicPr>
                  <pic:blipFill>
                    <a:blip r:embed="rId13"/>
                    <a:srcRect t="598"/>
                    <a:stretch>
                      <a:fillRect/>
                    </a:stretch>
                  </pic:blipFill>
                  <pic:spPr>
                    <a:xfrm>
                      <a:off x="0" y="0"/>
                      <a:ext cx="5617858" cy="5616000"/>
                    </a:xfrm>
                    <a:prstGeom prst="rect">
                      <a:avLst/>
                    </a:prstGeom>
                  </pic:spPr>
                </pic:pic>
              </a:graphicData>
            </a:graphic>
          </wp:inline>
        </w:drawing>
      </w:r>
    </w:p>
    <w:p w14:paraId="30B281C2" w14:textId="77777777" w:rsidR="00363B4C" w:rsidRPr="00AF7004" w:rsidRDefault="00363B4C" w:rsidP="00363B4C">
      <w:pPr>
        <w:pStyle w:val="Caption"/>
        <w:jc w:val="both"/>
        <w:rPr>
          <w:lang w:val="en-US"/>
        </w:rPr>
      </w:pPr>
      <w:r w:rsidRPr="444D74D3">
        <w:rPr>
          <w:lang w:val="en-US"/>
        </w:rPr>
        <w:t xml:space="preserve">Figure S6: </w:t>
      </w:r>
      <w:r w:rsidRPr="444D74D3">
        <w:rPr>
          <w:b/>
          <w:bCs/>
          <w:lang w:val="en-US"/>
        </w:rPr>
        <w:t>Cryo-ET reveals the ultrastructural organization of cytoskeletal and organelle networks in neuronal extensions.</w:t>
      </w:r>
      <w:r w:rsidRPr="444D74D3">
        <w:rPr>
          <w:lang w:val="en-US"/>
        </w:rPr>
        <w:t xml:space="preserve"> Representative tomographic slices from axonal and dendritic regions of </w:t>
      </w:r>
      <w:proofErr w:type="spellStart"/>
      <w:r w:rsidRPr="444D74D3">
        <w:rPr>
          <w:lang w:val="en-US"/>
        </w:rPr>
        <w:t>iMNs</w:t>
      </w:r>
      <w:proofErr w:type="spellEnd"/>
      <w:r w:rsidRPr="444D74D3">
        <w:rPr>
          <w:lang w:val="en-US"/>
        </w:rPr>
        <w:t xml:space="preserve"> show a well-organized cytoskeletal architecture. Parallel bundles of microtubules (</w:t>
      </w:r>
      <w:proofErr w:type="spellStart"/>
      <w:r w:rsidRPr="444D74D3">
        <w:rPr>
          <w:lang w:val="en-US"/>
        </w:rPr>
        <w:t>Mtb</w:t>
      </w:r>
      <w:proofErr w:type="spellEnd"/>
      <w:r w:rsidRPr="444D74D3">
        <w:rPr>
          <w:lang w:val="en-US"/>
        </w:rPr>
        <w:t xml:space="preserve">) serve as structural tracks for intracellular transport, interspersed with elliptical </w:t>
      </w:r>
      <w:proofErr w:type="spellStart"/>
      <w:r w:rsidRPr="444D74D3">
        <w:rPr>
          <w:lang w:val="en-US"/>
        </w:rPr>
        <w:t>vesicles</w:t>
      </w:r>
      <w:proofErr w:type="spellEnd"/>
      <w:r w:rsidRPr="444D74D3">
        <w:rPr>
          <w:lang w:val="en-US"/>
        </w:rPr>
        <w:t xml:space="preserve"> (EVs) likely in transit. Neurofilaments (</w:t>
      </w:r>
      <w:proofErr w:type="spellStart"/>
      <w:r w:rsidRPr="444D74D3">
        <w:rPr>
          <w:lang w:val="en-US"/>
        </w:rPr>
        <w:t>Nf</w:t>
      </w:r>
      <w:proofErr w:type="spellEnd"/>
      <w:r w:rsidRPr="444D74D3">
        <w:rPr>
          <w:lang w:val="en-US"/>
        </w:rPr>
        <w:t>) and actin filaments (</w:t>
      </w:r>
      <w:proofErr w:type="spellStart"/>
      <w:r w:rsidRPr="444D74D3">
        <w:rPr>
          <w:lang w:val="en-US"/>
        </w:rPr>
        <w:t>AcBu</w:t>
      </w:r>
      <w:proofErr w:type="spellEnd"/>
      <w:r w:rsidRPr="444D74D3">
        <w:rPr>
          <w:lang w:val="en-US"/>
        </w:rPr>
        <w:t>) provide additional mechanical support and remodeling flexibility. Smooth Endoplasmic reticulum (</w:t>
      </w:r>
      <w:proofErr w:type="spellStart"/>
      <w:r w:rsidRPr="444D74D3">
        <w:rPr>
          <w:lang w:val="en-US"/>
        </w:rPr>
        <w:t>sER</w:t>
      </w:r>
      <w:proofErr w:type="spellEnd"/>
      <w:r w:rsidRPr="444D74D3">
        <w:rPr>
          <w:lang w:val="en-US"/>
        </w:rPr>
        <w:t>) tubules are distributed throughout the cytoplasm and neurites, often near mitochondria (Mit) with clearly defined cristae. Multivesicular bodies (MVBs) and various stages of lysosomal compartments, including lysosomes (Lys) and autolysosomes (Alys), reflect active degradation and membrane trafficking. The presence of extracellular Lys and Alys may result from either plasma membrane fusion events or cellular lysis. This integrated framework highlights the complexity of intracellular transport, organelle distribution, and membrane dynamics in neuronal processes.</w:t>
      </w:r>
    </w:p>
    <w:p w14:paraId="4B28B9F4" w14:textId="77777777" w:rsidR="00363B4C" w:rsidRDefault="00363B4C" w:rsidP="00363B4C">
      <w:pPr>
        <w:rPr>
          <w:lang w:val="en-US"/>
        </w:rPr>
      </w:pPr>
    </w:p>
    <w:p w14:paraId="7472B49B" w14:textId="77777777" w:rsidR="00363B4C" w:rsidRPr="008A7CCD" w:rsidRDefault="00363B4C" w:rsidP="00363B4C">
      <w:pPr>
        <w:pStyle w:val="Heading4"/>
        <w:rPr>
          <w:b/>
          <w:bCs/>
          <w:lang w:val="en-US"/>
        </w:rPr>
      </w:pPr>
      <w:r w:rsidRPr="008A7CCD">
        <w:rPr>
          <w:rStyle w:val="SubtitleChar"/>
          <w:b/>
          <w:bCs/>
          <w:color w:val="0F4761" w:themeColor="accent1" w:themeShade="BF"/>
          <w:spacing w:val="0"/>
          <w:sz w:val="22"/>
          <w:szCs w:val="22"/>
          <w:lang w:val="en-US"/>
        </w:rPr>
        <w:lastRenderedPageBreak/>
        <w:t xml:space="preserve">Cryo-ET of </w:t>
      </w:r>
      <w:r>
        <w:rPr>
          <w:rStyle w:val="SubtitleChar"/>
          <w:b/>
          <w:bCs/>
          <w:color w:val="0F4761" w:themeColor="accent1" w:themeShade="BF"/>
          <w:spacing w:val="0"/>
          <w:sz w:val="22"/>
          <w:szCs w:val="22"/>
          <w:lang w:val="en-US"/>
        </w:rPr>
        <w:t>E</w:t>
      </w:r>
      <w:r w:rsidRPr="008A7CCD">
        <w:rPr>
          <w:rStyle w:val="SubtitleChar"/>
          <w:b/>
          <w:bCs/>
          <w:color w:val="0F4761" w:themeColor="accent1" w:themeShade="BF"/>
          <w:spacing w:val="0"/>
          <w:sz w:val="22"/>
          <w:szCs w:val="22"/>
          <w:lang w:val="en-US"/>
        </w:rPr>
        <w:t xml:space="preserve">arly </w:t>
      </w:r>
      <w:r>
        <w:rPr>
          <w:rStyle w:val="SubtitleChar"/>
          <w:b/>
          <w:bCs/>
          <w:color w:val="0F4761" w:themeColor="accent1" w:themeShade="BF"/>
          <w:spacing w:val="0"/>
          <w:sz w:val="22"/>
          <w:szCs w:val="22"/>
          <w:lang w:val="en-US"/>
        </w:rPr>
        <w:t>P</w:t>
      </w:r>
      <w:r w:rsidRPr="008A7CCD">
        <w:rPr>
          <w:rStyle w:val="SubtitleChar"/>
          <w:b/>
          <w:bCs/>
          <w:color w:val="0F4761" w:themeColor="accent1" w:themeShade="BF"/>
          <w:spacing w:val="0"/>
          <w:sz w:val="22"/>
          <w:szCs w:val="22"/>
          <w:lang w:val="en-US"/>
        </w:rPr>
        <w:t xml:space="preserve">resynaptic </w:t>
      </w:r>
      <w:r>
        <w:rPr>
          <w:rStyle w:val="SubtitleChar"/>
          <w:b/>
          <w:bCs/>
          <w:color w:val="0F4761" w:themeColor="accent1" w:themeShade="BF"/>
          <w:spacing w:val="0"/>
          <w:sz w:val="22"/>
          <w:szCs w:val="22"/>
          <w:lang w:val="en-US"/>
        </w:rPr>
        <w:t>O</w:t>
      </w:r>
      <w:r w:rsidRPr="008A7CCD">
        <w:rPr>
          <w:rStyle w:val="SubtitleChar"/>
          <w:b/>
          <w:bCs/>
          <w:color w:val="0F4761" w:themeColor="accent1" w:themeShade="BF"/>
          <w:spacing w:val="0"/>
          <w:sz w:val="22"/>
          <w:szCs w:val="22"/>
          <w:lang w:val="en-US"/>
        </w:rPr>
        <w:t xml:space="preserve">rganization in </w:t>
      </w:r>
      <w:proofErr w:type="spellStart"/>
      <w:r w:rsidRPr="008A7CCD">
        <w:rPr>
          <w:rStyle w:val="SubtitleChar"/>
          <w:b/>
          <w:bCs/>
          <w:color w:val="0F4761" w:themeColor="accent1" w:themeShade="BF"/>
          <w:spacing w:val="0"/>
          <w:sz w:val="22"/>
          <w:szCs w:val="22"/>
          <w:lang w:val="en-US"/>
        </w:rPr>
        <w:t>iMNs</w:t>
      </w:r>
      <w:proofErr w:type="spellEnd"/>
    </w:p>
    <w:p w14:paraId="6F879EE2" w14:textId="77777777" w:rsidR="00363B4C" w:rsidRDefault="00363B4C" w:rsidP="00363B4C">
      <w:pPr>
        <w:spacing w:after="0"/>
        <w:jc w:val="center"/>
        <w:rPr>
          <w:lang w:val="en-US"/>
        </w:rPr>
      </w:pPr>
      <w:r w:rsidRPr="00B72972">
        <w:rPr>
          <w:noProof/>
        </w:rPr>
        <w:drawing>
          <wp:inline distT="0" distB="0" distL="0" distR="0" wp14:anchorId="20A0A5C2" wp14:editId="4E03C8A3">
            <wp:extent cx="4500716" cy="2256312"/>
            <wp:effectExtent l="0" t="0" r="0" b="0"/>
            <wp:docPr id="6" name="Picture 5" descr="A close up of a microscope&#10;&#10;AI-generated content may be incorrect.">
              <a:extLst xmlns:a="http://schemas.openxmlformats.org/drawingml/2006/main">
                <a:ext uri="{FF2B5EF4-FFF2-40B4-BE49-F238E27FC236}">
                  <a16:creationId xmlns:a16="http://schemas.microsoft.com/office/drawing/2014/main" id="{F247885E-6352-DD4C-E901-D34152C385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microscope&#10;&#10;AI-generated content may be incorrect.">
                      <a:extLst>
                        <a:ext uri="{FF2B5EF4-FFF2-40B4-BE49-F238E27FC236}">
                          <a16:creationId xmlns:a16="http://schemas.microsoft.com/office/drawing/2014/main" id="{F247885E-6352-DD4C-E901-D34152C38578}"/>
                        </a:ext>
                      </a:extLst>
                    </pic:cNvPr>
                    <pic:cNvPicPr>
                      <a:picLocks noChangeAspect="1"/>
                    </pic:cNvPicPr>
                  </pic:nvPicPr>
                  <pic:blipFill>
                    <a:blip r:embed="rId14"/>
                    <a:stretch>
                      <a:fillRect/>
                    </a:stretch>
                  </pic:blipFill>
                  <pic:spPr>
                    <a:xfrm>
                      <a:off x="0" y="0"/>
                      <a:ext cx="4540391" cy="2276202"/>
                    </a:xfrm>
                    <a:prstGeom prst="rect">
                      <a:avLst/>
                    </a:prstGeom>
                  </pic:spPr>
                </pic:pic>
              </a:graphicData>
            </a:graphic>
          </wp:inline>
        </w:drawing>
      </w:r>
    </w:p>
    <w:p w14:paraId="40E7389E" w14:textId="77777777" w:rsidR="00363B4C" w:rsidRDefault="00363B4C" w:rsidP="00363B4C">
      <w:pPr>
        <w:jc w:val="both"/>
        <w:rPr>
          <w:i/>
          <w:iCs/>
          <w:color w:val="0E2841" w:themeColor="text2"/>
          <w:sz w:val="18"/>
          <w:szCs w:val="18"/>
          <w:lang w:val="en-US"/>
        </w:rPr>
      </w:pPr>
      <w:r>
        <w:rPr>
          <w:i/>
          <w:iCs/>
          <w:color w:val="0E2841" w:themeColor="text2"/>
          <w:sz w:val="18"/>
          <w:szCs w:val="18"/>
          <w:lang w:val="en-US"/>
        </w:rPr>
        <w:t xml:space="preserve">Figure S7: </w:t>
      </w:r>
      <w:r w:rsidRPr="00A90F1E">
        <w:rPr>
          <w:b/>
          <w:bCs/>
          <w:i/>
          <w:iCs/>
          <w:color w:val="0E2841" w:themeColor="text2"/>
          <w:sz w:val="18"/>
          <w:szCs w:val="18"/>
          <w:lang w:val="en-US"/>
        </w:rPr>
        <w:t xml:space="preserve">Cryo-ET of </w:t>
      </w:r>
      <w:proofErr w:type="spellStart"/>
      <w:r w:rsidRPr="00A90F1E">
        <w:rPr>
          <w:b/>
          <w:bCs/>
          <w:i/>
          <w:iCs/>
          <w:color w:val="0E2841" w:themeColor="text2"/>
          <w:sz w:val="18"/>
          <w:szCs w:val="18"/>
          <w:lang w:val="en-US"/>
        </w:rPr>
        <w:t>iMNs</w:t>
      </w:r>
      <w:proofErr w:type="spellEnd"/>
      <w:r w:rsidRPr="00A90F1E">
        <w:rPr>
          <w:b/>
          <w:bCs/>
          <w:i/>
          <w:iCs/>
          <w:color w:val="0E2841" w:themeColor="text2"/>
          <w:sz w:val="18"/>
          <w:szCs w:val="18"/>
          <w:lang w:val="en-US"/>
        </w:rPr>
        <w:t xml:space="preserve"> at DPD14 reveals early stages of presynaptic organization in thin cellular compartments.</w:t>
      </w:r>
      <w:r w:rsidRPr="00C07E19">
        <w:rPr>
          <w:i/>
          <w:iCs/>
          <w:color w:val="0E2841" w:themeColor="text2"/>
          <w:sz w:val="18"/>
          <w:szCs w:val="18"/>
          <w:lang w:val="en-US"/>
        </w:rPr>
        <w:t xml:space="preserve"> </w:t>
      </w:r>
      <w:r w:rsidRPr="003C0F3B">
        <w:rPr>
          <w:b/>
          <w:bCs/>
          <w:i/>
          <w:iCs/>
          <w:color w:val="0E2841" w:themeColor="text2"/>
          <w:sz w:val="18"/>
          <w:szCs w:val="18"/>
          <w:lang w:val="en-US"/>
        </w:rPr>
        <w:t>Left:</w:t>
      </w:r>
      <w:r w:rsidRPr="00C07E19">
        <w:rPr>
          <w:i/>
          <w:iCs/>
          <w:color w:val="0E2841" w:themeColor="text2"/>
          <w:sz w:val="18"/>
          <w:szCs w:val="18"/>
          <w:lang w:val="en-US"/>
        </w:rPr>
        <w:t xml:space="preserve"> Representative tomographic slice showing a nascent presynaptic region enriched with small, spherical SVs clustered near the plasma membrane. The reduced sample thickness provides enhanced contrast and preservation of ultrastructural features. </w:t>
      </w:r>
      <w:r w:rsidRPr="003C0F3B">
        <w:rPr>
          <w:b/>
          <w:bCs/>
          <w:i/>
          <w:iCs/>
          <w:color w:val="0E2841" w:themeColor="text2"/>
          <w:sz w:val="18"/>
          <w:szCs w:val="18"/>
          <w:lang w:val="en-US"/>
        </w:rPr>
        <w:t>Right:</w:t>
      </w:r>
      <w:r w:rsidRPr="00C07E19">
        <w:rPr>
          <w:i/>
          <w:iCs/>
          <w:color w:val="0E2841" w:themeColor="text2"/>
          <w:sz w:val="18"/>
          <w:szCs w:val="18"/>
          <w:lang w:val="en-US"/>
        </w:rPr>
        <w:t xml:space="preserve"> Three-dimensional segmentation of the same tomogram illustrates the spatial organization of presynaptic components, including SVs (yellow), m</w:t>
      </w:r>
      <w:r>
        <w:rPr>
          <w:i/>
          <w:iCs/>
          <w:color w:val="0E2841" w:themeColor="text2"/>
          <w:sz w:val="18"/>
          <w:szCs w:val="18"/>
          <w:lang w:val="en-US"/>
        </w:rPr>
        <w:t>icrotubules</w:t>
      </w:r>
      <w:r w:rsidRPr="00C07E19">
        <w:rPr>
          <w:i/>
          <w:iCs/>
          <w:color w:val="0E2841" w:themeColor="text2"/>
          <w:sz w:val="18"/>
          <w:szCs w:val="18"/>
          <w:lang w:val="en-US"/>
        </w:rPr>
        <w:t xml:space="preserve"> (purple), plasma membrane (dark blue), and additional membranous organelles such as ER or large vesicles (green). The close packing and spatial confinement of SVs indicate the formation of an early vesicle pool prior to full synaptic maturation.</w:t>
      </w:r>
    </w:p>
    <w:p w14:paraId="0173CA43" w14:textId="77777777" w:rsidR="00363B4C" w:rsidRPr="0088369E" w:rsidRDefault="00363B4C" w:rsidP="00363B4C">
      <w:pPr>
        <w:jc w:val="both"/>
        <w:rPr>
          <w:lang w:val="en-US"/>
        </w:rPr>
      </w:pPr>
    </w:p>
    <w:p w14:paraId="52231D0B" w14:textId="77777777" w:rsidR="00363B4C" w:rsidRPr="000838CE" w:rsidRDefault="00363B4C" w:rsidP="00363B4C">
      <w:pPr>
        <w:pStyle w:val="Heading4"/>
        <w:rPr>
          <w:b/>
          <w:bCs/>
          <w:lang w:val="en-US"/>
        </w:rPr>
      </w:pPr>
      <w:r w:rsidRPr="000838CE">
        <w:rPr>
          <w:b/>
          <w:bCs/>
          <w:lang w:val="en-US"/>
        </w:rPr>
        <w:t xml:space="preserve">Synaptic </w:t>
      </w:r>
      <w:r>
        <w:rPr>
          <w:b/>
          <w:bCs/>
          <w:lang w:val="en-US"/>
        </w:rPr>
        <w:t>A</w:t>
      </w:r>
      <w:r w:rsidRPr="000838CE">
        <w:rPr>
          <w:b/>
          <w:bCs/>
          <w:lang w:val="en-US"/>
        </w:rPr>
        <w:t>ctivity-</w:t>
      </w:r>
      <w:r>
        <w:rPr>
          <w:b/>
          <w:bCs/>
          <w:lang w:val="en-US"/>
        </w:rPr>
        <w:t>D</w:t>
      </w:r>
      <w:r w:rsidRPr="000838CE">
        <w:rPr>
          <w:b/>
          <w:bCs/>
          <w:lang w:val="en-US"/>
        </w:rPr>
        <w:t xml:space="preserve">ependent </w:t>
      </w:r>
      <w:r>
        <w:rPr>
          <w:b/>
          <w:bCs/>
          <w:lang w:val="en-US"/>
        </w:rPr>
        <w:t>E</w:t>
      </w:r>
      <w:r w:rsidRPr="000838CE">
        <w:rPr>
          <w:b/>
          <w:bCs/>
          <w:lang w:val="en-US"/>
        </w:rPr>
        <w:t xml:space="preserve">ndocytosis </w:t>
      </w:r>
      <w:r>
        <w:rPr>
          <w:b/>
          <w:bCs/>
          <w:lang w:val="en-US"/>
        </w:rPr>
        <w:t>R</w:t>
      </w:r>
      <w:r w:rsidRPr="000838CE">
        <w:rPr>
          <w:b/>
          <w:bCs/>
          <w:lang w:val="en-US"/>
        </w:rPr>
        <w:t xml:space="preserve">evealed by </w:t>
      </w:r>
      <w:r>
        <w:rPr>
          <w:b/>
          <w:bCs/>
          <w:lang w:val="en-US"/>
        </w:rPr>
        <w:t>F</w:t>
      </w:r>
      <w:r w:rsidRPr="000838CE">
        <w:rPr>
          <w:b/>
          <w:bCs/>
          <w:lang w:val="en-US"/>
        </w:rPr>
        <w:t xml:space="preserve">erritin </w:t>
      </w:r>
      <w:r>
        <w:rPr>
          <w:b/>
          <w:bCs/>
          <w:lang w:val="en-US"/>
        </w:rPr>
        <w:t>U</w:t>
      </w:r>
      <w:r w:rsidRPr="000838CE">
        <w:rPr>
          <w:b/>
          <w:bCs/>
          <w:lang w:val="en-US"/>
        </w:rPr>
        <w:t xml:space="preserve">ptake in </w:t>
      </w:r>
      <w:proofErr w:type="spellStart"/>
      <w:r w:rsidRPr="000838CE">
        <w:rPr>
          <w:b/>
          <w:bCs/>
          <w:lang w:val="en-US"/>
        </w:rPr>
        <w:t>iMNs</w:t>
      </w:r>
      <w:proofErr w:type="spellEnd"/>
    </w:p>
    <w:p w14:paraId="281E0B63" w14:textId="77777777" w:rsidR="00363B4C" w:rsidRDefault="00363B4C" w:rsidP="00363B4C">
      <w:pPr>
        <w:spacing w:after="0"/>
        <w:jc w:val="center"/>
        <w:rPr>
          <w:lang w:val="en-US"/>
        </w:rPr>
      </w:pPr>
      <w:r w:rsidRPr="00C55F41">
        <w:rPr>
          <w:noProof/>
        </w:rPr>
        <w:drawing>
          <wp:inline distT="0" distB="0" distL="0" distR="0" wp14:anchorId="0234E1CC" wp14:editId="41C6F4A6">
            <wp:extent cx="5688000" cy="2210746"/>
            <wp:effectExtent l="0" t="0" r="8255" b="0"/>
            <wp:docPr id="40" name="Picture 39" descr="A close-up of a greyscale image of a person&#10;&#10;AI-generated content may be incorrect.">
              <a:extLst xmlns:a="http://schemas.openxmlformats.org/drawingml/2006/main">
                <a:ext uri="{FF2B5EF4-FFF2-40B4-BE49-F238E27FC236}">
                  <a16:creationId xmlns:a16="http://schemas.microsoft.com/office/drawing/2014/main" id="{B2CA5C78-2A1E-9E0E-32D6-4C52EF0D66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A close-up of a greyscale image of a person&#10;&#10;AI-generated content may be incorrect.">
                      <a:extLst>
                        <a:ext uri="{FF2B5EF4-FFF2-40B4-BE49-F238E27FC236}">
                          <a16:creationId xmlns:a16="http://schemas.microsoft.com/office/drawing/2014/main" id="{B2CA5C78-2A1E-9E0E-32D6-4C52EF0D6643}"/>
                        </a:ext>
                      </a:extLst>
                    </pic:cNvPr>
                    <pic:cNvPicPr>
                      <a:picLocks noChangeAspect="1"/>
                    </pic:cNvPicPr>
                  </pic:nvPicPr>
                  <pic:blipFill>
                    <a:blip r:embed="rId15"/>
                    <a:stretch>
                      <a:fillRect/>
                    </a:stretch>
                  </pic:blipFill>
                  <pic:spPr>
                    <a:xfrm>
                      <a:off x="0" y="0"/>
                      <a:ext cx="5688000" cy="2210746"/>
                    </a:xfrm>
                    <a:prstGeom prst="rect">
                      <a:avLst/>
                    </a:prstGeom>
                  </pic:spPr>
                </pic:pic>
              </a:graphicData>
            </a:graphic>
          </wp:inline>
        </w:drawing>
      </w:r>
    </w:p>
    <w:p w14:paraId="23A7927C" w14:textId="77777777" w:rsidR="00363B4C" w:rsidRDefault="00363B4C" w:rsidP="00363B4C">
      <w:pPr>
        <w:pStyle w:val="Caption"/>
        <w:jc w:val="both"/>
        <w:rPr>
          <w:lang w:val="en-US"/>
        </w:rPr>
      </w:pPr>
      <w:r w:rsidRPr="000B20A7">
        <w:rPr>
          <w:lang w:val="en-US"/>
        </w:rPr>
        <w:t>Figure S</w:t>
      </w:r>
      <w:r>
        <w:rPr>
          <w:lang w:val="en-US"/>
        </w:rPr>
        <w:t xml:space="preserve">8: </w:t>
      </w:r>
      <w:r w:rsidRPr="00885CD5">
        <w:rPr>
          <w:b/>
          <w:bCs/>
          <w:lang w:val="en-US"/>
        </w:rPr>
        <w:t xml:space="preserve">Visualization of synaptic activity-dependent endocytosis in </w:t>
      </w:r>
      <w:proofErr w:type="spellStart"/>
      <w:r w:rsidRPr="00885CD5">
        <w:rPr>
          <w:b/>
          <w:bCs/>
          <w:lang w:val="en-US"/>
        </w:rPr>
        <w:t>iMNs</w:t>
      </w:r>
      <w:proofErr w:type="spellEnd"/>
      <w:r w:rsidRPr="00885CD5">
        <w:rPr>
          <w:b/>
          <w:bCs/>
          <w:lang w:val="en-US"/>
        </w:rPr>
        <w:t xml:space="preserve"> using </w:t>
      </w:r>
      <w:proofErr w:type="spellStart"/>
      <w:r w:rsidRPr="00885CD5">
        <w:rPr>
          <w:b/>
          <w:bCs/>
          <w:lang w:val="en-US"/>
        </w:rPr>
        <w:t>cationized</w:t>
      </w:r>
      <w:proofErr w:type="spellEnd"/>
      <w:r w:rsidRPr="00885CD5">
        <w:rPr>
          <w:b/>
          <w:bCs/>
          <w:lang w:val="en-US"/>
        </w:rPr>
        <w:t xml:space="preserve"> ferritin uptake. </w:t>
      </w:r>
      <w:r w:rsidRPr="00885CD5">
        <w:rPr>
          <w:lang w:val="en-US"/>
        </w:rPr>
        <w:t xml:space="preserve">Transmission electron micrograph showing a neurite of an </w:t>
      </w:r>
      <w:proofErr w:type="spellStart"/>
      <w:r w:rsidRPr="00885CD5">
        <w:rPr>
          <w:lang w:val="en-US"/>
        </w:rPr>
        <w:t>iMN</w:t>
      </w:r>
      <w:proofErr w:type="spellEnd"/>
      <w:r w:rsidRPr="00885CD5">
        <w:rPr>
          <w:lang w:val="en-US"/>
        </w:rPr>
        <w:t xml:space="preserve"> following exposure to </w:t>
      </w:r>
      <w:proofErr w:type="spellStart"/>
      <w:r w:rsidRPr="00885CD5">
        <w:rPr>
          <w:lang w:val="en-US"/>
        </w:rPr>
        <w:t>cationized</w:t>
      </w:r>
      <w:proofErr w:type="spellEnd"/>
      <w:r w:rsidRPr="00885CD5">
        <w:rPr>
          <w:lang w:val="en-US"/>
        </w:rPr>
        <w:t xml:space="preserve"> ferritin and high-potassium stimulation. Electron-dense ferritin particles are visible within small vesicles and endosome-like compartments (50–200 nm in diameter), clustered near the plasma membrane. This labeling indicates successful internalization via activity-dependent endocytosis. The dense accumulation of labeled vesicle-like structures reflects active synaptic vesicle recycling.</w:t>
      </w:r>
      <w:r w:rsidRPr="00AD6AC8">
        <w:rPr>
          <w:lang w:val="en-US"/>
        </w:rPr>
        <w:t xml:space="preserve"> </w:t>
      </w:r>
      <w:r w:rsidRPr="00885CD5">
        <w:rPr>
          <w:b/>
          <w:bCs/>
          <w:lang w:val="en-US"/>
        </w:rPr>
        <w:t>Left panel</w:t>
      </w:r>
      <w:r w:rsidRPr="00AD6AC8">
        <w:rPr>
          <w:lang w:val="en-US"/>
        </w:rPr>
        <w:t xml:space="preserve"> shows conventional EM; </w:t>
      </w:r>
      <w:r w:rsidRPr="00885CD5">
        <w:rPr>
          <w:b/>
          <w:bCs/>
          <w:lang w:val="en-US"/>
        </w:rPr>
        <w:t>middle panel</w:t>
      </w:r>
      <w:r w:rsidRPr="00AD6AC8">
        <w:rPr>
          <w:lang w:val="en-US"/>
        </w:rPr>
        <w:t xml:space="preserve"> shows cryo-ET tomographic slice</w:t>
      </w:r>
      <w:r>
        <w:rPr>
          <w:lang w:val="en-US"/>
        </w:rPr>
        <w:t xml:space="preserve"> with the montages from different planes of the tomogram on the </w:t>
      </w:r>
      <w:r w:rsidRPr="00885CD5">
        <w:rPr>
          <w:b/>
          <w:bCs/>
          <w:lang w:val="en-US"/>
        </w:rPr>
        <w:t>right panel</w:t>
      </w:r>
      <w:r w:rsidRPr="00AD6AC8">
        <w:rPr>
          <w:lang w:val="en-US"/>
        </w:rPr>
        <w:t>.</w:t>
      </w:r>
      <w:r>
        <w:rPr>
          <w:lang w:val="en-US"/>
        </w:rPr>
        <w:t xml:space="preserve"> White filled arrows show the recycled vesicles containing ferritin particles, black filled arrow shows the possible synaptic connection with a gap of 20 nm, and black arrow heads show the actin filaments.</w:t>
      </w:r>
    </w:p>
    <w:p w14:paraId="6EAB5764" w14:textId="77777777" w:rsidR="00363B4C" w:rsidRPr="007128EB" w:rsidRDefault="00363B4C" w:rsidP="00363B4C">
      <w:pPr>
        <w:rPr>
          <w:lang w:val="en-US"/>
        </w:rPr>
      </w:pPr>
    </w:p>
    <w:p w14:paraId="3E4487F2" w14:textId="77777777" w:rsidR="00363B4C" w:rsidRPr="000838CE" w:rsidRDefault="00363B4C" w:rsidP="00363B4C">
      <w:pPr>
        <w:pStyle w:val="Heading4"/>
        <w:rPr>
          <w:b/>
          <w:bCs/>
          <w:lang w:val="en-US"/>
        </w:rPr>
      </w:pPr>
      <w:r w:rsidRPr="000838CE">
        <w:rPr>
          <w:b/>
          <w:bCs/>
          <w:lang w:val="en-US"/>
        </w:rPr>
        <w:lastRenderedPageBreak/>
        <w:t>Dose-</w:t>
      </w:r>
      <w:r>
        <w:rPr>
          <w:b/>
          <w:bCs/>
          <w:lang w:val="en-US"/>
        </w:rPr>
        <w:t>D</w:t>
      </w:r>
      <w:r w:rsidRPr="000838CE">
        <w:rPr>
          <w:b/>
          <w:bCs/>
          <w:lang w:val="en-US"/>
        </w:rPr>
        <w:t xml:space="preserve">ependent </w:t>
      </w:r>
      <w:r>
        <w:rPr>
          <w:b/>
          <w:bCs/>
          <w:lang w:val="en-US"/>
        </w:rPr>
        <w:t>N</w:t>
      </w:r>
      <w:r w:rsidRPr="000838CE">
        <w:rPr>
          <w:b/>
          <w:bCs/>
          <w:lang w:val="en-US"/>
        </w:rPr>
        <w:t xml:space="preserve">eurotoxicity of </w:t>
      </w:r>
      <w:r>
        <w:rPr>
          <w:b/>
          <w:bCs/>
          <w:lang w:val="en-US"/>
        </w:rPr>
        <w:t>G</w:t>
      </w:r>
      <w:r w:rsidRPr="000838CE">
        <w:rPr>
          <w:b/>
          <w:bCs/>
          <w:lang w:val="en-US"/>
        </w:rPr>
        <w:t xml:space="preserve">lutamatergic </w:t>
      </w:r>
      <w:r>
        <w:rPr>
          <w:b/>
          <w:bCs/>
          <w:lang w:val="en-US"/>
        </w:rPr>
        <w:t>M</w:t>
      </w:r>
      <w:r w:rsidRPr="000838CE">
        <w:rPr>
          <w:b/>
          <w:bCs/>
          <w:lang w:val="en-US"/>
        </w:rPr>
        <w:t xml:space="preserve">odulators in </w:t>
      </w:r>
      <w:proofErr w:type="spellStart"/>
      <w:r w:rsidRPr="000838CE">
        <w:rPr>
          <w:b/>
          <w:bCs/>
          <w:lang w:val="en-US"/>
        </w:rPr>
        <w:t>iMNs</w:t>
      </w:r>
      <w:proofErr w:type="spellEnd"/>
    </w:p>
    <w:p w14:paraId="6620290D" w14:textId="77777777" w:rsidR="00363B4C" w:rsidRPr="005C5035" w:rsidRDefault="00363B4C" w:rsidP="00363B4C">
      <w:pPr>
        <w:keepNext/>
        <w:spacing w:after="0"/>
        <w:jc w:val="center"/>
        <w:rPr>
          <w:lang w:val="en-US"/>
        </w:rPr>
      </w:pPr>
      <w:r w:rsidRPr="00EB5288">
        <w:rPr>
          <w:noProof/>
        </w:rPr>
        <w:drawing>
          <wp:inline distT="0" distB="0" distL="0" distR="0" wp14:anchorId="08A45E3A" wp14:editId="24BF79FD">
            <wp:extent cx="5400000" cy="2765476"/>
            <wp:effectExtent l="0" t="0" r="0" b="0"/>
            <wp:docPr id="1280771676" name="Picture 9" descr="A close-up of a microscope&#10;&#10;AI-generated content may be incorrect.">
              <a:extLst xmlns:a="http://schemas.openxmlformats.org/drawingml/2006/main">
                <a:ext uri="{FF2B5EF4-FFF2-40B4-BE49-F238E27FC236}">
                  <a16:creationId xmlns:a16="http://schemas.microsoft.com/office/drawing/2014/main" id="{E4D7782C-1D71-4D4F-71CB-15E6059DAA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71676" name="Picture 9" descr="A close-up of a microscope&#10;&#10;AI-generated content may be incorrect.">
                      <a:extLst>
                        <a:ext uri="{FF2B5EF4-FFF2-40B4-BE49-F238E27FC236}">
                          <a16:creationId xmlns:a16="http://schemas.microsoft.com/office/drawing/2014/main" id="{E4D7782C-1D71-4D4F-71CB-15E6059DAA75}"/>
                        </a:ext>
                      </a:extLst>
                    </pic:cNvPr>
                    <pic:cNvPicPr>
                      <a:picLocks noChangeAspect="1"/>
                    </pic:cNvPicPr>
                  </pic:nvPicPr>
                  <pic:blipFill>
                    <a:blip r:embed="rId16"/>
                    <a:srcRect l="803" t="967"/>
                    <a:stretch>
                      <a:fillRect/>
                    </a:stretch>
                  </pic:blipFill>
                  <pic:spPr>
                    <a:xfrm>
                      <a:off x="0" y="0"/>
                      <a:ext cx="5400000" cy="2765476"/>
                    </a:xfrm>
                    <a:prstGeom prst="rect">
                      <a:avLst/>
                    </a:prstGeom>
                  </pic:spPr>
                </pic:pic>
              </a:graphicData>
            </a:graphic>
          </wp:inline>
        </w:drawing>
      </w:r>
    </w:p>
    <w:p w14:paraId="7AD3C544" w14:textId="77777777" w:rsidR="00363B4C" w:rsidRDefault="00363B4C" w:rsidP="00363B4C">
      <w:pPr>
        <w:pStyle w:val="Caption"/>
        <w:jc w:val="both"/>
        <w:rPr>
          <w:lang w:val="en-US"/>
        </w:rPr>
      </w:pPr>
      <w:r w:rsidRPr="000B20A7">
        <w:rPr>
          <w:lang w:val="en-US"/>
        </w:rPr>
        <w:t>Figure S</w:t>
      </w:r>
      <w:r>
        <w:rPr>
          <w:lang w:val="en-US"/>
        </w:rPr>
        <w:t xml:space="preserve">9: </w:t>
      </w:r>
      <w:r w:rsidRPr="000E433C">
        <w:rPr>
          <w:b/>
          <w:bCs/>
          <w:lang w:val="en-US"/>
        </w:rPr>
        <w:t xml:space="preserve">Dose-dependent toxicity of glutamatergic neuromodulators in </w:t>
      </w:r>
      <w:proofErr w:type="spellStart"/>
      <w:r>
        <w:rPr>
          <w:b/>
          <w:bCs/>
          <w:lang w:val="en-US"/>
        </w:rPr>
        <w:t>iMNs</w:t>
      </w:r>
      <w:proofErr w:type="spellEnd"/>
      <w:r w:rsidRPr="000E433C">
        <w:rPr>
          <w:b/>
          <w:bCs/>
          <w:lang w:val="en-US"/>
        </w:rPr>
        <w:t>.</w:t>
      </w:r>
      <w:r>
        <w:rPr>
          <w:lang w:val="en-US"/>
        </w:rPr>
        <w:t xml:space="preserve"> </w:t>
      </w:r>
      <w:r w:rsidRPr="000E433C">
        <w:rPr>
          <w:lang w:val="en-US"/>
        </w:rPr>
        <w:t xml:space="preserve">Representative transmission electron micrographs of </w:t>
      </w:r>
      <w:proofErr w:type="spellStart"/>
      <w:r w:rsidRPr="000E433C">
        <w:rPr>
          <w:lang w:val="en-US"/>
        </w:rPr>
        <w:t>iMNs</w:t>
      </w:r>
      <w:proofErr w:type="spellEnd"/>
      <w:r w:rsidRPr="000E433C">
        <w:rPr>
          <w:lang w:val="en-US"/>
        </w:rPr>
        <w:t xml:space="preserve"> treated with CX516 and CDPPB at 1</w:t>
      </w:r>
      <w:r w:rsidRPr="000E433C">
        <w:rPr>
          <w:rFonts w:ascii="Arial" w:hAnsi="Arial" w:cs="Arial"/>
          <w:lang w:val="en-US"/>
        </w:rPr>
        <w:t> </w:t>
      </w:r>
      <w:proofErr w:type="spellStart"/>
      <w:r w:rsidRPr="000E433C">
        <w:rPr>
          <w:rFonts w:ascii="Aptos" w:hAnsi="Aptos" w:cs="Aptos"/>
          <w:lang w:val="en-US"/>
        </w:rPr>
        <w:t>μ</w:t>
      </w:r>
      <w:r w:rsidRPr="000E433C">
        <w:rPr>
          <w:lang w:val="en-US"/>
        </w:rPr>
        <w:t>M</w:t>
      </w:r>
      <w:proofErr w:type="spellEnd"/>
      <w:r w:rsidRPr="000E433C">
        <w:rPr>
          <w:lang w:val="en-US"/>
        </w:rPr>
        <w:t xml:space="preserve"> (left) and 10</w:t>
      </w:r>
      <w:r w:rsidRPr="000E433C">
        <w:rPr>
          <w:rFonts w:ascii="Arial" w:hAnsi="Arial" w:cs="Arial"/>
          <w:lang w:val="en-US"/>
        </w:rPr>
        <w:t> </w:t>
      </w:r>
      <w:proofErr w:type="spellStart"/>
      <w:r w:rsidRPr="000E433C">
        <w:rPr>
          <w:rFonts w:ascii="Aptos" w:hAnsi="Aptos" w:cs="Aptos"/>
          <w:lang w:val="en-US"/>
        </w:rPr>
        <w:t>μ</w:t>
      </w:r>
      <w:r w:rsidRPr="000E433C">
        <w:rPr>
          <w:lang w:val="en-US"/>
        </w:rPr>
        <w:t>M</w:t>
      </w:r>
      <w:proofErr w:type="spellEnd"/>
      <w:r w:rsidRPr="000E433C">
        <w:rPr>
          <w:lang w:val="en-US"/>
        </w:rPr>
        <w:t xml:space="preserve"> (right), </w:t>
      </w:r>
      <w:r>
        <w:rPr>
          <w:lang w:val="en-US"/>
        </w:rPr>
        <w:t>one week after addition</w:t>
      </w:r>
      <w:r w:rsidRPr="000E433C">
        <w:rPr>
          <w:lang w:val="en-US"/>
        </w:rPr>
        <w:t xml:space="preserve"> at DPD14. While neurons exposed to 1</w:t>
      </w:r>
      <w:r w:rsidRPr="000E433C">
        <w:rPr>
          <w:rFonts w:ascii="Arial" w:hAnsi="Arial" w:cs="Arial"/>
          <w:lang w:val="en-US"/>
        </w:rPr>
        <w:t> </w:t>
      </w:r>
      <w:proofErr w:type="spellStart"/>
      <w:r w:rsidRPr="000E433C">
        <w:rPr>
          <w:rFonts w:ascii="Aptos" w:hAnsi="Aptos" w:cs="Aptos"/>
          <w:lang w:val="en-US"/>
        </w:rPr>
        <w:t>μ</w:t>
      </w:r>
      <w:r w:rsidRPr="000E433C">
        <w:rPr>
          <w:lang w:val="en-US"/>
        </w:rPr>
        <w:t>M</w:t>
      </w:r>
      <w:proofErr w:type="spellEnd"/>
      <w:r w:rsidRPr="000E433C">
        <w:rPr>
          <w:lang w:val="en-US"/>
        </w:rPr>
        <w:t xml:space="preserve"> show preserved subcellular architecture with moderate vacuolization, cells treated with 10</w:t>
      </w:r>
      <w:r w:rsidRPr="000E433C">
        <w:rPr>
          <w:rFonts w:ascii="Arial" w:hAnsi="Arial" w:cs="Arial"/>
          <w:lang w:val="en-US"/>
        </w:rPr>
        <w:t> </w:t>
      </w:r>
      <w:proofErr w:type="spellStart"/>
      <w:r w:rsidRPr="000E433C">
        <w:rPr>
          <w:rFonts w:ascii="Aptos" w:hAnsi="Aptos" w:cs="Aptos"/>
          <w:lang w:val="en-US"/>
        </w:rPr>
        <w:t>μ</w:t>
      </w:r>
      <w:r w:rsidRPr="000E433C">
        <w:rPr>
          <w:lang w:val="en-US"/>
        </w:rPr>
        <w:t>M</w:t>
      </w:r>
      <w:proofErr w:type="spellEnd"/>
      <w:r w:rsidRPr="000E433C">
        <w:rPr>
          <w:lang w:val="en-US"/>
        </w:rPr>
        <w:t xml:space="preserve"> exhibit widespread cytoplasmic disintegration, vacuole accumulation, and organelle degradation, indicative of pronounced neurotoxicity. These findings informed us of the choice of 100</w:t>
      </w:r>
      <w:r w:rsidRPr="000E433C">
        <w:rPr>
          <w:rFonts w:ascii="Arial" w:hAnsi="Arial" w:cs="Arial"/>
          <w:lang w:val="en-US"/>
        </w:rPr>
        <w:t> </w:t>
      </w:r>
      <w:proofErr w:type="spellStart"/>
      <w:r w:rsidRPr="000E433C">
        <w:rPr>
          <w:lang w:val="en-US"/>
        </w:rPr>
        <w:t>nM</w:t>
      </w:r>
      <w:proofErr w:type="spellEnd"/>
      <w:r w:rsidRPr="000E433C">
        <w:rPr>
          <w:lang w:val="en-US"/>
        </w:rPr>
        <w:t xml:space="preserve"> as the optimal working concentration in all functional experiments.</w:t>
      </w:r>
    </w:p>
    <w:p w14:paraId="2943B0F9" w14:textId="77777777" w:rsidR="00363B4C" w:rsidRDefault="00363B4C" w:rsidP="00363B4C">
      <w:pPr>
        <w:rPr>
          <w:lang w:val="en-US"/>
        </w:rPr>
      </w:pPr>
    </w:p>
    <w:p w14:paraId="24E91042" w14:textId="77777777" w:rsidR="00363B4C" w:rsidRPr="000838CE" w:rsidRDefault="00363B4C" w:rsidP="00363B4C">
      <w:pPr>
        <w:pStyle w:val="Heading4"/>
        <w:rPr>
          <w:b/>
          <w:bCs/>
          <w:lang w:val="en-US"/>
        </w:rPr>
      </w:pPr>
      <w:r w:rsidRPr="0097463C">
        <w:rPr>
          <w:b/>
          <w:bCs/>
          <w:lang w:val="en-US"/>
        </w:rPr>
        <w:t xml:space="preserve">Functional calcium imaging of </w:t>
      </w:r>
      <w:proofErr w:type="spellStart"/>
      <w:r w:rsidRPr="0097463C">
        <w:rPr>
          <w:b/>
          <w:bCs/>
          <w:lang w:val="en-US"/>
        </w:rPr>
        <w:t>iMNs</w:t>
      </w:r>
      <w:proofErr w:type="spellEnd"/>
      <w:r w:rsidRPr="0097463C">
        <w:rPr>
          <w:b/>
          <w:bCs/>
          <w:lang w:val="en-US"/>
        </w:rPr>
        <w:t xml:space="preserve"> during spontaneous and depolarization-induced activity</w:t>
      </w:r>
    </w:p>
    <w:p w14:paraId="437899CC" w14:textId="4A864191" w:rsidR="001522C7" w:rsidRPr="00363B4C" w:rsidRDefault="00363B4C" w:rsidP="00363B4C">
      <w:pPr>
        <w:spacing w:after="0"/>
        <w:jc w:val="both"/>
        <w:rPr>
          <w:lang w:val="en-US"/>
        </w:rPr>
      </w:pPr>
      <w:r w:rsidRPr="32D0906F">
        <w:rPr>
          <w:i/>
          <w:iCs/>
          <w:color w:val="0E2841" w:themeColor="text2"/>
          <w:sz w:val="18"/>
          <w:szCs w:val="18"/>
          <w:lang w:val="en-US"/>
        </w:rPr>
        <w:t>Movie</w:t>
      </w:r>
      <w:r w:rsidRPr="32D0906F">
        <w:rPr>
          <w:rFonts w:ascii="Arial" w:hAnsi="Arial" w:cs="Arial"/>
          <w:i/>
          <w:iCs/>
          <w:color w:val="0E2841" w:themeColor="text2"/>
          <w:sz w:val="18"/>
          <w:szCs w:val="18"/>
          <w:lang w:val="en-US"/>
        </w:rPr>
        <w:t> </w:t>
      </w:r>
      <w:r w:rsidRPr="32D0906F">
        <w:rPr>
          <w:i/>
          <w:iCs/>
          <w:color w:val="0E2841" w:themeColor="text2"/>
          <w:sz w:val="18"/>
          <w:szCs w:val="18"/>
          <w:lang w:val="en-US"/>
        </w:rPr>
        <w:t>S</w:t>
      </w:r>
      <w:r>
        <w:rPr>
          <w:i/>
          <w:iCs/>
          <w:color w:val="0E2841" w:themeColor="text2"/>
          <w:sz w:val="18"/>
          <w:szCs w:val="18"/>
          <w:lang w:val="en-US"/>
        </w:rPr>
        <w:t>1</w:t>
      </w:r>
      <w:r w:rsidRPr="00D50372">
        <w:rPr>
          <w:i/>
          <w:iCs/>
          <w:color w:val="0E2841" w:themeColor="text2"/>
          <w:sz w:val="18"/>
          <w:szCs w:val="18"/>
          <w:lang w:val="en-US"/>
        </w:rPr>
        <w:t xml:space="preserve">: </w:t>
      </w:r>
      <w:r w:rsidRPr="00C51C90">
        <w:rPr>
          <w:i/>
          <w:iCs/>
          <w:color w:val="0E2841" w:themeColor="text2"/>
          <w:sz w:val="18"/>
          <w:szCs w:val="18"/>
          <w:lang w:val="en-US"/>
        </w:rPr>
        <w:t>Time-lapse laser-scanning confocal fluorescence movie of iPSC-derived motor neurons (</w:t>
      </w:r>
      <w:proofErr w:type="spellStart"/>
      <w:r w:rsidRPr="00C51C90">
        <w:rPr>
          <w:i/>
          <w:iCs/>
          <w:color w:val="0E2841" w:themeColor="text2"/>
          <w:sz w:val="18"/>
          <w:szCs w:val="18"/>
          <w:lang w:val="en-US"/>
        </w:rPr>
        <w:t>iMNs</w:t>
      </w:r>
      <w:proofErr w:type="spellEnd"/>
      <w:r w:rsidRPr="00C51C90">
        <w:rPr>
          <w:i/>
          <w:iCs/>
          <w:color w:val="0E2841" w:themeColor="text2"/>
          <w:sz w:val="18"/>
          <w:szCs w:val="18"/>
          <w:lang w:val="en-US"/>
        </w:rPr>
        <w:t>) at DPD28 loaded with the calcium indicator Fluo-4 AM, illustrating intracellular calcium dynamics across all experimental phases. The movie sequentially shows steady-state baseline conditions, spontaneous calcium activity under HEPES-buffered ACSF, a robust and synchronized calcium response during depolarization with high-K</w:t>
      </w:r>
      <w:r w:rsidRPr="00C51C90">
        <w:rPr>
          <w:rFonts w:ascii="Cambria Math" w:hAnsi="Cambria Math" w:cs="Cambria Math"/>
          <w:i/>
          <w:iCs/>
          <w:color w:val="0E2841" w:themeColor="text2"/>
          <w:sz w:val="18"/>
          <w:szCs w:val="18"/>
          <w:lang w:val="en-US"/>
        </w:rPr>
        <w:t>⁺</w:t>
      </w:r>
      <w:r w:rsidRPr="00C51C90">
        <w:rPr>
          <w:i/>
          <w:iCs/>
          <w:color w:val="0E2841" w:themeColor="text2"/>
          <w:sz w:val="18"/>
          <w:szCs w:val="18"/>
          <w:lang w:val="en-US"/>
        </w:rPr>
        <w:t xml:space="preserve"> HEPES ACSF (50 mM K</w:t>
      </w:r>
      <w:r w:rsidRPr="00C51C90">
        <w:rPr>
          <w:rFonts w:ascii="Cambria Math" w:hAnsi="Cambria Math" w:cs="Cambria Math"/>
          <w:i/>
          <w:iCs/>
          <w:color w:val="0E2841" w:themeColor="text2"/>
          <w:sz w:val="18"/>
          <w:szCs w:val="18"/>
          <w:lang w:val="en-US"/>
        </w:rPr>
        <w:t>⁺</w:t>
      </w:r>
      <w:r w:rsidRPr="00C51C90">
        <w:rPr>
          <w:i/>
          <w:iCs/>
          <w:color w:val="0E2841" w:themeColor="text2"/>
          <w:sz w:val="18"/>
          <w:szCs w:val="18"/>
          <w:lang w:val="en-US"/>
        </w:rPr>
        <w:t>), and recovery following washout of the depolarizing stimulus. Images were acquired at a frame interval of ~5 s (~0.2 Hz). The movie is displayed at increased frame rate for visualization purposes. Changes in fluorescence intensity reflect intracellular calcium transients and network-level activity.</w:t>
      </w:r>
    </w:p>
    <w:sectPr w:rsidR="001522C7" w:rsidRPr="00363B4C" w:rsidSect="00363B4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FD5B00"/>
    <w:multiLevelType w:val="hybridMultilevel"/>
    <w:tmpl w:val="B6DEDBA0"/>
    <w:lvl w:ilvl="0" w:tplc="3FAAD73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394089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B4C"/>
    <w:rsid w:val="001522C7"/>
    <w:rsid w:val="00363B4C"/>
    <w:rsid w:val="003B55E5"/>
    <w:rsid w:val="00B17136"/>
    <w:rsid w:val="00FA5E64"/>
  </w:rsids>
  <m:mathPr>
    <m:mathFont m:val="Cambria Math"/>
    <m:brkBin m:val="before"/>
    <m:brkBinSub m:val="--"/>
    <m:smallFrac m:val="0"/>
    <m:dispDef/>
    <m:lMargin m:val="0"/>
    <m:rMargin m:val="0"/>
    <m:defJc m:val="centerGroup"/>
    <m:wrapIndent m:val="1440"/>
    <m:intLim m:val="subSup"/>
    <m:naryLim m:val="undOvr"/>
  </m:mathPr>
  <w:themeFontLang w:val="en-CH"/>
  <w:clrSchemeMapping w:bg1="light1" w:t1="dark1" w:bg2="light2" w:t2="dark2" w:accent1="accent1" w:accent2="accent2" w:accent3="accent3" w:accent4="accent4" w:accent5="accent5" w:accent6="accent6" w:hyperlink="hyperlink" w:followedHyperlink="followedHyperlink"/>
  <w:decimalSymbol w:val="."/>
  <w:listSeparator w:val=","/>
  <w14:docId w14:val="6168A887"/>
  <w15:chartTrackingRefBased/>
  <w15:docId w15:val="{14D1EB27-FFF7-834B-8C65-C6DA234C1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H"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3B4C"/>
    <w:pPr>
      <w:spacing w:after="160" w:line="259" w:lineRule="auto"/>
    </w:pPr>
    <w:rPr>
      <w:sz w:val="22"/>
      <w:szCs w:val="22"/>
      <w:lang w:val="de-CH"/>
    </w:rPr>
  </w:style>
  <w:style w:type="paragraph" w:styleId="Heading1">
    <w:name w:val="heading 1"/>
    <w:basedOn w:val="Normal"/>
    <w:next w:val="Normal"/>
    <w:link w:val="Heading1Char"/>
    <w:uiPriority w:val="9"/>
    <w:qFormat/>
    <w:rsid w:val="00363B4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63B4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63B4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363B4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63B4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63B4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63B4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63B4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63B4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3B4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63B4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63B4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63B4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63B4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63B4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63B4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63B4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63B4C"/>
    <w:rPr>
      <w:rFonts w:eastAsiaTheme="majorEastAsia" w:cstheme="majorBidi"/>
      <w:color w:val="272727" w:themeColor="text1" w:themeTint="D8"/>
    </w:rPr>
  </w:style>
  <w:style w:type="paragraph" w:styleId="Title">
    <w:name w:val="Title"/>
    <w:basedOn w:val="Normal"/>
    <w:next w:val="Normal"/>
    <w:link w:val="TitleChar"/>
    <w:uiPriority w:val="10"/>
    <w:qFormat/>
    <w:rsid w:val="00363B4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63B4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63B4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63B4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63B4C"/>
    <w:pPr>
      <w:spacing w:before="160"/>
      <w:jc w:val="center"/>
    </w:pPr>
    <w:rPr>
      <w:i/>
      <w:iCs/>
      <w:color w:val="404040" w:themeColor="text1" w:themeTint="BF"/>
    </w:rPr>
  </w:style>
  <w:style w:type="character" w:customStyle="1" w:styleId="QuoteChar">
    <w:name w:val="Quote Char"/>
    <w:basedOn w:val="DefaultParagraphFont"/>
    <w:link w:val="Quote"/>
    <w:uiPriority w:val="29"/>
    <w:rsid w:val="00363B4C"/>
    <w:rPr>
      <w:i/>
      <w:iCs/>
      <w:color w:val="404040" w:themeColor="text1" w:themeTint="BF"/>
    </w:rPr>
  </w:style>
  <w:style w:type="paragraph" w:styleId="ListParagraph">
    <w:name w:val="List Paragraph"/>
    <w:basedOn w:val="Normal"/>
    <w:uiPriority w:val="34"/>
    <w:qFormat/>
    <w:rsid w:val="00363B4C"/>
    <w:pPr>
      <w:ind w:left="720"/>
      <w:contextualSpacing/>
    </w:pPr>
  </w:style>
  <w:style w:type="character" w:styleId="IntenseEmphasis">
    <w:name w:val="Intense Emphasis"/>
    <w:basedOn w:val="DefaultParagraphFont"/>
    <w:uiPriority w:val="21"/>
    <w:qFormat/>
    <w:rsid w:val="00363B4C"/>
    <w:rPr>
      <w:i/>
      <w:iCs/>
      <w:color w:val="0F4761" w:themeColor="accent1" w:themeShade="BF"/>
    </w:rPr>
  </w:style>
  <w:style w:type="paragraph" w:styleId="IntenseQuote">
    <w:name w:val="Intense Quote"/>
    <w:basedOn w:val="Normal"/>
    <w:next w:val="Normal"/>
    <w:link w:val="IntenseQuoteChar"/>
    <w:uiPriority w:val="30"/>
    <w:qFormat/>
    <w:rsid w:val="00363B4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63B4C"/>
    <w:rPr>
      <w:i/>
      <w:iCs/>
      <w:color w:val="0F4761" w:themeColor="accent1" w:themeShade="BF"/>
    </w:rPr>
  </w:style>
  <w:style w:type="character" w:styleId="IntenseReference">
    <w:name w:val="Intense Reference"/>
    <w:basedOn w:val="DefaultParagraphFont"/>
    <w:uiPriority w:val="32"/>
    <w:qFormat/>
    <w:rsid w:val="00363B4C"/>
    <w:rPr>
      <w:b/>
      <w:bCs/>
      <w:smallCaps/>
      <w:color w:val="0F4761" w:themeColor="accent1" w:themeShade="BF"/>
      <w:spacing w:val="5"/>
    </w:rPr>
  </w:style>
  <w:style w:type="paragraph" w:styleId="Caption">
    <w:name w:val="caption"/>
    <w:basedOn w:val="Normal"/>
    <w:next w:val="Normal"/>
    <w:uiPriority w:val="35"/>
    <w:unhideWhenUsed/>
    <w:qFormat/>
    <w:rsid w:val="00363B4C"/>
    <w:pPr>
      <w:spacing w:after="200" w:line="240" w:lineRule="auto"/>
    </w:pPr>
    <w:rPr>
      <w:i/>
      <w:iCs/>
      <w:color w:val="0E2841" w:themeColor="text2"/>
      <w:sz w:val="18"/>
      <w:szCs w:val="18"/>
    </w:rPr>
  </w:style>
  <w:style w:type="table" w:styleId="PlainTable1">
    <w:name w:val="Plain Table 1"/>
    <w:basedOn w:val="TableNormal"/>
    <w:uiPriority w:val="41"/>
    <w:rsid w:val="00363B4C"/>
    <w:rPr>
      <w:sz w:val="22"/>
      <w:szCs w:val="22"/>
      <w:lang w:val="de-CH"/>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9</Pages>
  <Words>2334</Words>
  <Characters>13308</Characters>
  <Application>Microsoft Office Word</Application>
  <DocSecurity>0</DocSecurity>
  <Lines>110</Lines>
  <Paragraphs>31</Paragraphs>
  <ScaleCrop>false</ScaleCrop>
  <Company/>
  <LinksUpToDate>false</LinksUpToDate>
  <CharactersWithSpaces>15611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Rostami, Iman (ANA)</dc:creator>
  <cp:keywords/>
  <dc:description/>
  <cp:lastModifiedBy>Rostami, Iman (ANA)</cp:lastModifiedBy>
  <cp:revision>1</cp:revision>
  <dcterms:created xsi:type="dcterms:W3CDTF">2026-01-09T16:27:00Z</dcterms:created>
  <dcterms:modified xsi:type="dcterms:W3CDTF">2026-01-09T16:32:00Z</dcterms:modified>
</cp:coreProperties>
</file>