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524F" w:rsidRDefault="00AA4B61">
      <w:r>
        <w:rPr>
          <w:noProof/>
          <w:lang w:eastAsia="en-NZ"/>
        </w:rPr>
        <w:drawing>
          <wp:inline distT="0" distB="0" distL="0" distR="0">
            <wp:extent cx="5731510" cy="6359525"/>
            <wp:effectExtent l="0" t="0" r="254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1_analysis_workflow.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6359525"/>
                    </a:xfrm>
                    <a:prstGeom prst="rect">
                      <a:avLst/>
                    </a:prstGeom>
                  </pic:spPr>
                </pic:pic>
              </a:graphicData>
            </a:graphic>
          </wp:inline>
        </w:drawing>
      </w:r>
    </w:p>
    <w:p w:rsidR="007B22DB" w:rsidRPr="003270B5" w:rsidRDefault="007B22DB">
      <w:pPr>
        <w:rPr>
          <w:rFonts w:ascii="Calibri" w:hAnsi="Calibri" w:cs="Calibri"/>
          <w:b/>
          <w:bCs/>
          <w:color w:val="000000"/>
        </w:rPr>
      </w:pPr>
      <w:r w:rsidRPr="003270B5">
        <w:rPr>
          <w:b/>
        </w:rPr>
        <w:t xml:space="preserve">Figure S1. </w:t>
      </w:r>
      <w:r w:rsidRPr="005223A3">
        <w:rPr>
          <w:rFonts w:ascii="Calibri" w:hAnsi="Calibri" w:cs="Calibri"/>
          <w:b/>
          <w:bCs/>
          <w:color w:val="000000"/>
        </w:rPr>
        <w:t>The pipeline of identification of expressed TE candidates</w:t>
      </w:r>
    </w:p>
    <w:p w:rsidR="007B22DB" w:rsidRPr="005223A3" w:rsidRDefault="007B22DB" w:rsidP="007B22DB">
      <w:pPr>
        <w:spacing w:line="288" w:lineRule="auto"/>
        <w:rPr>
          <w:sz w:val="18"/>
          <w:szCs w:val="18"/>
        </w:rPr>
      </w:pPr>
      <w:r w:rsidRPr="005223A3">
        <w:rPr>
          <w:b/>
          <w:sz w:val="18"/>
          <w:szCs w:val="18"/>
        </w:rPr>
        <w:t>(A)</w:t>
      </w:r>
      <w:r w:rsidRPr="005223A3">
        <w:rPr>
          <w:sz w:val="18"/>
          <w:szCs w:val="18"/>
        </w:rPr>
        <w:t xml:space="preserve"> The first and second sub-pipelines apply HISAT2 for the alignment of sequencing reads against </w:t>
      </w:r>
      <w:r w:rsidR="00ED49BD">
        <w:rPr>
          <w:sz w:val="18"/>
          <w:szCs w:val="18"/>
        </w:rPr>
        <w:t xml:space="preserve">the </w:t>
      </w:r>
      <w:r w:rsidRPr="005223A3">
        <w:rPr>
          <w:sz w:val="18"/>
          <w:szCs w:val="18"/>
        </w:rPr>
        <w:t xml:space="preserve">reference genome and then use </w:t>
      </w:r>
      <w:proofErr w:type="spellStart"/>
      <w:r w:rsidRPr="005223A3">
        <w:rPr>
          <w:sz w:val="18"/>
          <w:szCs w:val="18"/>
        </w:rPr>
        <w:t>htseq</w:t>
      </w:r>
      <w:proofErr w:type="spellEnd"/>
      <w:r w:rsidRPr="005223A3">
        <w:rPr>
          <w:sz w:val="18"/>
          <w:szCs w:val="18"/>
        </w:rPr>
        <w:t xml:space="preserve">-count and </w:t>
      </w:r>
      <w:proofErr w:type="spellStart"/>
      <w:r w:rsidRPr="005223A3">
        <w:rPr>
          <w:sz w:val="18"/>
          <w:szCs w:val="18"/>
        </w:rPr>
        <w:t>BEDtools</w:t>
      </w:r>
      <w:proofErr w:type="spellEnd"/>
      <w:r w:rsidRPr="005223A3">
        <w:rPr>
          <w:sz w:val="18"/>
          <w:szCs w:val="18"/>
        </w:rPr>
        <w:t xml:space="preserve"> toolset, respectively, to quantify reads overlapping with TEs. While </w:t>
      </w:r>
      <w:proofErr w:type="spellStart"/>
      <w:r w:rsidRPr="005223A3">
        <w:rPr>
          <w:sz w:val="18"/>
          <w:szCs w:val="18"/>
        </w:rPr>
        <w:t>Htseq</w:t>
      </w:r>
      <w:proofErr w:type="spellEnd"/>
      <w:r w:rsidRPr="005223A3">
        <w:rPr>
          <w:sz w:val="18"/>
          <w:szCs w:val="18"/>
        </w:rPr>
        <w:t xml:space="preserve">-count only adopts unique-mapping reads, </w:t>
      </w:r>
      <w:proofErr w:type="spellStart"/>
      <w:r w:rsidRPr="005223A3">
        <w:rPr>
          <w:sz w:val="18"/>
          <w:szCs w:val="18"/>
        </w:rPr>
        <w:t>BEDtools</w:t>
      </w:r>
      <w:proofErr w:type="spellEnd"/>
      <w:r w:rsidRPr="005223A3">
        <w:rPr>
          <w:sz w:val="18"/>
          <w:szCs w:val="18"/>
        </w:rPr>
        <w:t xml:space="preserve"> incorporates both unique- and multi-mapping reads. The third sub</w:t>
      </w:r>
      <w:r w:rsidR="00ED49BD">
        <w:rPr>
          <w:rFonts w:hint="eastAsia"/>
          <w:sz w:val="18"/>
          <w:szCs w:val="18"/>
          <w:lang w:eastAsia="zh-TW"/>
        </w:rPr>
        <w:t>-</w:t>
      </w:r>
      <w:r w:rsidRPr="005223A3">
        <w:rPr>
          <w:sz w:val="18"/>
          <w:szCs w:val="18"/>
        </w:rPr>
        <w:t xml:space="preserve">pipeline uses BWA to align reads against TE sequences, after which the mates of TE-mapped reads would be fed into </w:t>
      </w:r>
      <w:proofErr w:type="spellStart"/>
      <w:r w:rsidRPr="005223A3">
        <w:rPr>
          <w:sz w:val="18"/>
          <w:szCs w:val="18"/>
        </w:rPr>
        <w:t>TEFingerprint</w:t>
      </w:r>
      <w:proofErr w:type="spellEnd"/>
      <w:r w:rsidRPr="005223A3">
        <w:rPr>
          <w:sz w:val="18"/>
          <w:szCs w:val="18"/>
        </w:rPr>
        <w:t xml:space="preserve"> for mapping against </w:t>
      </w:r>
      <w:r w:rsidR="00ED49BD">
        <w:rPr>
          <w:rFonts w:hint="eastAsia"/>
          <w:sz w:val="18"/>
          <w:szCs w:val="18"/>
          <w:lang w:eastAsia="zh-TW"/>
        </w:rPr>
        <w:t>the</w:t>
      </w:r>
      <w:r w:rsidR="00ED49BD">
        <w:rPr>
          <w:sz w:val="18"/>
          <w:szCs w:val="18"/>
          <w:lang w:eastAsia="zh-TW"/>
        </w:rPr>
        <w:t xml:space="preserve"> </w:t>
      </w:r>
      <w:r w:rsidRPr="005223A3">
        <w:rPr>
          <w:sz w:val="18"/>
          <w:szCs w:val="18"/>
        </w:rPr>
        <w:t xml:space="preserve">reference genome to capture danglers. The three sets of TEs passing through the filtering steps are joined together as a pool of expression candidates. </w:t>
      </w:r>
      <w:r w:rsidRPr="005223A3">
        <w:rPr>
          <w:b/>
          <w:sz w:val="18"/>
          <w:szCs w:val="18"/>
        </w:rPr>
        <w:t>(B)</w:t>
      </w:r>
      <w:r w:rsidRPr="005223A3">
        <w:rPr>
          <w:sz w:val="18"/>
          <w:szCs w:val="18"/>
        </w:rPr>
        <w:t xml:space="preserve"> Examples of filter step for the </w:t>
      </w:r>
      <w:proofErr w:type="spellStart"/>
      <w:r w:rsidRPr="005223A3">
        <w:rPr>
          <w:sz w:val="18"/>
          <w:szCs w:val="18"/>
        </w:rPr>
        <w:t>BEDtools</w:t>
      </w:r>
      <w:proofErr w:type="spellEnd"/>
      <w:r w:rsidRPr="005223A3">
        <w:rPr>
          <w:sz w:val="18"/>
          <w:szCs w:val="18"/>
        </w:rPr>
        <w:t xml:space="preserve">-based sub-pipeline. To pass this step, a TE needs to show &gt; 10 read count and &gt;5 average read depth normalized by TE’s mapped region. </w:t>
      </w:r>
      <w:r w:rsidRPr="007B22DB">
        <w:rPr>
          <w:b/>
          <w:sz w:val="18"/>
          <w:szCs w:val="18"/>
        </w:rPr>
        <w:t>(C)</w:t>
      </w:r>
      <w:r>
        <w:rPr>
          <w:sz w:val="18"/>
          <w:szCs w:val="18"/>
        </w:rPr>
        <w:t xml:space="preserve"> </w:t>
      </w:r>
      <w:r w:rsidRPr="007B22DB">
        <w:rPr>
          <w:sz w:val="18"/>
          <w:szCs w:val="18"/>
        </w:rPr>
        <w:t xml:space="preserve">Illustration of the mapping strategy of </w:t>
      </w:r>
      <w:proofErr w:type="spellStart"/>
      <w:r w:rsidRPr="007B22DB">
        <w:rPr>
          <w:sz w:val="18"/>
          <w:szCs w:val="18"/>
        </w:rPr>
        <w:t>TEFingerprint</w:t>
      </w:r>
      <w:proofErr w:type="spellEnd"/>
      <w:r w:rsidRPr="007B22DB">
        <w:rPr>
          <w:sz w:val="18"/>
          <w:szCs w:val="18"/>
        </w:rPr>
        <w:t xml:space="preserve"> used in the pipeline</w:t>
      </w:r>
      <w:r>
        <w:rPr>
          <w:sz w:val="18"/>
          <w:szCs w:val="18"/>
        </w:rPr>
        <w:t xml:space="preserve">. </w:t>
      </w:r>
      <w:r w:rsidRPr="007B22DB">
        <w:rPr>
          <w:sz w:val="18"/>
          <w:szCs w:val="18"/>
        </w:rPr>
        <w:t xml:space="preserve">The blue fragments denotes reads mapping to TE sequences, whereas the red ones are the corresponding read mates (danglers) of TE-mapped reads, which are indicative </w:t>
      </w:r>
      <w:r w:rsidR="00ED49BD">
        <w:rPr>
          <w:sz w:val="18"/>
          <w:szCs w:val="18"/>
        </w:rPr>
        <w:t>of</w:t>
      </w:r>
      <w:r w:rsidRPr="007B22DB">
        <w:rPr>
          <w:sz w:val="18"/>
          <w:szCs w:val="18"/>
        </w:rPr>
        <w:t xml:space="preserve"> the transcriptional activity of a TE with transcription across boundaries.</w:t>
      </w:r>
    </w:p>
    <w:p w:rsidR="007B22DB" w:rsidRDefault="00AA4B61">
      <w:pPr>
        <w:rPr>
          <w:rFonts w:ascii="Calibri" w:hAnsi="Calibri" w:cs="Calibri"/>
          <w:b/>
          <w:bCs/>
          <w:color w:val="000000"/>
        </w:rPr>
      </w:pPr>
      <w:r>
        <w:rPr>
          <w:rFonts w:ascii="Calibri" w:hAnsi="Calibri" w:cs="Calibri"/>
          <w:b/>
          <w:bCs/>
          <w:noProof/>
          <w:color w:val="000000"/>
          <w:lang w:eastAsia="en-NZ"/>
        </w:rPr>
        <w:lastRenderedPageBreak/>
        <w:drawing>
          <wp:inline distT="0" distB="0" distL="0" distR="0">
            <wp:extent cx="5731510" cy="433451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2_detail_of_non-candidate.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4334510"/>
                    </a:xfrm>
                    <a:prstGeom prst="rect">
                      <a:avLst/>
                    </a:prstGeom>
                  </pic:spPr>
                </pic:pic>
              </a:graphicData>
            </a:graphic>
          </wp:inline>
        </w:drawing>
      </w:r>
    </w:p>
    <w:p w:rsidR="007B22DB" w:rsidRPr="003270B5" w:rsidRDefault="007B22DB">
      <w:pPr>
        <w:rPr>
          <w:b/>
        </w:rPr>
      </w:pPr>
      <w:r w:rsidRPr="003270B5">
        <w:rPr>
          <w:b/>
        </w:rPr>
        <w:t>Figure S2. Expression candidates identified by the pipeline across various experimental conditions</w:t>
      </w:r>
    </w:p>
    <w:p w:rsidR="00E759A9" w:rsidRPr="00535B2B" w:rsidRDefault="007B22DB">
      <w:pPr>
        <w:rPr>
          <w:sz w:val="18"/>
          <w:szCs w:val="18"/>
        </w:rPr>
      </w:pPr>
      <w:r w:rsidRPr="00535B2B">
        <w:rPr>
          <w:sz w:val="18"/>
          <w:szCs w:val="18"/>
        </w:rPr>
        <w:t>All annotated TEs were categorized by transcriptional activity indicated at the x</w:t>
      </w:r>
      <w:r w:rsidR="00535B2B" w:rsidRPr="00535B2B">
        <w:rPr>
          <w:sz w:val="18"/>
          <w:szCs w:val="18"/>
        </w:rPr>
        <w:t>-</w:t>
      </w:r>
      <w:r w:rsidRPr="00535B2B">
        <w:rPr>
          <w:sz w:val="18"/>
          <w:szCs w:val="18"/>
        </w:rPr>
        <w:t xml:space="preserve">axis and illustrated according to treatments/genotypes as shown in each graph: (A) </w:t>
      </w:r>
      <w:proofErr w:type="spellStart"/>
      <w:r w:rsidRPr="00535B2B">
        <w:rPr>
          <w:sz w:val="18"/>
          <w:szCs w:val="18"/>
        </w:rPr>
        <w:t>Vv_T</w:t>
      </w:r>
      <w:proofErr w:type="spellEnd"/>
      <w:r w:rsidRPr="00535B2B">
        <w:rPr>
          <w:sz w:val="18"/>
          <w:szCs w:val="18"/>
        </w:rPr>
        <w:t xml:space="preserve">=0, (B) </w:t>
      </w:r>
      <w:proofErr w:type="spellStart"/>
      <w:r w:rsidRPr="00535B2B">
        <w:rPr>
          <w:sz w:val="18"/>
          <w:szCs w:val="18"/>
        </w:rPr>
        <w:t>Vv_Mock</w:t>
      </w:r>
      <w:proofErr w:type="spellEnd"/>
      <w:r w:rsidRPr="00535B2B">
        <w:rPr>
          <w:sz w:val="18"/>
          <w:szCs w:val="18"/>
        </w:rPr>
        <w:t xml:space="preserve">, (C) </w:t>
      </w:r>
      <w:proofErr w:type="spellStart"/>
      <w:r w:rsidRPr="00535B2B">
        <w:rPr>
          <w:sz w:val="18"/>
          <w:szCs w:val="18"/>
        </w:rPr>
        <w:t>Vv_yeast</w:t>
      </w:r>
      <w:proofErr w:type="spellEnd"/>
      <w:r w:rsidRPr="00535B2B">
        <w:rPr>
          <w:sz w:val="18"/>
          <w:szCs w:val="18"/>
        </w:rPr>
        <w:t xml:space="preserve">, (D) </w:t>
      </w:r>
      <w:proofErr w:type="spellStart"/>
      <w:r w:rsidRPr="00535B2B">
        <w:rPr>
          <w:sz w:val="18"/>
          <w:szCs w:val="18"/>
        </w:rPr>
        <w:t>At_WT</w:t>
      </w:r>
      <w:proofErr w:type="spellEnd"/>
      <w:r w:rsidRPr="00535B2B">
        <w:rPr>
          <w:sz w:val="18"/>
          <w:szCs w:val="18"/>
        </w:rPr>
        <w:t>, (E) At_ibm2, and (F) At_ddm1.</w:t>
      </w:r>
    </w:p>
    <w:p w:rsidR="00E759A9" w:rsidRDefault="00E759A9">
      <w:r>
        <w:br w:type="page"/>
      </w:r>
    </w:p>
    <w:p w:rsidR="007B22DB" w:rsidRDefault="00AA4B61">
      <w:r>
        <w:rPr>
          <w:noProof/>
          <w:lang w:eastAsia="en-NZ"/>
        </w:rPr>
        <w:drawing>
          <wp:inline distT="0" distB="0" distL="0" distR="0">
            <wp:extent cx="5183201" cy="722811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3_NJtree_Copia-3.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85327" cy="7231079"/>
                    </a:xfrm>
                    <a:prstGeom prst="rect">
                      <a:avLst/>
                    </a:prstGeom>
                  </pic:spPr>
                </pic:pic>
              </a:graphicData>
            </a:graphic>
          </wp:inline>
        </w:drawing>
      </w:r>
    </w:p>
    <w:p w:rsidR="00E759A9" w:rsidRPr="004222DB" w:rsidRDefault="00E759A9" w:rsidP="006569B1">
      <w:pPr>
        <w:pStyle w:val="Caption"/>
        <w:rPr>
          <w:sz w:val="24"/>
        </w:rPr>
      </w:pPr>
      <w:r>
        <w:t xml:space="preserve">Figure S3. </w:t>
      </w:r>
      <w:r w:rsidRPr="0076731E">
        <w:t>The consensus tree of full-length Copia-3 elements</w:t>
      </w:r>
    </w:p>
    <w:p w:rsidR="00E759A9" w:rsidRPr="00535B2B" w:rsidRDefault="00E759A9" w:rsidP="00E759A9">
      <w:pPr>
        <w:rPr>
          <w:sz w:val="18"/>
          <w:szCs w:val="18"/>
        </w:rPr>
      </w:pPr>
      <w:r w:rsidRPr="00535B2B">
        <w:rPr>
          <w:sz w:val="18"/>
          <w:szCs w:val="18"/>
        </w:rPr>
        <w:t>Copia-3 elements retaining LTR pairs with &gt;90% INT covered by sequencing reads were considered structurally autonomous expression candidates</w:t>
      </w:r>
      <w:r w:rsidR="00535B2B" w:rsidRPr="00535B2B">
        <w:rPr>
          <w:rFonts w:hint="eastAsia"/>
          <w:sz w:val="18"/>
          <w:szCs w:val="18"/>
          <w:lang w:eastAsia="zh-TW"/>
        </w:rPr>
        <w:t>. Blue lines represent</w:t>
      </w:r>
      <w:r w:rsidRPr="00535B2B">
        <w:rPr>
          <w:sz w:val="18"/>
          <w:szCs w:val="18"/>
        </w:rPr>
        <w:t xml:space="preserve"> those hav</w:t>
      </w:r>
      <w:r w:rsidR="00535B2B" w:rsidRPr="00535B2B">
        <w:rPr>
          <w:rFonts w:hint="eastAsia"/>
          <w:sz w:val="18"/>
          <w:szCs w:val="18"/>
          <w:lang w:eastAsia="zh-TW"/>
        </w:rPr>
        <w:t>ing</w:t>
      </w:r>
      <w:r w:rsidRPr="00535B2B">
        <w:rPr>
          <w:sz w:val="18"/>
          <w:szCs w:val="18"/>
        </w:rPr>
        <w:t xml:space="preserve"> unique-mapping reads (trackable) blue</w:t>
      </w:r>
      <w:r w:rsidR="00535B2B" w:rsidRPr="00535B2B">
        <w:rPr>
          <w:sz w:val="18"/>
          <w:szCs w:val="18"/>
        </w:rPr>
        <w:t>,</w:t>
      </w:r>
      <w:r w:rsidRPr="00535B2B">
        <w:rPr>
          <w:sz w:val="18"/>
          <w:szCs w:val="18"/>
        </w:rPr>
        <w:t xml:space="preserve"> and the </w:t>
      </w:r>
      <w:r w:rsidR="00535B2B" w:rsidRPr="00535B2B">
        <w:rPr>
          <w:rFonts w:hint="eastAsia"/>
          <w:sz w:val="18"/>
          <w:szCs w:val="18"/>
          <w:lang w:eastAsia="zh-TW"/>
        </w:rPr>
        <w:t xml:space="preserve">red lines denote the </w:t>
      </w:r>
      <w:r w:rsidR="00535B2B" w:rsidRPr="00535B2B">
        <w:rPr>
          <w:sz w:val="18"/>
          <w:szCs w:val="18"/>
        </w:rPr>
        <w:t xml:space="preserve">remaining </w:t>
      </w:r>
      <w:proofErr w:type="spellStart"/>
      <w:r w:rsidR="00535B2B" w:rsidRPr="00535B2B">
        <w:rPr>
          <w:sz w:val="18"/>
          <w:szCs w:val="18"/>
        </w:rPr>
        <w:t>untrackable</w:t>
      </w:r>
      <w:proofErr w:type="spellEnd"/>
      <w:r w:rsidR="00535B2B" w:rsidRPr="00535B2B">
        <w:rPr>
          <w:sz w:val="18"/>
          <w:szCs w:val="18"/>
        </w:rPr>
        <w:t xml:space="preserve"> ones</w:t>
      </w:r>
      <w:r w:rsidRPr="00535B2B">
        <w:rPr>
          <w:sz w:val="18"/>
          <w:szCs w:val="18"/>
        </w:rPr>
        <w:t>. For the rest of the full-length Copia-3 expression candidates, those can be distinguished by unique-mapping reads were yellow, otherwise were coloured black. Grey lines denote branches or non-expression candidates.</w:t>
      </w:r>
    </w:p>
    <w:p w:rsidR="00E759A9" w:rsidRDefault="00AA4B61">
      <w:bookmarkStart w:id="0" w:name="_GoBack"/>
      <w:r>
        <w:rPr>
          <w:noProof/>
          <w:lang w:eastAsia="en-NZ"/>
        </w:rPr>
        <w:drawing>
          <wp:inline distT="0" distB="0" distL="0" distR="0">
            <wp:extent cx="5408233" cy="722376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S4_NJtree_Copia-2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10980" cy="7227430"/>
                    </a:xfrm>
                    <a:prstGeom prst="rect">
                      <a:avLst/>
                    </a:prstGeom>
                  </pic:spPr>
                </pic:pic>
              </a:graphicData>
            </a:graphic>
          </wp:inline>
        </w:drawing>
      </w:r>
      <w:bookmarkEnd w:id="0"/>
    </w:p>
    <w:p w:rsidR="00E759A9" w:rsidRDefault="00E759A9" w:rsidP="006569B1">
      <w:pPr>
        <w:pStyle w:val="Caption"/>
      </w:pPr>
      <w:r>
        <w:t xml:space="preserve">Figure S4. </w:t>
      </w:r>
      <w:r w:rsidRPr="0076731E">
        <w:t>The consensus tree of full-length Copia-2</w:t>
      </w:r>
      <w:r>
        <w:t>3 elements</w:t>
      </w:r>
    </w:p>
    <w:p w:rsidR="007B22DB" w:rsidRPr="00535B2B" w:rsidRDefault="00E759A9" w:rsidP="00E759A9">
      <w:pPr>
        <w:rPr>
          <w:sz w:val="18"/>
          <w:szCs w:val="18"/>
        </w:rPr>
      </w:pPr>
      <w:r w:rsidRPr="00535B2B">
        <w:rPr>
          <w:sz w:val="18"/>
          <w:szCs w:val="18"/>
        </w:rPr>
        <w:t>Copia-23 elements retaining LTR pairs with &gt;90% INT covered by sequencing reads were considered structurally autonomous expression candidates</w:t>
      </w:r>
      <w:r w:rsidR="00535B2B" w:rsidRPr="00535B2B">
        <w:rPr>
          <w:rFonts w:hint="eastAsia"/>
          <w:sz w:val="18"/>
          <w:szCs w:val="18"/>
          <w:lang w:eastAsia="zh-TW"/>
        </w:rPr>
        <w:t>. Blue lines represent</w:t>
      </w:r>
      <w:r w:rsidR="00535B2B" w:rsidRPr="00535B2B">
        <w:rPr>
          <w:sz w:val="18"/>
          <w:szCs w:val="18"/>
        </w:rPr>
        <w:t xml:space="preserve"> those hav</w:t>
      </w:r>
      <w:r w:rsidR="00535B2B" w:rsidRPr="00535B2B">
        <w:rPr>
          <w:rFonts w:hint="eastAsia"/>
          <w:sz w:val="18"/>
          <w:szCs w:val="18"/>
          <w:lang w:eastAsia="zh-TW"/>
        </w:rPr>
        <w:t>ing</w:t>
      </w:r>
      <w:r w:rsidR="00535B2B" w:rsidRPr="00535B2B">
        <w:rPr>
          <w:sz w:val="18"/>
          <w:szCs w:val="18"/>
        </w:rPr>
        <w:t xml:space="preserve"> unique-mapping reads (trackable) blue, and the </w:t>
      </w:r>
      <w:r w:rsidR="00535B2B" w:rsidRPr="00535B2B">
        <w:rPr>
          <w:rFonts w:hint="eastAsia"/>
          <w:sz w:val="18"/>
          <w:szCs w:val="18"/>
          <w:lang w:eastAsia="zh-TW"/>
        </w:rPr>
        <w:t xml:space="preserve">red lines denote the </w:t>
      </w:r>
      <w:r w:rsidR="00535B2B" w:rsidRPr="00535B2B">
        <w:rPr>
          <w:sz w:val="18"/>
          <w:szCs w:val="18"/>
        </w:rPr>
        <w:t xml:space="preserve">remaining </w:t>
      </w:r>
      <w:proofErr w:type="spellStart"/>
      <w:r w:rsidR="00535B2B" w:rsidRPr="00535B2B">
        <w:rPr>
          <w:sz w:val="18"/>
          <w:szCs w:val="18"/>
        </w:rPr>
        <w:t>untrackable</w:t>
      </w:r>
      <w:proofErr w:type="spellEnd"/>
      <w:r w:rsidR="00535B2B" w:rsidRPr="00535B2B">
        <w:rPr>
          <w:sz w:val="18"/>
          <w:szCs w:val="18"/>
        </w:rPr>
        <w:t xml:space="preserve"> ones. </w:t>
      </w:r>
      <w:r w:rsidRPr="00535B2B">
        <w:rPr>
          <w:sz w:val="18"/>
          <w:szCs w:val="18"/>
        </w:rPr>
        <w:t xml:space="preserve"> For the rest of the full-length Copia-23 expression candidates, those can be distinguished by unique-mapping reads were yellow, otherwise were coloured black. Grey lines denote branches or non-expression candidates. Clades containing trackable or un-trackable autonomous expression candidates were indicated with enlarged illustrations.</w:t>
      </w:r>
    </w:p>
    <w:p w:rsidR="00E759A9" w:rsidRDefault="00AA4B61" w:rsidP="00E759A9">
      <w:r>
        <w:rPr>
          <w:noProof/>
          <w:lang w:eastAsia="en-NZ"/>
        </w:rPr>
        <w:drawing>
          <wp:inline distT="0" distB="0" distL="0" distR="0">
            <wp:extent cx="5731510" cy="377634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S5_Reads_mapped_to_Copia-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776345"/>
                    </a:xfrm>
                    <a:prstGeom prst="rect">
                      <a:avLst/>
                    </a:prstGeom>
                  </pic:spPr>
                </pic:pic>
              </a:graphicData>
            </a:graphic>
          </wp:inline>
        </w:drawing>
      </w:r>
    </w:p>
    <w:p w:rsidR="00E759A9" w:rsidRDefault="00E759A9" w:rsidP="006569B1">
      <w:pPr>
        <w:pStyle w:val="Caption"/>
      </w:pPr>
      <w:r>
        <w:t xml:space="preserve">Figure S5. </w:t>
      </w:r>
      <w:r w:rsidRPr="006F69FD">
        <w:t>Grouping reads mapping to Copia-3 expression candidates</w:t>
      </w:r>
    </w:p>
    <w:p w:rsidR="00E759A9" w:rsidRPr="00535B2B" w:rsidRDefault="00E759A9" w:rsidP="00E759A9">
      <w:pPr>
        <w:jc w:val="both"/>
        <w:rPr>
          <w:sz w:val="18"/>
          <w:szCs w:val="18"/>
        </w:rPr>
      </w:pPr>
      <w:r w:rsidRPr="00535B2B">
        <w:rPr>
          <w:sz w:val="18"/>
          <w:szCs w:val="18"/>
        </w:rPr>
        <w:t xml:space="preserve">Reads mapping to Copia-3 expression candidates were categorized into </w:t>
      </w:r>
      <w:r w:rsidR="00535B2B" w:rsidRPr="00535B2B">
        <w:rPr>
          <w:sz w:val="18"/>
          <w:szCs w:val="18"/>
        </w:rPr>
        <w:t>four</w:t>
      </w:r>
      <w:r w:rsidRPr="00535B2B">
        <w:rPr>
          <w:sz w:val="18"/>
          <w:szCs w:val="18"/>
        </w:rPr>
        <w:t xml:space="preserve"> groups as indicated. Replicates of each time-point were combined. </w:t>
      </w:r>
    </w:p>
    <w:p w:rsidR="00E759A9" w:rsidRDefault="00E759A9">
      <w:pPr>
        <w:rPr>
          <w:sz w:val="18"/>
          <w:szCs w:val="18"/>
        </w:rPr>
      </w:pPr>
      <w:r>
        <w:rPr>
          <w:sz w:val="18"/>
          <w:szCs w:val="18"/>
        </w:rPr>
        <w:br w:type="page"/>
      </w:r>
    </w:p>
    <w:p w:rsidR="00E759A9" w:rsidRDefault="00AA4B61" w:rsidP="00E759A9">
      <w:pPr>
        <w:jc w:val="both"/>
        <w:rPr>
          <w:sz w:val="18"/>
          <w:szCs w:val="18"/>
        </w:rPr>
      </w:pPr>
      <w:r>
        <w:rPr>
          <w:noProof/>
          <w:sz w:val="18"/>
          <w:szCs w:val="18"/>
          <w:lang w:eastAsia="en-NZ"/>
        </w:rPr>
        <w:drawing>
          <wp:inline distT="0" distB="0" distL="0" distR="0">
            <wp:extent cx="5731510" cy="3890645"/>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S6_Reads_mapped_to_Copia-2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890645"/>
                    </a:xfrm>
                    <a:prstGeom prst="rect">
                      <a:avLst/>
                    </a:prstGeom>
                  </pic:spPr>
                </pic:pic>
              </a:graphicData>
            </a:graphic>
          </wp:inline>
        </w:drawing>
      </w:r>
    </w:p>
    <w:p w:rsidR="00E759A9" w:rsidRDefault="00E759A9" w:rsidP="006569B1">
      <w:pPr>
        <w:pStyle w:val="Caption"/>
      </w:pPr>
      <w:r>
        <w:t xml:space="preserve">Figure S6. </w:t>
      </w:r>
      <w:r w:rsidRPr="006F69FD">
        <w:t>Grouping reads mapping to Copia-</w:t>
      </w:r>
      <w:r>
        <w:t>2</w:t>
      </w:r>
      <w:r w:rsidRPr="006F69FD">
        <w:t>3 expression candidates</w:t>
      </w:r>
    </w:p>
    <w:p w:rsidR="00E759A9" w:rsidRPr="00535B2B" w:rsidRDefault="00E759A9" w:rsidP="00E759A9">
      <w:pPr>
        <w:jc w:val="both"/>
        <w:rPr>
          <w:sz w:val="18"/>
          <w:szCs w:val="18"/>
        </w:rPr>
      </w:pPr>
      <w:r w:rsidRPr="00535B2B">
        <w:rPr>
          <w:sz w:val="18"/>
          <w:szCs w:val="18"/>
        </w:rPr>
        <w:t xml:space="preserve">Reads mapping to Copia-23 expression candidates were categorized into </w:t>
      </w:r>
      <w:r w:rsidR="00535B2B" w:rsidRPr="00535B2B">
        <w:rPr>
          <w:sz w:val="18"/>
          <w:szCs w:val="18"/>
        </w:rPr>
        <w:t>four</w:t>
      </w:r>
      <w:r w:rsidRPr="00535B2B">
        <w:rPr>
          <w:sz w:val="18"/>
          <w:szCs w:val="18"/>
        </w:rPr>
        <w:t xml:space="preserve"> groups as indicated. Replicates of each time-point were combined. </w:t>
      </w:r>
    </w:p>
    <w:p w:rsidR="00E759A9" w:rsidRDefault="00E759A9">
      <w:pPr>
        <w:rPr>
          <w:sz w:val="18"/>
          <w:szCs w:val="18"/>
        </w:rPr>
      </w:pPr>
      <w:r>
        <w:rPr>
          <w:sz w:val="18"/>
          <w:szCs w:val="18"/>
        </w:rPr>
        <w:br w:type="page"/>
      </w:r>
    </w:p>
    <w:p w:rsidR="00E759A9" w:rsidRDefault="00AA4B61" w:rsidP="00E759A9">
      <w:pPr>
        <w:jc w:val="both"/>
        <w:rPr>
          <w:sz w:val="18"/>
          <w:szCs w:val="18"/>
        </w:rPr>
      </w:pPr>
      <w:r>
        <w:rPr>
          <w:noProof/>
          <w:sz w:val="18"/>
          <w:szCs w:val="18"/>
          <w:lang w:eastAsia="en-NZ"/>
        </w:rPr>
        <w:drawing>
          <wp:inline distT="0" distB="0" distL="0" distR="0">
            <wp:extent cx="4797010" cy="69723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S7_insertion_tim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97888" cy="6973576"/>
                    </a:xfrm>
                    <a:prstGeom prst="rect">
                      <a:avLst/>
                    </a:prstGeom>
                  </pic:spPr>
                </pic:pic>
              </a:graphicData>
            </a:graphic>
          </wp:inline>
        </w:drawing>
      </w:r>
    </w:p>
    <w:p w:rsidR="003F0F75" w:rsidRPr="008D7C93" w:rsidRDefault="003F0F75" w:rsidP="006569B1">
      <w:pPr>
        <w:pStyle w:val="Caption"/>
      </w:pPr>
      <w:r>
        <w:t xml:space="preserve">Figure S7. </w:t>
      </w:r>
      <w:r w:rsidRPr="008D7C93">
        <w:t>Insertion dates of LTR-TE families containing complete copies</w:t>
      </w:r>
    </w:p>
    <w:p w:rsidR="003F0F75" w:rsidRPr="00535B2B" w:rsidRDefault="003F0F75" w:rsidP="003F0F75">
      <w:pPr>
        <w:rPr>
          <w:sz w:val="18"/>
          <w:szCs w:val="18"/>
        </w:rPr>
      </w:pPr>
      <w:r w:rsidRPr="00535B2B">
        <w:rPr>
          <w:b/>
          <w:sz w:val="18"/>
          <w:szCs w:val="18"/>
        </w:rPr>
        <w:t>(A)</w:t>
      </w:r>
      <w:r w:rsidRPr="00535B2B">
        <w:rPr>
          <w:sz w:val="18"/>
          <w:szCs w:val="18"/>
        </w:rPr>
        <w:t xml:space="preserve"> Distribution of the insertion dates for 177 complete copies of the Copia-23 family. The peak of amplification (0.17 MYA) is indicated as the dashed line. </w:t>
      </w:r>
      <w:r w:rsidRPr="00535B2B">
        <w:rPr>
          <w:b/>
          <w:sz w:val="18"/>
          <w:szCs w:val="18"/>
        </w:rPr>
        <w:t>(B)</w:t>
      </w:r>
      <w:r w:rsidRPr="00535B2B">
        <w:rPr>
          <w:sz w:val="18"/>
          <w:szCs w:val="18"/>
        </w:rPr>
        <w:t xml:space="preserve"> Distribution of the insertion dates using 41 LTR-TE families with at least 10 complete copies. </w:t>
      </w:r>
      <w:r w:rsidRPr="00535B2B">
        <w:rPr>
          <w:b/>
          <w:sz w:val="18"/>
          <w:szCs w:val="18"/>
        </w:rPr>
        <w:t>(C)</w:t>
      </w:r>
      <w:r w:rsidRPr="00535B2B">
        <w:rPr>
          <w:sz w:val="18"/>
          <w:szCs w:val="18"/>
        </w:rPr>
        <w:t xml:space="preserve"> Comparison of the transposition burst time among LTR-TE families containing full</w:t>
      </w:r>
      <w:r w:rsidR="00535B2B" w:rsidRPr="00535B2B">
        <w:rPr>
          <w:sz w:val="18"/>
          <w:szCs w:val="18"/>
        </w:rPr>
        <w:t>-</w:t>
      </w:r>
      <w:r w:rsidRPr="00535B2B">
        <w:rPr>
          <w:sz w:val="18"/>
          <w:szCs w:val="18"/>
        </w:rPr>
        <w:t xml:space="preserve">length expression candidates. The families were ordered by the peak of insertion time (grey diamonds). The asterisks denote </w:t>
      </w:r>
      <w:r w:rsidR="00535B2B" w:rsidRPr="00535B2B">
        <w:rPr>
          <w:sz w:val="18"/>
          <w:szCs w:val="18"/>
        </w:rPr>
        <w:t xml:space="preserve">a </w:t>
      </w:r>
      <w:r w:rsidRPr="00535B2B">
        <w:rPr>
          <w:sz w:val="18"/>
          <w:szCs w:val="18"/>
        </w:rPr>
        <w:t xml:space="preserve">significant level of t-test for the mean of insertion time as indicated. </w:t>
      </w:r>
      <w:r w:rsidRPr="00535B2B">
        <w:rPr>
          <w:b/>
          <w:sz w:val="18"/>
          <w:szCs w:val="18"/>
        </w:rPr>
        <w:t>(D-E)</w:t>
      </w:r>
      <w:r w:rsidRPr="00535B2B">
        <w:rPr>
          <w:sz w:val="18"/>
          <w:szCs w:val="18"/>
        </w:rPr>
        <w:t xml:space="preserve"> Comparison of the insertion time of all annotated structurally autonomous Copia-3 (D) and Copia-23 loci grouped into three categor</w:t>
      </w:r>
      <w:r w:rsidR="00535B2B" w:rsidRPr="00535B2B">
        <w:rPr>
          <w:sz w:val="18"/>
          <w:szCs w:val="18"/>
        </w:rPr>
        <w:t>ies</w:t>
      </w:r>
      <w:r w:rsidRPr="00535B2B">
        <w:rPr>
          <w:sz w:val="18"/>
          <w:szCs w:val="18"/>
        </w:rPr>
        <w:t xml:space="preserve">: non-candidates, un-trackable expression candidates, and trackable expression candidates. </w:t>
      </w:r>
    </w:p>
    <w:p w:rsidR="00BC62A9" w:rsidRPr="00646215" w:rsidRDefault="00AA4B61" w:rsidP="003F0F75">
      <w:pPr>
        <w:rPr>
          <w:sz w:val="18"/>
          <w:szCs w:val="18"/>
        </w:rPr>
      </w:pPr>
      <w:r>
        <w:rPr>
          <w:noProof/>
          <w:sz w:val="18"/>
          <w:szCs w:val="18"/>
          <w:lang w:eastAsia="en-NZ"/>
        </w:rPr>
        <w:drawing>
          <wp:inline distT="0" distB="0" distL="0" distR="0">
            <wp:extent cx="5731510" cy="7240270"/>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S8_regional_distribution_Copia.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7240270"/>
                    </a:xfrm>
                    <a:prstGeom prst="rect">
                      <a:avLst/>
                    </a:prstGeom>
                  </pic:spPr>
                </pic:pic>
              </a:graphicData>
            </a:graphic>
          </wp:inline>
        </w:drawing>
      </w:r>
    </w:p>
    <w:p w:rsidR="00BC62A9" w:rsidRPr="00461D2B" w:rsidRDefault="00BC62A9" w:rsidP="006569B1">
      <w:pPr>
        <w:pStyle w:val="Caption"/>
      </w:pPr>
      <w:r>
        <w:t xml:space="preserve">Figure S8. </w:t>
      </w:r>
      <w:r w:rsidRPr="00461D2B">
        <w:t xml:space="preserve">Genic and intergenic distribution of annotated TEs and expression candidates of </w:t>
      </w:r>
      <w:proofErr w:type="spellStart"/>
      <w:r w:rsidRPr="00461D2B">
        <w:t>Copia</w:t>
      </w:r>
      <w:proofErr w:type="spellEnd"/>
    </w:p>
    <w:p w:rsidR="009379FC" w:rsidRPr="00535B2B" w:rsidRDefault="00BC62A9" w:rsidP="00BC62A9">
      <w:pPr>
        <w:jc w:val="both"/>
        <w:rPr>
          <w:sz w:val="18"/>
          <w:szCs w:val="18"/>
          <w:lang w:eastAsia="zh-TW"/>
        </w:rPr>
      </w:pPr>
      <w:r w:rsidRPr="00535B2B">
        <w:rPr>
          <w:b/>
          <w:sz w:val="18"/>
          <w:szCs w:val="18"/>
        </w:rPr>
        <w:t>(A)</w:t>
      </w:r>
      <w:r w:rsidRPr="00535B2B">
        <w:rPr>
          <w:sz w:val="18"/>
          <w:szCs w:val="18"/>
        </w:rPr>
        <w:t xml:space="preserve"> Distribution of all annotated </w:t>
      </w:r>
      <w:proofErr w:type="spellStart"/>
      <w:r w:rsidRPr="00535B2B">
        <w:rPr>
          <w:sz w:val="18"/>
          <w:szCs w:val="18"/>
        </w:rPr>
        <w:t>Copia</w:t>
      </w:r>
      <w:proofErr w:type="spellEnd"/>
      <w:r w:rsidRPr="00535B2B">
        <w:rPr>
          <w:sz w:val="18"/>
          <w:szCs w:val="18"/>
        </w:rPr>
        <w:t xml:space="preserve"> in the reference genome. </w:t>
      </w:r>
      <w:r w:rsidRPr="00535B2B">
        <w:rPr>
          <w:b/>
          <w:sz w:val="18"/>
          <w:szCs w:val="18"/>
        </w:rPr>
        <w:t>(B-E)</w:t>
      </w:r>
      <w:r w:rsidRPr="00535B2B">
        <w:rPr>
          <w:sz w:val="18"/>
          <w:szCs w:val="18"/>
        </w:rPr>
        <w:t xml:space="preserve"> Distribution of </w:t>
      </w:r>
      <w:proofErr w:type="spellStart"/>
      <w:r w:rsidRPr="00535B2B">
        <w:rPr>
          <w:sz w:val="18"/>
          <w:szCs w:val="18"/>
        </w:rPr>
        <w:t>Copia</w:t>
      </w:r>
      <w:proofErr w:type="spellEnd"/>
      <w:r w:rsidRPr="00535B2B">
        <w:rPr>
          <w:sz w:val="18"/>
          <w:szCs w:val="18"/>
        </w:rPr>
        <w:t xml:space="preserve"> expression candidates of </w:t>
      </w:r>
      <w:proofErr w:type="spellStart"/>
      <w:r w:rsidRPr="00535B2B">
        <w:rPr>
          <w:sz w:val="18"/>
          <w:szCs w:val="18"/>
        </w:rPr>
        <w:t>Vv_T</w:t>
      </w:r>
      <w:proofErr w:type="spellEnd"/>
      <w:r w:rsidRPr="00535B2B">
        <w:rPr>
          <w:sz w:val="18"/>
          <w:szCs w:val="18"/>
        </w:rPr>
        <w:t xml:space="preserve">=0 (B), </w:t>
      </w:r>
      <w:proofErr w:type="spellStart"/>
      <w:r w:rsidRPr="00535B2B">
        <w:rPr>
          <w:sz w:val="18"/>
          <w:szCs w:val="18"/>
        </w:rPr>
        <w:t>Vv_Mock</w:t>
      </w:r>
      <w:proofErr w:type="spellEnd"/>
      <w:r w:rsidRPr="00535B2B">
        <w:rPr>
          <w:sz w:val="18"/>
          <w:szCs w:val="18"/>
        </w:rPr>
        <w:t xml:space="preserve"> (C), and </w:t>
      </w:r>
      <w:proofErr w:type="spellStart"/>
      <w:r w:rsidRPr="00535B2B">
        <w:rPr>
          <w:sz w:val="18"/>
          <w:szCs w:val="18"/>
        </w:rPr>
        <w:t>Vv_Yeast</w:t>
      </w:r>
      <w:proofErr w:type="spellEnd"/>
      <w:r w:rsidRPr="00535B2B">
        <w:rPr>
          <w:sz w:val="18"/>
          <w:szCs w:val="18"/>
        </w:rPr>
        <w:t xml:space="preserve"> (D).</w:t>
      </w:r>
    </w:p>
    <w:p w:rsidR="009379FC" w:rsidRDefault="009379FC">
      <w:pPr>
        <w:rPr>
          <w:sz w:val="18"/>
          <w:szCs w:val="18"/>
        </w:rPr>
      </w:pPr>
      <w:r>
        <w:rPr>
          <w:sz w:val="18"/>
          <w:szCs w:val="18"/>
        </w:rPr>
        <w:br w:type="page"/>
      </w:r>
    </w:p>
    <w:p w:rsidR="00BC62A9" w:rsidRPr="00B83A50" w:rsidRDefault="00AA4B61" w:rsidP="00BC62A9">
      <w:pPr>
        <w:jc w:val="both"/>
        <w:rPr>
          <w:sz w:val="18"/>
          <w:szCs w:val="18"/>
        </w:rPr>
      </w:pPr>
      <w:r>
        <w:rPr>
          <w:noProof/>
          <w:sz w:val="18"/>
          <w:szCs w:val="18"/>
          <w:lang w:eastAsia="en-NZ"/>
        </w:rPr>
        <w:drawing>
          <wp:inline distT="0" distB="0" distL="0" distR="0">
            <wp:extent cx="5731510" cy="7266940"/>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S9_regional_distribution_Gyps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7266940"/>
                    </a:xfrm>
                    <a:prstGeom prst="rect">
                      <a:avLst/>
                    </a:prstGeom>
                  </pic:spPr>
                </pic:pic>
              </a:graphicData>
            </a:graphic>
          </wp:inline>
        </w:drawing>
      </w:r>
    </w:p>
    <w:p w:rsidR="00F56FB5" w:rsidRPr="00461D2B" w:rsidRDefault="00F56FB5" w:rsidP="006569B1">
      <w:pPr>
        <w:pStyle w:val="Caption"/>
      </w:pPr>
      <w:r>
        <w:t xml:space="preserve">Figure S9. </w:t>
      </w:r>
      <w:r w:rsidRPr="00461D2B">
        <w:t xml:space="preserve">Genic and intergenic distribution of annotated TEs and expression candidates of </w:t>
      </w:r>
      <w:r>
        <w:t>Gypsy</w:t>
      </w:r>
    </w:p>
    <w:p w:rsidR="00F56FB5" w:rsidRPr="00535B2B" w:rsidRDefault="00F56FB5" w:rsidP="00F56FB5">
      <w:pPr>
        <w:jc w:val="both"/>
        <w:rPr>
          <w:sz w:val="18"/>
          <w:szCs w:val="18"/>
        </w:rPr>
      </w:pPr>
      <w:r w:rsidRPr="00535B2B">
        <w:rPr>
          <w:b/>
          <w:sz w:val="18"/>
          <w:szCs w:val="18"/>
        </w:rPr>
        <w:t>(A)</w:t>
      </w:r>
      <w:r w:rsidRPr="00535B2B">
        <w:rPr>
          <w:sz w:val="18"/>
          <w:szCs w:val="18"/>
        </w:rPr>
        <w:t xml:space="preserve"> Distribution of all annotated Gypsy in the reference genome. </w:t>
      </w:r>
      <w:r w:rsidRPr="00535B2B">
        <w:rPr>
          <w:b/>
          <w:sz w:val="18"/>
          <w:szCs w:val="18"/>
        </w:rPr>
        <w:t>(B-E)</w:t>
      </w:r>
      <w:r w:rsidRPr="00535B2B">
        <w:rPr>
          <w:sz w:val="18"/>
          <w:szCs w:val="18"/>
        </w:rPr>
        <w:t xml:space="preserve"> Distribution of Gypsy expression candidates of </w:t>
      </w:r>
      <w:proofErr w:type="spellStart"/>
      <w:r w:rsidRPr="00535B2B">
        <w:rPr>
          <w:sz w:val="18"/>
          <w:szCs w:val="18"/>
        </w:rPr>
        <w:t>Vv_T</w:t>
      </w:r>
      <w:proofErr w:type="spellEnd"/>
      <w:r w:rsidRPr="00535B2B">
        <w:rPr>
          <w:sz w:val="18"/>
          <w:szCs w:val="18"/>
        </w:rPr>
        <w:t xml:space="preserve">=0 (B), </w:t>
      </w:r>
      <w:proofErr w:type="spellStart"/>
      <w:r w:rsidRPr="00535B2B">
        <w:rPr>
          <w:sz w:val="18"/>
          <w:szCs w:val="18"/>
        </w:rPr>
        <w:t>Vv_Mock</w:t>
      </w:r>
      <w:proofErr w:type="spellEnd"/>
      <w:r w:rsidRPr="00535B2B">
        <w:rPr>
          <w:sz w:val="18"/>
          <w:szCs w:val="18"/>
        </w:rPr>
        <w:t xml:space="preserve"> (C), and </w:t>
      </w:r>
      <w:proofErr w:type="spellStart"/>
      <w:r w:rsidRPr="00535B2B">
        <w:rPr>
          <w:sz w:val="18"/>
          <w:szCs w:val="18"/>
        </w:rPr>
        <w:t>Vv_Yeast</w:t>
      </w:r>
      <w:proofErr w:type="spellEnd"/>
      <w:r w:rsidRPr="00535B2B">
        <w:rPr>
          <w:sz w:val="18"/>
          <w:szCs w:val="18"/>
        </w:rPr>
        <w:t xml:space="preserve"> (D).</w:t>
      </w:r>
    </w:p>
    <w:p w:rsidR="00F56FB5" w:rsidRDefault="00F56FB5">
      <w:r>
        <w:br w:type="page"/>
      </w:r>
    </w:p>
    <w:p w:rsidR="00E759A9" w:rsidRDefault="00AA4B61" w:rsidP="00E759A9">
      <w:r>
        <w:rPr>
          <w:noProof/>
          <w:lang w:eastAsia="en-NZ"/>
        </w:rPr>
        <w:drawing>
          <wp:inline distT="0" distB="0" distL="0" distR="0">
            <wp:extent cx="5731510" cy="7240270"/>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S10_regional_distribution_LINE.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7240270"/>
                    </a:xfrm>
                    <a:prstGeom prst="rect">
                      <a:avLst/>
                    </a:prstGeom>
                  </pic:spPr>
                </pic:pic>
              </a:graphicData>
            </a:graphic>
          </wp:inline>
        </w:drawing>
      </w:r>
    </w:p>
    <w:p w:rsidR="00F56FB5" w:rsidRPr="00461D2B" w:rsidRDefault="00F56FB5" w:rsidP="006569B1">
      <w:pPr>
        <w:pStyle w:val="Caption"/>
      </w:pPr>
      <w:r>
        <w:t xml:space="preserve">Figure S10. </w:t>
      </w:r>
      <w:r w:rsidRPr="00461D2B">
        <w:t xml:space="preserve">Genic and intergenic distribution of annotated TEs and expression candidates of </w:t>
      </w:r>
      <w:r>
        <w:t>LINE</w:t>
      </w:r>
    </w:p>
    <w:p w:rsidR="00F56FB5" w:rsidRPr="00535B2B" w:rsidRDefault="00F56FB5" w:rsidP="00F56FB5">
      <w:pPr>
        <w:jc w:val="both"/>
        <w:rPr>
          <w:sz w:val="18"/>
          <w:szCs w:val="18"/>
        </w:rPr>
      </w:pPr>
      <w:r w:rsidRPr="00535B2B">
        <w:rPr>
          <w:b/>
          <w:sz w:val="18"/>
          <w:szCs w:val="18"/>
        </w:rPr>
        <w:t>(A)</w:t>
      </w:r>
      <w:r w:rsidRPr="00535B2B">
        <w:rPr>
          <w:sz w:val="18"/>
          <w:szCs w:val="18"/>
        </w:rPr>
        <w:t xml:space="preserve"> Distribution of all annotated LINE in the reference genome. </w:t>
      </w:r>
      <w:r w:rsidRPr="00535B2B">
        <w:rPr>
          <w:b/>
          <w:sz w:val="18"/>
          <w:szCs w:val="18"/>
        </w:rPr>
        <w:t>(B-E)</w:t>
      </w:r>
      <w:r w:rsidRPr="00535B2B">
        <w:rPr>
          <w:sz w:val="18"/>
          <w:szCs w:val="18"/>
        </w:rPr>
        <w:t xml:space="preserve"> Distribution of LINE expression candidates of </w:t>
      </w:r>
      <w:proofErr w:type="spellStart"/>
      <w:r w:rsidRPr="00535B2B">
        <w:rPr>
          <w:sz w:val="18"/>
          <w:szCs w:val="18"/>
        </w:rPr>
        <w:t>Vv_T</w:t>
      </w:r>
      <w:proofErr w:type="spellEnd"/>
      <w:r w:rsidRPr="00535B2B">
        <w:rPr>
          <w:sz w:val="18"/>
          <w:szCs w:val="18"/>
        </w:rPr>
        <w:t xml:space="preserve">=0 (B), </w:t>
      </w:r>
      <w:proofErr w:type="spellStart"/>
      <w:r w:rsidRPr="00535B2B">
        <w:rPr>
          <w:sz w:val="18"/>
          <w:szCs w:val="18"/>
        </w:rPr>
        <w:t>Vv_Mock</w:t>
      </w:r>
      <w:proofErr w:type="spellEnd"/>
      <w:r w:rsidRPr="00535B2B">
        <w:rPr>
          <w:sz w:val="18"/>
          <w:szCs w:val="18"/>
        </w:rPr>
        <w:t xml:space="preserve"> (C), and </w:t>
      </w:r>
      <w:proofErr w:type="spellStart"/>
      <w:r w:rsidRPr="00535B2B">
        <w:rPr>
          <w:sz w:val="18"/>
          <w:szCs w:val="18"/>
        </w:rPr>
        <w:t>Vv_Yeast</w:t>
      </w:r>
      <w:proofErr w:type="spellEnd"/>
      <w:r w:rsidRPr="00535B2B">
        <w:rPr>
          <w:sz w:val="18"/>
          <w:szCs w:val="18"/>
        </w:rPr>
        <w:t xml:space="preserve"> (D).</w:t>
      </w:r>
    </w:p>
    <w:p w:rsidR="00F56FB5" w:rsidRDefault="00F56FB5">
      <w:r>
        <w:br w:type="page"/>
      </w:r>
    </w:p>
    <w:p w:rsidR="00F56FB5" w:rsidRDefault="00AA4B61" w:rsidP="00E759A9">
      <w:r>
        <w:rPr>
          <w:noProof/>
          <w:lang w:eastAsia="en-NZ"/>
        </w:rPr>
        <w:drawing>
          <wp:inline distT="0" distB="0" distL="0" distR="0">
            <wp:extent cx="5731510" cy="7240270"/>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S11_regional_distribution_hAT.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7240270"/>
                    </a:xfrm>
                    <a:prstGeom prst="rect">
                      <a:avLst/>
                    </a:prstGeom>
                  </pic:spPr>
                </pic:pic>
              </a:graphicData>
            </a:graphic>
          </wp:inline>
        </w:drawing>
      </w:r>
    </w:p>
    <w:p w:rsidR="00F56FB5" w:rsidRPr="00461D2B" w:rsidRDefault="00F56FB5" w:rsidP="006569B1">
      <w:pPr>
        <w:pStyle w:val="Caption"/>
      </w:pPr>
      <w:r>
        <w:t xml:space="preserve">Figure S11. </w:t>
      </w:r>
      <w:r w:rsidRPr="00461D2B">
        <w:t xml:space="preserve">Genic and intergenic distribution of annotated TEs and expression candidates of </w:t>
      </w:r>
      <w:proofErr w:type="spellStart"/>
      <w:r>
        <w:t>hAT</w:t>
      </w:r>
      <w:proofErr w:type="spellEnd"/>
    </w:p>
    <w:p w:rsidR="00F56FB5" w:rsidRPr="00535B2B" w:rsidRDefault="00F56FB5" w:rsidP="00F56FB5">
      <w:pPr>
        <w:jc w:val="both"/>
        <w:rPr>
          <w:sz w:val="18"/>
          <w:szCs w:val="18"/>
        </w:rPr>
      </w:pPr>
      <w:r w:rsidRPr="00535B2B">
        <w:rPr>
          <w:b/>
          <w:sz w:val="18"/>
          <w:szCs w:val="18"/>
        </w:rPr>
        <w:t>(A)</w:t>
      </w:r>
      <w:r w:rsidRPr="00535B2B">
        <w:rPr>
          <w:sz w:val="18"/>
          <w:szCs w:val="18"/>
        </w:rPr>
        <w:t xml:space="preserve"> Distribution of all annotated </w:t>
      </w:r>
      <w:proofErr w:type="spellStart"/>
      <w:r w:rsidRPr="00535B2B">
        <w:rPr>
          <w:sz w:val="18"/>
          <w:szCs w:val="18"/>
        </w:rPr>
        <w:t>hAT</w:t>
      </w:r>
      <w:proofErr w:type="spellEnd"/>
      <w:r w:rsidRPr="00535B2B">
        <w:rPr>
          <w:sz w:val="18"/>
          <w:szCs w:val="18"/>
        </w:rPr>
        <w:t xml:space="preserve"> in the reference genome. </w:t>
      </w:r>
      <w:r w:rsidRPr="00535B2B">
        <w:rPr>
          <w:b/>
          <w:sz w:val="18"/>
          <w:szCs w:val="18"/>
        </w:rPr>
        <w:t>(B-E)</w:t>
      </w:r>
      <w:r w:rsidRPr="00535B2B">
        <w:rPr>
          <w:sz w:val="18"/>
          <w:szCs w:val="18"/>
        </w:rPr>
        <w:t xml:space="preserve"> Distribution of </w:t>
      </w:r>
      <w:proofErr w:type="spellStart"/>
      <w:r w:rsidRPr="00535B2B">
        <w:rPr>
          <w:sz w:val="18"/>
          <w:szCs w:val="18"/>
        </w:rPr>
        <w:t>hAT</w:t>
      </w:r>
      <w:proofErr w:type="spellEnd"/>
      <w:r w:rsidRPr="00535B2B">
        <w:rPr>
          <w:sz w:val="18"/>
          <w:szCs w:val="18"/>
        </w:rPr>
        <w:t xml:space="preserve"> expression candidates of </w:t>
      </w:r>
      <w:proofErr w:type="spellStart"/>
      <w:r w:rsidRPr="00535B2B">
        <w:rPr>
          <w:sz w:val="18"/>
          <w:szCs w:val="18"/>
        </w:rPr>
        <w:t>Vv_T</w:t>
      </w:r>
      <w:proofErr w:type="spellEnd"/>
      <w:r w:rsidRPr="00535B2B">
        <w:rPr>
          <w:sz w:val="18"/>
          <w:szCs w:val="18"/>
        </w:rPr>
        <w:t xml:space="preserve">=0 (B), </w:t>
      </w:r>
      <w:proofErr w:type="spellStart"/>
      <w:r w:rsidRPr="00535B2B">
        <w:rPr>
          <w:sz w:val="18"/>
          <w:szCs w:val="18"/>
        </w:rPr>
        <w:t>Vv_Mock</w:t>
      </w:r>
      <w:proofErr w:type="spellEnd"/>
      <w:r w:rsidRPr="00535B2B">
        <w:rPr>
          <w:sz w:val="18"/>
          <w:szCs w:val="18"/>
        </w:rPr>
        <w:t xml:space="preserve"> (C), and </w:t>
      </w:r>
      <w:proofErr w:type="spellStart"/>
      <w:r w:rsidRPr="00535B2B">
        <w:rPr>
          <w:sz w:val="18"/>
          <w:szCs w:val="18"/>
        </w:rPr>
        <w:t>Vv_Yeast</w:t>
      </w:r>
      <w:proofErr w:type="spellEnd"/>
      <w:r w:rsidRPr="00535B2B">
        <w:rPr>
          <w:sz w:val="18"/>
          <w:szCs w:val="18"/>
        </w:rPr>
        <w:t xml:space="preserve"> (D).</w:t>
      </w:r>
    </w:p>
    <w:p w:rsidR="00F56FB5" w:rsidRDefault="00F56FB5">
      <w:r>
        <w:br w:type="page"/>
      </w:r>
    </w:p>
    <w:p w:rsidR="00F56FB5" w:rsidRDefault="00AA4B61" w:rsidP="00E759A9">
      <w:r>
        <w:rPr>
          <w:noProof/>
          <w:lang w:eastAsia="en-NZ"/>
        </w:rPr>
        <w:drawing>
          <wp:inline distT="0" distB="0" distL="0" distR="0">
            <wp:extent cx="5731510" cy="7240270"/>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S12_regional_distribution_MULE.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7240270"/>
                    </a:xfrm>
                    <a:prstGeom prst="rect">
                      <a:avLst/>
                    </a:prstGeom>
                  </pic:spPr>
                </pic:pic>
              </a:graphicData>
            </a:graphic>
          </wp:inline>
        </w:drawing>
      </w:r>
    </w:p>
    <w:p w:rsidR="00F56FB5" w:rsidRPr="00461D2B" w:rsidRDefault="00F56FB5" w:rsidP="006569B1">
      <w:pPr>
        <w:pStyle w:val="Caption"/>
      </w:pPr>
      <w:r>
        <w:t xml:space="preserve">Figure S12. </w:t>
      </w:r>
      <w:r w:rsidRPr="00461D2B">
        <w:t xml:space="preserve">Genic and intergenic distribution of annotated TEs and expression candidates of </w:t>
      </w:r>
      <w:r>
        <w:t>MULE</w:t>
      </w:r>
    </w:p>
    <w:p w:rsidR="001E0769" w:rsidRPr="00535B2B" w:rsidRDefault="00F56FB5" w:rsidP="00F56FB5">
      <w:pPr>
        <w:jc w:val="both"/>
        <w:rPr>
          <w:sz w:val="18"/>
          <w:szCs w:val="18"/>
        </w:rPr>
      </w:pPr>
      <w:r w:rsidRPr="00535B2B">
        <w:rPr>
          <w:b/>
          <w:sz w:val="18"/>
          <w:szCs w:val="18"/>
        </w:rPr>
        <w:t>(A)</w:t>
      </w:r>
      <w:r w:rsidRPr="00535B2B">
        <w:rPr>
          <w:sz w:val="18"/>
          <w:szCs w:val="18"/>
        </w:rPr>
        <w:t xml:space="preserve"> Distribution of all annotated MULE in the reference genome. </w:t>
      </w:r>
      <w:r w:rsidRPr="00535B2B">
        <w:rPr>
          <w:b/>
          <w:sz w:val="18"/>
          <w:szCs w:val="18"/>
        </w:rPr>
        <w:t>(B-E)</w:t>
      </w:r>
      <w:r w:rsidRPr="00535B2B">
        <w:rPr>
          <w:sz w:val="18"/>
          <w:szCs w:val="18"/>
        </w:rPr>
        <w:t xml:space="preserve"> Distribution of MULE expression candidates of </w:t>
      </w:r>
      <w:proofErr w:type="spellStart"/>
      <w:r w:rsidRPr="00535B2B">
        <w:rPr>
          <w:sz w:val="18"/>
          <w:szCs w:val="18"/>
        </w:rPr>
        <w:t>Vv_T</w:t>
      </w:r>
      <w:proofErr w:type="spellEnd"/>
      <w:r w:rsidRPr="00535B2B">
        <w:rPr>
          <w:sz w:val="18"/>
          <w:szCs w:val="18"/>
        </w:rPr>
        <w:t xml:space="preserve">=0 (B), </w:t>
      </w:r>
      <w:proofErr w:type="spellStart"/>
      <w:r w:rsidRPr="00535B2B">
        <w:rPr>
          <w:sz w:val="18"/>
          <w:szCs w:val="18"/>
        </w:rPr>
        <w:t>Vv_Mock</w:t>
      </w:r>
      <w:proofErr w:type="spellEnd"/>
      <w:r w:rsidRPr="00535B2B">
        <w:rPr>
          <w:sz w:val="18"/>
          <w:szCs w:val="18"/>
        </w:rPr>
        <w:t xml:space="preserve"> (C), and </w:t>
      </w:r>
      <w:proofErr w:type="spellStart"/>
      <w:r w:rsidRPr="00535B2B">
        <w:rPr>
          <w:sz w:val="18"/>
          <w:szCs w:val="18"/>
        </w:rPr>
        <w:t>Vv_Yeast</w:t>
      </w:r>
      <w:proofErr w:type="spellEnd"/>
      <w:r w:rsidRPr="00535B2B">
        <w:rPr>
          <w:sz w:val="18"/>
          <w:szCs w:val="18"/>
        </w:rPr>
        <w:t xml:space="preserve"> (D).</w:t>
      </w:r>
    </w:p>
    <w:p w:rsidR="001E0769" w:rsidRDefault="001E0769">
      <w:pPr>
        <w:rPr>
          <w:sz w:val="18"/>
          <w:szCs w:val="18"/>
        </w:rPr>
      </w:pPr>
      <w:r>
        <w:rPr>
          <w:sz w:val="18"/>
          <w:szCs w:val="18"/>
        </w:rPr>
        <w:br w:type="page"/>
      </w:r>
    </w:p>
    <w:p w:rsidR="00F56FB5" w:rsidRDefault="00AA4B61" w:rsidP="00F56FB5">
      <w:pPr>
        <w:jc w:val="both"/>
        <w:rPr>
          <w:sz w:val="18"/>
          <w:szCs w:val="18"/>
        </w:rPr>
      </w:pPr>
      <w:r>
        <w:rPr>
          <w:noProof/>
          <w:sz w:val="18"/>
          <w:szCs w:val="18"/>
          <w:lang w:eastAsia="en-NZ"/>
        </w:rPr>
        <w:drawing>
          <wp:inline distT="0" distB="0" distL="0" distR="0">
            <wp:extent cx="5731510" cy="7244080"/>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S13_location_distribution_Copia.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7244080"/>
                    </a:xfrm>
                    <a:prstGeom prst="rect">
                      <a:avLst/>
                    </a:prstGeom>
                  </pic:spPr>
                </pic:pic>
              </a:graphicData>
            </a:graphic>
          </wp:inline>
        </w:drawing>
      </w:r>
    </w:p>
    <w:p w:rsidR="001E0769" w:rsidRPr="00D10C1D" w:rsidRDefault="001E0769" w:rsidP="006569B1">
      <w:pPr>
        <w:pStyle w:val="Caption"/>
      </w:pPr>
      <w:r>
        <w:t xml:space="preserve">Figure S13. </w:t>
      </w:r>
      <w:r w:rsidRPr="00D10C1D">
        <w:t xml:space="preserve">Location distribution of annotated genic TEs and expression candidates of </w:t>
      </w:r>
      <w:proofErr w:type="spellStart"/>
      <w:r w:rsidRPr="00D10C1D">
        <w:t>Copia</w:t>
      </w:r>
      <w:proofErr w:type="spellEnd"/>
    </w:p>
    <w:p w:rsidR="001E0769" w:rsidRPr="00535B2B" w:rsidRDefault="001E0769" w:rsidP="001E0769">
      <w:pPr>
        <w:jc w:val="both"/>
        <w:rPr>
          <w:sz w:val="18"/>
          <w:szCs w:val="18"/>
        </w:rPr>
      </w:pPr>
      <w:r w:rsidRPr="00535B2B">
        <w:rPr>
          <w:b/>
          <w:sz w:val="18"/>
          <w:szCs w:val="18"/>
        </w:rPr>
        <w:t>(A)</w:t>
      </w:r>
      <w:r w:rsidRPr="00535B2B">
        <w:rPr>
          <w:sz w:val="18"/>
          <w:szCs w:val="18"/>
        </w:rPr>
        <w:t xml:space="preserve"> Location distribution of all annotated genic </w:t>
      </w:r>
      <w:proofErr w:type="spellStart"/>
      <w:r w:rsidRPr="00535B2B">
        <w:rPr>
          <w:sz w:val="18"/>
          <w:szCs w:val="18"/>
        </w:rPr>
        <w:t>Copia</w:t>
      </w:r>
      <w:proofErr w:type="spellEnd"/>
      <w:r w:rsidRPr="00535B2B">
        <w:rPr>
          <w:sz w:val="18"/>
          <w:szCs w:val="18"/>
        </w:rPr>
        <w:t xml:space="preserve"> in the reference genome. </w:t>
      </w:r>
      <w:r w:rsidRPr="00535B2B">
        <w:rPr>
          <w:b/>
          <w:sz w:val="18"/>
          <w:szCs w:val="18"/>
        </w:rPr>
        <w:t>(B-E)</w:t>
      </w:r>
      <w:r w:rsidRPr="00535B2B">
        <w:rPr>
          <w:sz w:val="18"/>
          <w:szCs w:val="18"/>
        </w:rPr>
        <w:t xml:space="preserve"> Location distribution of genic </w:t>
      </w:r>
      <w:proofErr w:type="spellStart"/>
      <w:r w:rsidRPr="00535B2B">
        <w:rPr>
          <w:sz w:val="18"/>
          <w:szCs w:val="18"/>
        </w:rPr>
        <w:t>Copia</w:t>
      </w:r>
      <w:proofErr w:type="spellEnd"/>
      <w:r w:rsidRPr="00535B2B">
        <w:rPr>
          <w:sz w:val="18"/>
          <w:szCs w:val="18"/>
        </w:rPr>
        <w:t xml:space="preserve"> expression candidates of </w:t>
      </w:r>
      <w:proofErr w:type="spellStart"/>
      <w:r w:rsidRPr="00535B2B">
        <w:rPr>
          <w:sz w:val="18"/>
          <w:szCs w:val="18"/>
        </w:rPr>
        <w:t>Vv_T</w:t>
      </w:r>
      <w:proofErr w:type="spellEnd"/>
      <w:r w:rsidRPr="00535B2B">
        <w:rPr>
          <w:sz w:val="18"/>
          <w:szCs w:val="18"/>
        </w:rPr>
        <w:t xml:space="preserve">=0 (B), </w:t>
      </w:r>
      <w:proofErr w:type="spellStart"/>
      <w:r w:rsidRPr="00535B2B">
        <w:rPr>
          <w:sz w:val="18"/>
          <w:szCs w:val="18"/>
        </w:rPr>
        <w:t>Vv_Mock</w:t>
      </w:r>
      <w:proofErr w:type="spellEnd"/>
      <w:r w:rsidRPr="00535B2B">
        <w:rPr>
          <w:sz w:val="18"/>
          <w:szCs w:val="18"/>
        </w:rPr>
        <w:t xml:space="preserve"> (C), and </w:t>
      </w:r>
      <w:proofErr w:type="spellStart"/>
      <w:r w:rsidRPr="00535B2B">
        <w:rPr>
          <w:sz w:val="18"/>
          <w:szCs w:val="18"/>
        </w:rPr>
        <w:t>Vv_Yeast</w:t>
      </w:r>
      <w:proofErr w:type="spellEnd"/>
      <w:r w:rsidRPr="00535B2B">
        <w:rPr>
          <w:sz w:val="18"/>
          <w:szCs w:val="18"/>
        </w:rPr>
        <w:t xml:space="preserve"> (D).</w:t>
      </w:r>
    </w:p>
    <w:p w:rsidR="001E0769" w:rsidRDefault="001E0769">
      <w:pPr>
        <w:rPr>
          <w:sz w:val="18"/>
          <w:szCs w:val="18"/>
        </w:rPr>
      </w:pPr>
      <w:r>
        <w:rPr>
          <w:sz w:val="18"/>
          <w:szCs w:val="18"/>
        </w:rPr>
        <w:br w:type="page"/>
      </w:r>
    </w:p>
    <w:p w:rsidR="001E0769" w:rsidRPr="00B83A50" w:rsidRDefault="00AA4B61" w:rsidP="001E0769">
      <w:pPr>
        <w:jc w:val="both"/>
        <w:rPr>
          <w:sz w:val="18"/>
          <w:szCs w:val="18"/>
        </w:rPr>
      </w:pPr>
      <w:r>
        <w:rPr>
          <w:noProof/>
          <w:sz w:val="18"/>
          <w:szCs w:val="18"/>
          <w:lang w:eastAsia="en-NZ"/>
        </w:rPr>
        <w:drawing>
          <wp:inline distT="0" distB="0" distL="0" distR="0">
            <wp:extent cx="5731510" cy="7244080"/>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S14_location_distribution_Gypsy.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7244080"/>
                    </a:xfrm>
                    <a:prstGeom prst="rect">
                      <a:avLst/>
                    </a:prstGeom>
                  </pic:spPr>
                </pic:pic>
              </a:graphicData>
            </a:graphic>
          </wp:inline>
        </w:drawing>
      </w:r>
    </w:p>
    <w:p w:rsidR="001E0769" w:rsidRPr="00D10C1D" w:rsidRDefault="001E0769" w:rsidP="006569B1">
      <w:pPr>
        <w:pStyle w:val="Caption"/>
      </w:pPr>
      <w:r>
        <w:t xml:space="preserve">Figure S14. </w:t>
      </w:r>
      <w:r w:rsidRPr="00D10C1D">
        <w:t xml:space="preserve">Location distribution of annotated genic TEs and expression candidates of </w:t>
      </w:r>
      <w:r>
        <w:t>Gypsy</w:t>
      </w:r>
    </w:p>
    <w:p w:rsidR="001E0769" w:rsidRPr="00535B2B" w:rsidRDefault="001E0769" w:rsidP="001E0769">
      <w:pPr>
        <w:jc w:val="both"/>
        <w:rPr>
          <w:sz w:val="18"/>
          <w:szCs w:val="18"/>
        </w:rPr>
      </w:pPr>
      <w:r w:rsidRPr="00535B2B">
        <w:rPr>
          <w:b/>
          <w:sz w:val="18"/>
          <w:szCs w:val="18"/>
        </w:rPr>
        <w:t>(A)</w:t>
      </w:r>
      <w:r w:rsidRPr="00535B2B">
        <w:rPr>
          <w:sz w:val="18"/>
          <w:szCs w:val="18"/>
        </w:rPr>
        <w:t xml:space="preserve"> Location distribution of all annotated genic Gypsy in the reference genome. </w:t>
      </w:r>
      <w:r w:rsidRPr="00535B2B">
        <w:rPr>
          <w:b/>
          <w:sz w:val="18"/>
          <w:szCs w:val="18"/>
        </w:rPr>
        <w:t>(B-E)</w:t>
      </w:r>
      <w:r w:rsidRPr="00535B2B">
        <w:rPr>
          <w:sz w:val="18"/>
          <w:szCs w:val="18"/>
        </w:rPr>
        <w:t xml:space="preserve"> Location distribution of genic Gypsy expression candidates of </w:t>
      </w:r>
      <w:proofErr w:type="spellStart"/>
      <w:r w:rsidRPr="00535B2B">
        <w:rPr>
          <w:sz w:val="18"/>
          <w:szCs w:val="18"/>
        </w:rPr>
        <w:t>Vv_T</w:t>
      </w:r>
      <w:proofErr w:type="spellEnd"/>
      <w:r w:rsidRPr="00535B2B">
        <w:rPr>
          <w:sz w:val="18"/>
          <w:szCs w:val="18"/>
        </w:rPr>
        <w:t xml:space="preserve">=0 (B), </w:t>
      </w:r>
      <w:proofErr w:type="spellStart"/>
      <w:r w:rsidRPr="00535B2B">
        <w:rPr>
          <w:sz w:val="18"/>
          <w:szCs w:val="18"/>
        </w:rPr>
        <w:t>Vv_Mock</w:t>
      </w:r>
      <w:proofErr w:type="spellEnd"/>
      <w:r w:rsidRPr="00535B2B">
        <w:rPr>
          <w:sz w:val="18"/>
          <w:szCs w:val="18"/>
        </w:rPr>
        <w:t xml:space="preserve"> (C), and </w:t>
      </w:r>
      <w:proofErr w:type="spellStart"/>
      <w:r w:rsidRPr="00535B2B">
        <w:rPr>
          <w:sz w:val="18"/>
          <w:szCs w:val="18"/>
        </w:rPr>
        <w:t>Vv_Yeast</w:t>
      </w:r>
      <w:proofErr w:type="spellEnd"/>
      <w:r w:rsidRPr="00535B2B">
        <w:rPr>
          <w:sz w:val="18"/>
          <w:szCs w:val="18"/>
        </w:rPr>
        <w:t xml:space="preserve"> (D).</w:t>
      </w:r>
    </w:p>
    <w:p w:rsidR="001E0769" w:rsidRDefault="001E0769">
      <w:pPr>
        <w:rPr>
          <w:sz w:val="18"/>
          <w:szCs w:val="18"/>
        </w:rPr>
      </w:pPr>
      <w:r>
        <w:rPr>
          <w:sz w:val="18"/>
          <w:szCs w:val="18"/>
        </w:rPr>
        <w:br w:type="page"/>
      </w:r>
    </w:p>
    <w:p w:rsidR="001E0769" w:rsidRPr="00B83A50" w:rsidRDefault="00AA4B61" w:rsidP="001E0769">
      <w:pPr>
        <w:jc w:val="both"/>
        <w:rPr>
          <w:sz w:val="18"/>
          <w:szCs w:val="18"/>
        </w:rPr>
      </w:pPr>
      <w:r>
        <w:rPr>
          <w:noProof/>
          <w:sz w:val="18"/>
          <w:szCs w:val="18"/>
          <w:lang w:eastAsia="en-NZ"/>
        </w:rPr>
        <w:drawing>
          <wp:inline distT="0" distB="0" distL="0" distR="0">
            <wp:extent cx="5731510" cy="7190105"/>
            <wp:effectExtent l="0" t="0" r="254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S15_location_distribution_LINE.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7190105"/>
                    </a:xfrm>
                    <a:prstGeom prst="rect">
                      <a:avLst/>
                    </a:prstGeom>
                  </pic:spPr>
                </pic:pic>
              </a:graphicData>
            </a:graphic>
          </wp:inline>
        </w:drawing>
      </w:r>
    </w:p>
    <w:p w:rsidR="001E0769" w:rsidRPr="00D10C1D" w:rsidRDefault="001E0769" w:rsidP="006569B1">
      <w:pPr>
        <w:pStyle w:val="Caption"/>
      </w:pPr>
      <w:r>
        <w:t xml:space="preserve">Figure S15. </w:t>
      </w:r>
      <w:r w:rsidRPr="00D10C1D">
        <w:t xml:space="preserve">Location distribution of annotated genic TEs and expression candidates of </w:t>
      </w:r>
      <w:r>
        <w:t>LINE</w:t>
      </w:r>
    </w:p>
    <w:p w:rsidR="001E0769" w:rsidRPr="00535B2B" w:rsidRDefault="001E0769" w:rsidP="001E0769">
      <w:pPr>
        <w:jc w:val="both"/>
        <w:rPr>
          <w:sz w:val="18"/>
          <w:szCs w:val="18"/>
        </w:rPr>
      </w:pPr>
      <w:r w:rsidRPr="00535B2B">
        <w:rPr>
          <w:b/>
          <w:sz w:val="18"/>
          <w:szCs w:val="18"/>
        </w:rPr>
        <w:t>(A)</w:t>
      </w:r>
      <w:r w:rsidRPr="00535B2B">
        <w:rPr>
          <w:sz w:val="18"/>
          <w:szCs w:val="18"/>
        </w:rPr>
        <w:t xml:space="preserve"> Location distribution of all annotated genic LINE in the reference genome. </w:t>
      </w:r>
      <w:r w:rsidRPr="00535B2B">
        <w:rPr>
          <w:b/>
          <w:sz w:val="18"/>
          <w:szCs w:val="18"/>
        </w:rPr>
        <w:t>(B-E)</w:t>
      </w:r>
      <w:r w:rsidRPr="00535B2B">
        <w:rPr>
          <w:sz w:val="18"/>
          <w:szCs w:val="18"/>
        </w:rPr>
        <w:t xml:space="preserve"> Location distribution of genic LINE expression candidates of </w:t>
      </w:r>
      <w:proofErr w:type="spellStart"/>
      <w:r w:rsidRPr="00535B2B">
        <w:rPr>
          <w:sz w:val="18"/>
          <w:szCs w:val="18"/>
        </w:rPr>
        <w:t>Vv_T</w:t>
      </w:r>
      <w:proofErr w:type="spellEnd"/>
      <w:r w:rsidRPr="00535B2B">
        <w:rPr>
          <w:sz w:val="18"/>
          <w:szCs w:val="18"/>
        </w:rPr>
        <w:t xml:space="preserve">=0 (B), </w:t>
      </w:r>
      <w:proofErr w:type="spellStart"/>
      <w:r w:rsidRPr="00535B2B">
        <w:rPr>
          <w:sz w:val="18"/>
          <w:szCs w:val="18"/>
        </w:rPr>
        <w:t>Vv_Mock</w:t>
      </w:r>
      <w:proofErr w:type="spellEnd"/>
      <w:r w:rsidRPr="00535B2B">
        <w:rPr>
          <w:sz w:val="18"/>
          <w:szCs w:val="18"/>
        </w:rPr>
        <w:t xml:space="preserve"> (C), and </w:t>
      </w:r>
      <w:proofErr w:type="spellStart"/>
      <w:r w:rsidRPr="00535B2B">
        <w:rPr>
          <w:sz w:val="18"/>
          <w:szCs w:val="18"/>
        </w:rPr>
        <w:t>Vv_Yeast</w:t>
      </w:r>
      <w:proofErr w:type="spellEnd"/>
      <w:r w:rsidRPr="00535B2B">
        <w:rPr>
          <w:sz w:val="18"/>
          <w:szCs w:val="18"/>
        </w:rPr>
        <w:t xml:space="preserve"> (D).</w:t>
      </w:r>
    </w:p>
    <w:p w:rsidR="001E0769" w:rsidRDefault="001E0769">
      <w:pPr>
        <w:rPr>
          <w:sz w:val="18"/>
          <w:szCs w:val="18"/>
        </w:rPr>
      </w:pPr>
      <w:r>
        <w:rPr>
          <w:sz w:val="18"/>
          <w:szCs w:val="18"/>
        </w:rPr>
        <w:br w:type="page"/>
      </w:r>
    </w:p>
    <w:p w:rsidR="001E0769" w:rsidRDefault="00AA4B61" w:rsidP="001E0769">
      <w:pPr>
        <w:jc w:val="both"/>
        <w:rPr>
          <w:sz w:val="18"/>
          <w:szCs w:val="18"/>
        </w:rPr>
      </w:pPr>
      <w:r>
        <w:rPr>
          <w:noProof/>
          <w:sz w:val="18"/>
          <w:szCs w:val="18"/>
          <w:lang w:eastAsia="en-NZ"/>
        </w:rPr>
        <w:drawing>
          <wp:inline distT="0" distB="0" distL="0" distR="0">
            <wp:extent cx="5731510" cy="7216775"/>
            <wp:effectExtent l="0" t="0" r="254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S16_location_distribution_hAT.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7216775"/>
                    </a:xfrm>
                    <a:prstGeom prst="rect">
                      <a:avLst/>
                    </a:prstGeom>
                  </pic:spPr>
                </pic:pic>
              </a:graphicData>
            </a:graphic>
          </wp:inline>
        </w:drawing>
      </w:r>
    </w:p>
    <w:p w:rsidR="001E0769" w:rsidRPr="00D10C1D" w:rsidRDefault="001E0769" w:rsidP="006569B1">
      <w:pPr>
        <w:pStyle w:val="Caption"/>
      </w:pPr>
      <w:r>
        <w:t xml:space="preserve">Figure S16. </w:t>
      </w:r>
      <w:r w:rsidRPr="00D10C1D">
        <w:t xml:space="preserve">Location distribution of annotated genic TEs and expression candidates of </w:t>
      </w:r>
      <w:proofErr w:type="spellStart"/>
      <w:r>
        <w:t>hAT</w:t>
      </w:r>
      <w:proofErr w:type="spellEnd"/>
    </w:p>
    <w:p w:rsidR="001E0769" w:rsidRPr="00535B2B" w:rsidRDefault="001E0769" w:rsidP="001E0769">
      <w:pPr>
        <w:jc w:val="both"/>
        <w:rPr>
          <w:sz w:val="18"/>
          <w:szCs w:val="18"/>
        </w:rPr>
      </w:pPr>
      <w:r w:rsidRPr="00535B2B">
        <w:rPr>
          <w:b/>
          <w:sz w:val="18"/>
          <w:szCs w:val="18"/>
        </w:rPr>
        <w:t>(A)</w:t>
      </w:r>
      <w:r w:rsidRPr="00535B2B">
        <w:rPr>
          <w:sz w:val="18"/>
          <w:szCs w:val="18"/>
        </w:rPr>
        <w:t xml:space="preserve"> Location distribution of all annotated genic </w:t>
      </w:r>
      <w:proofErr w:type="spellStart"/>
      <w:r w:rsidRPr="00535B2B">
        <w:rPr>
          <w:sz w:val="18"/>
          <w:szCs w:val="18"/>
        </w:rPr>
        <w:t>hAT</w:t>
      </w:r>
      <w:proofErr w:type="spellEnd"/>
      <w:r w:rsidRPr="00535B2B">
        <w:rPr>
          <w:sz w:val="18"/>
          <w:szCs w:val="18"/>
        </w:rPr>
        <w:t xml:space="preserve"> in the reference genome. </w:t>
      </w:r>
      <w:r w:rsidRPr="00535B2B">
        <w:rPr>
          <w:b/>
          <w:sz w:val="18"/>
          <w:szCs w:val="18"/>
        </w:rPr>
        <w:t>(B-E)</w:t>
      </w:r>
      <w:r w:rsidRPr="00535B2B">
        <w:rPr>
          <w:sz w:val="18"/>
          <w:szCs w:val="18"/>
        </w:rPr>
        <w:t xml:space="preserve"> Location distribution of genic </w:t>
      </w:r>
      <w:proofErr w:type="spellStart"/>
      <w:r w:rsidRPr="00535B2B">
        <w:rPr>
          <w:sz w:val="18"/>
          <w:szCs w:val="18"/>
        </w:rPr>
        <w:t>hAT</w:t>
      </w:r>
      <w:proofErr w:type="spellEnd"/>
      <w:r w:rsidRPr="00535B2B">
        <w:rPr>
          <w:sz w:val="18"/>
          <w:szCs w:val="18"/>
        </w:rPr>
        <w:t xml:space="preserve"> expression candidates of </w:t>
      </w:r>
      <w:proofErr w:type="spellStart"/>
      <w:r w:rsidRPr="00535B2B">
        <w:rPr>
          <w:sz w:val="18"/>
          <w:szCs w:val="18"/>
        </w:rPr>
        <w:t>Vv_T</w:t>
      </w:r>
      <w:proofErr w:type="spellEnd"/>
      <w:r w:rsidRPr="00535B2B">
        <w:rPr>
          <w:sz w:val="18"/>
          <w:szCs w:val="18"/>
        </w:rPr>
        <w:t xml:space="preserve">=0 (B), </w:t>
      </w:r>
      <w:proofErr w:type="spellStart"/>
      <w:r w:rsidRPr="00535B2B">
        <w:rPr>
          <w:sz w:val="18"/>
          <w:szCs w:val="18"/>
        </w:rPr>
        <w:t>Vv_Mock</w:t>
      </w:r>
      <w:proofErr w:type="spellEnd"/>
      <w:r w:rsidRPr="00535B2B">
        <w:rPr>
          <w:sz w:val="18"/>
          <w:szCs w:val="18"/>
        </w:rPr>
        <w:t xml:space="preserve"> (C), and </w:t>
      </w:r>
      <w:proofErr w:type="spellStart"/>
      <w:r w:rsidRPr="00535B2B">
        <w:rPr>
          <w:sz w:val="18"/>
          <w:szCs w:val="18"/>
        </w:rPr>
        <w:t>Vv_Yeast</w:t>
      </w:r>
      <w:proofErr w:type="spellEnd"/>
      <w:r w:rsidRPr="00535B2B">
        <w:rPr>
          <w:sz w:val="18"/>
          <w:szCs w:val="18"/>
        </w:rPr>
        <w:t xml:space="preserve"> (D).</w:t>
      </w:r>
    </w:p>
    <w:p w:rsidR="001E0769" w:rsidRDefault="001E0769">
      <w:pPr>
        <w:rPr>
          <w:sz w:val="18"/>
          <w:szCs w:val="18"/>
        </w:rPr>
      </w:pPr>
      <w:r>
        <w:rPr>
          <w:sz w:val="18"/>
          <w:szCs w:val="18"/>
        </w:rPr>
        <w:br w:type="page"/>
      </w:r>
    </w:p>
    <w:p w:rsidR="001E0769" w:rsidRDefault="00AA4B61" w:rsidP="001E0769">
      <w:pPr>
        <w:jc w:val="both"/>
        <w:rPr>
          <w:sz w:val="18"/>
          <w:szCs w:val="18"/>
        </w:rPr>
      </w:pPr>
      <w:r>
        <w:rPr>
          <w:noProof/>
          <w:sz w:val="18"/>
          <w:szCs w:val="18"/>
          <w:lang w:eastAsia="en-NZ"/>
        </w:rPr>
        <w:drawing>
          <wp:inline distT="0" distB="0" distL="0" distR="0">
            <wp:extent cx="5731510" cy="7244080"/>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S17_location_distribution_MULE.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7244080"/>
                    </a:xfrm>
                    <a:prstGeom prst="rect">
                      <a:avLst/>
                    </a:prstGeom>
                  </pic:spPr>
                </pic:pic>
              </a:graphicData>
            </a:graphic>
          </wp:inline>
        </w:drawing>
      </w:r>
    </w:p>
    <w:p w:rsidR="001E0769" w:rsidRPr="00D10C1D" w:rsidRDefault="001E0769" w:rsidP="006569B1">
      <w:pPr>
        <w:pStyle w:val="Caption"/>
      </w:pPr>
      <w:r>
        <w:t xml:space="preserve">Figure S17. </w:t>
      </w:r>
      <w:r w:rsidRPr="00D10C1D">
        <w:t xml:space="preserve">Location distribution of annotated genic TEs and expression candidates of </w:t>
      </w:r>
      <w:r>
        <w:t>MULE</w:t>
      </w:r>
    </w:p>
    <w:p w:rsidR="001E0769" w:rsidRPr="00535B2B" w:rsidRDefault="001E0769" w:rsidP="001E0769">
      <w:pPr>
        <w:jc w:val="both"/>
        <w:rPr>
          <w:sz w:val="18"/>
          <w:szCs w:val="18"/>
        </w:rPr>
      </w:pPr>
      <w:r w:rsidRPr="00535B2B">
        <w:rPr>
          <w:b/>
          <w:sz w:val="18"/>
          <w:szCs w:val="18"/>
        </w:rPr>
        <w:t>(A)</w:t>
      </w:r>
      <w:r w:rsidRPr="00535B2B">
        <w:rPr>
          <w:sz w:val="18"/>
          <w:szCs w:val="18"/>
        </w:rPr>
        <w:t xml:space="preserve"> Location distribution of all annotated genic MULE in the reference genome. </w:t>
      </w:r>
      <w:r w:rsidRPr="00535B2B">
        <w:rPr>
          <w:b/>
          <w:sz w:val="18"/>
          <w:szCs w:val="18"/>
        </w:rPr>
        <w:t>(B-E)</w:t>
      </w:r>
      <w:r w:rsidRPr="00535B2B">
        <w:rPr>
          <w:sz w:val="18"/>
          <w:szCs w:val="18"/>
        </w:rPr>
        <w:t xml:space="preserve"> Location distribution of genic MULE expression candidates of </w:t>
      </w:r>
      <w:proofErr w:type="spellStart"/>
      <w:r w:rsidRPr="00535B2B">
        <w:rPr>
          <w:sz w:val="18"/>
          <w:szCs w:val="18"/>
        </w:rPr>
        <w:t>Vv_T</w:t>
      </w:r>
      <w:proofErr w:type="spellEnd"/>
      <w:r w:rsidRPr="00535B2B">
        <w:rPr>
          <w:sz w:val="18"/>
          <w:szCs w:val="18"/>
        </w:rPr>
        <w:t xml:space="preserve">=0 (B), </w:t>
      </w:r>
      <w:proofErr w:type="spellStart"/>
      <w:r w:rsidRPr="00535B2B">
        <w:rPr>
          <w:sz w:val="18"/>
          <w:szCs w:val="18"/>
        </w:rPr>
        <w:t>Vv_Mock</w:t>
      </w:r>
      <w:proofErr w:type="spellEnd"/>
      <w:r w:rsidRPr="00535B2B">
        <w:rPr>
          <w:sz w:val="18"/>
          <w:szCs w:val="18"/>
        </w:rPr>
        <w:t xml:space="preserve"> (C), and </w:t>
      </w:r>
      <w:proofErr w:type="spellStart"/>
      <w:r w:rsidRPr="00535B2B">
        <w:rPr>
          <w:sz w:val="18"/>
          <w:szCs w:val="18"/>
        </w:rPr>
        <w:t>Vv_Yeast</w:t>
      </w:r>
      <w:proofErr w:type="spellEnd"/>
      <w:r w:rsidRPr="00535B2B">
        <w:rPr>
          <w:sz w:val="18"/>
          <w:szCs w:val="18"/>
        </w:rPr>
        <w:t xml:space="preserve"> (D).</w:t>
      </w:r>
    </w:p>
    <w:p w:rsidR="001E0769" w:rsidRDefault="001E0769">
      <w:pPr>
        <w:rPr>
          <w:sz w:val="18"/>
          <w:szCs w:val="18"/>
        </w:rPr>
      </w:pPr>
      <w:r>
        <w:rPr>
          <w:sz w:val="18"/>
          <w:szCs w:val="18"/>
        </w:rPr>
        <w:br w:type="page"/>
      </w:r>
    </w:p>
    <w:p w:rsidR="001E0769" w:rsidRDefault="00AA4B61" w:rsidP="001E0769">
      <w:pPr>
        <w:jc w:val="both"/>
        <w:rPr>
          <w:sz w:val="18"/>
          <w:szCs w:val="18"/>
        </w:rPr>
      </w:pPr>
      <w:r>
        <w:rPr>
          <w:noProof/>
          <w:sz w:val="18"/>
          <w:szCs w:val="18"/>
          <w:lang w:eastAsia="en-NZ"/>
        </w:rPr>
        <w:drawing>
          <wp:inline distT="0" distB="0" distL="0" distR="0">
            <wp:extent cx="5731510" cy="5021580"/>
            <wp:effectExtent l="0" t="0" r="254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S18_location_distribution_autonomous_Copia-3_Copia-23.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1510" cy="5021580"/>
                    </a:xfrm>
                    <a:prstGeom prst="rect">
                      <a:avLst/>
                    </a:prstGeom>
                  </pic:spPr>
                </pic:pic>
              </a:graphicData>
            </a:graphic>
          </wp:inline>
        </w:drawing>
      </w:r>
    </w:p>
    <w:p w:rsidR="001E0769" w:rsidRPr="00371C52" w:rsidRDefault="001E0769" w:rsidP="006569B1">
      <w:pPr>
        <w:pStyle w:val="Caption"/>
        <w:rPr>
          <w:sz w:val="24"/>
        </w:rPr>
      </w:pPr>
      <w:r>
        <w:t xml:space="preserve">Figure S18. Hierarchical classifications of structurally autonomous Copia-3 and Copia-23 by </w:t>
      </w:r>
      <w:r w:rsidRPr="00B412CD">
        <w:t>location</w:t>
      </w:r>
      <w:r>
        <w:t xml:space="preserve"> relative to gene</w:t>
      </w:r>
      <w:r w:rsidRPr="00B412CD">
        <w:t>.</w:t>
      </w:r>
    </w:p>
    <w:p w:rsidR="00945F70" w:rsidRPr="00535B2B" w:rsidRDefault="001E0769" w:rsidP="001E0769">
      <w:pPr>
        <w:rPr>
          <w:sz w:val="18"/>
          <w:szCs w:val="18"/>
          <w:lang w:eastAsia="en-NZ"/>
        </w:rPr>
      </w:pPr>
      <w:r w:rsidRPr="00535B2B">
        <w:rPr>
          <w:b/>
          <w:sz w:val="18"/>
          <w:szCs w:val="18"/>
          <w:lang w:eastAsia="en-NZ"/>
        </w:rPr>
        <w:t>(A-B)</w:t>
      </w:r>
      <w:r w:rsidRPr="00535B2B">
        <w:rPr>
          <w:sz w:val="18"/>
          <w:szCs w:val="18"/>
          <w:lang w:eastAsia="en-NZ"/>
        </w:rPr>
        <w:t xml:space="preserve"> All structurally autonomous TE loci of Copia-3 (A) and Copia-23 (B) were categorized hierarchically by region (centre) and location. </w:t>
      </w:r>
      <w:r w:rsidRPr="00535B2B">
        <w:rPr>
          <w:b/>
          <w:sz w:val="18"/>
          <w:szCs w:val="18"/>
          <w:lang w:eastAsia="en-NZ"/>
        </w:rPr>
        <w:t>(C-</w:t>
      </w:r>
      <w:r w:rsidR="00F73252" w:rsidRPr="00535B2B">
        <w:rPr>
          <w:b/>
          <w:sz w:val="18"/>
          <w:szCs w:val="18"/>
          <w:lang w:eastAsia="en-NZ"/>
        </w:rPr>
        <w:t>D</w:t>
      </w:r>
      <w:r w:rsidRPr="00535B2B">
        <w:rPr>
          <w:b/>
          <w:sz w:val="18"/>
          <w:szCs w:val="18"/>
          <w:lang w:eastAsia="en-NZ"/>
        </w:rPr>
        <w:t>)</w:t>
      </w:r>
      <w:r w:rsidRPr="00535B2B">
        <w:rPr>
          <w:sz w:val="18"/>
          <w:szCs w:val="18"/>
          <w:lang w:eastAsia="en-NZ"/>
        </w:rPr>
        <w:t xml:space="preserve"> </w:t>
      </w:r>
      <w:r w:rsidR="00F73252" w:rsidRPr="00535B2B">
        <w:rPr>
          <w:sz w:val="18"/>
          <w:szCs w:val="18"/>
          <w:lang w:eastAsia="en-NZ"/>
        </w:rPr>
        <w:t>Structurally autonomous e</w:t>
      </w:r>
      <w:r w:rsidRPr="00535B2B">
        <w:rPr>
          <w:sz w:val="18"/>
          <w:szCs w:val="18"/>
          <w:lang w:eastAsia="en-NZ"/>
        </w:rPr>
        <w:t xml:space="preserve">xpression candidates of </w:t>
      </w:r>
      <w:r w:rsidR="00F73252" w:rsidRPr="00535B2B">
        <w:rPr>
          <w:sz w:val="18"/>
          <w:szCs w:val="18"/>
          <w:lang w:eastAsia="en-NZ"/>
        </w:rPr>
        <w:t xml:space="preserve">Copia-3 (C) and Copia-23 (D) </w:t>
      </w:r>
      <w:r w:rsidRPr="00535B2B">
        <w:rPr>
          <w:sz w:val="18"/>
          <w:szCs w:val="18"/>
          <w:lang w:eastAsia="en-NZ"/>
        </w:rPr>
        <w:t xml:space="preserve">each treatment were categorized in the order of region (centre), </w:t>
      </w:r>
      <w:r w:rsidR="00535B2B" w:rsidRPr="00535B2B">
        <w:rPr>
          <w:sz w:val="18"/>
          <w:szCs w:val="18"/>
          <w:lang w:eastAsia="en-NZ"/>
        </w:rPr>
        <w:t xml:space="preserve">the </w:t>
      </w:r>
      <w:r w:rsidRPr="00535B2B">
        <w:rPr>
          <w:sz w:val="18"/>
          <w:szCs w:val="18"/>
          <w:lang w:eastAsia="en-NZ"/>
        </w:rPr>
        <w:t>transcriptional activity of co-localized genes (2</w:t>
      </w:r>
      <w:r w:rsidRPr="00535B2B">
        <w:rPr>
          <w:sz w:val="18"/>
          <w:szCs w:val="18"/>
          <w:vertAlign w:val="superscript"/>
          <w:lang w:eastAsia="en-NZ"/>
        </w:rPr>
        <w:t>nd</w:t>
      </w:r>
      <w:r w:rsidRPr="00535B2B">
        <w:rPr>
          <w:sz w:val="18"/>
          <w:szCs w:val="18"/>
          <w:lang w:eastAsia="en-NZ"/>
        </w:rPr>
        <w:t xml:space="preserve"> layer),</w:t>
      </w:r>
      <w:r w:rsidR="00F73252" w:rsidRPr="00535B2B">
        <w:rPr>
          <w:sz w:val="18"/>
          <w:szCs w:val="18"/>
          <w:lang w:eastAsia="en-NZ"/>
        </w:rPr>
        <w:t xml:space="preserve"> and</w:t>
      </w:r>
      <w:r w:rsidRPr="00535B2B">
        <w:rPr>
          <w:sz w:val="18"/>
          <w:szCs w:val="18"/>
          <w:lang w:eastAsia="en-NZ"/>
        </w:rPr>
        <w:t xml:space="preserve"> location (3</w:t>
      </w:r>
      <w:r w:rsidRPr="00535B2B">
        <w:rPr>
          <w:sz w:val="18"/>
          <w:szCs w:val="18"/>
          <w:vertAlign w:val="superscript"/>
          <w:lang w:eastAsia="en-NZ"/>
        </w:rPr>
        <w:t>rd</w:t>
      </w:r>
      <w:r w:rsidR="00F73252" w:rsidRPr="00535B2B">
        <w:rPr>
          <w:sz w:val="18"/>
          <w:szCs w:val="18"/>
          <w:lang w:eastAsia="en-NZ"/>
        </w:rPr>
        <w:t xml:space="preserve"> layer)</w:t>
      </w:r>
      <w:r w:rsidRPr="00535B2B">
        <w:rPr>
          <w:sz w:val="18"/>
          <w:szCs w:val="18"/>
          <w:lang w:eastAsia="en-NZ"/>
        </w:rPr>
        <w:t xml:space="preserve">. </w:t>
      </w:r>
      <w:r w:rsidR="00F73252" w:rsidRPr="00535B2B">
        <w:rPr>
          <w:sz w:val="18"/>
          <w:szCs w:val="18"/>
          <w:lang w:eastAsia="en-NZ"/>
        </w:rPr>
        <w:t>These include TE loci that were identified as expression candidates in at least one of the three experimental conditions (</w:t>
      </w:r>
      <w:proofErr w:type="spellStart"/>
      <w:r w:rsidR="00F73252" w:rsidRPr="00535B2B">
        <w:rPr>
          <w:sz w:val="18"/>
          <w:szCs w:val="18"/>
          <w:lang w:eastAsia="en-NZ"/>
        </w:rPr>
        <w:t>Vv_T</w:t>
      </w:r>
      <w:proofErr w:type="spellEnd"/>
      <w:r w:rsidR="00F73252" w:rsidRPr="00535B2B">
        <w:rPr>
          <w:sz w:val="18"/>
          <w:szCs w:val="18"/>
          <w:lang w:eastAsia="en-NZ"/>
        </w:rPr>
        <w:t xml:space="preserve">=0, </w:t>
      </w:r>
      <w:proofErr w:type="spellStart"/>
      <w:r w:rsidR="00F73252" w:rsidRPr="00535B2B">
        <w:rPr>
          <w:sz w:val="18"/>
          <w:szCs w:val="18"/>
          <w:lang w:eastAsia="en-NZ"/>
        </w:rPr>
        <w:t>Vv_Mock</w:t>
      </w:r>
      <w:proofErr w:type="spellEnd"/>
      <w:r w:rsidR="00F73252" w:rsidRPr="00535B2B">
        <w:rPr>
          <w:sz w:val="18"/>
          <w:szCs w:val="18"/>
          <w:lang w:eastAsia="en-NZ"/>
        </w:rPr>
        <w:t xml:space="preserve">, and </w:t>
      </w:r>
      <w:proofErr w:type="spellStart"/>
      <w:r w:rsidR="00F73252" w:rsidRPr="00535B2B">
        <w:rPr>
          <w:sz w:val="18"/>
          <w:szCs w:val="18"/>
          <w:lang w:eastAsia="en-NZ"/>
        </w:rPr>
        <w:t>Vv_Yeast</w:t>
      </w:r>
      <w:proofErr w:type="spellEnd"/>
      <w:r w:rsidR="00F73252" w:rsidRPr="00535B2B">
        <w:rPr>
          <w:sz w:val="18"/>
          <w:szCs w:val="18"/>
          <w:lang w:eastAsia="en-NZ"/>
        </w:rPr>
        <w:t xml:space="preserve">). </w:t>
      </w:r>
    </w:p>
    <w:p w:rsidR="00945F70" w:rsidRDefault="00945F70">
      <w:pPr>
        <w:rPr>
          <w:sz w:val="18"/>
          <w:szCs w:val="18"/>
          <w:lang w:eastAsia="en-NZ"/>
        </w:rPr>
      </w:pPr>
      <w:r>
        <w:rPr>
          <w:sz w:val="18"/>
          <w:szCs w:val="18"/>
          <w:lang w:eastAsia="en-NZ"/>
        </w:rPr>
        <w:br w:type="page"/>
      </w:r>
    </w:p>
    <w:p w:rsidR="001E0769" w:rsidRPr="00646215" w:rsidRDefault="00AA4B61" w:rsidP="001E0769">
      <w:pPr>
        <w:rPr>
          <w:sz w:val="18"/>
          <w:szCs w:val="18"/>
          <w:lang w:eastAsia="en-NZ"/>
        </w:rPr>
      </w:pPr>
      <w:r>
        <w:rPr>
          <w:noProof/>
          <w:sz w:val="18"/>
          <w:szCs w:val="18"/>
          <w:lang w:eastAsia="en-NZ"/>
        </w:rPr>
        <w:drawing>
          <wp:inline distT="0" distB="0" distL="0" distR="0">
            <wp:extent cx="5731510" cy="5417185"/>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S19_DEG_heatmaps.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5417185"/>
                    </a:xfrm>
                    <a:prstGeom prst="rect">
                      <a:avLst/>
                    </a:prstGeom>
                  </pic:spPr>
                </pic:pic>
              </a:graphicData>
            </a:graphic>
          </wp:inline>
        </w:drawing>
      </w:r>
    </w:p>
    <w:p w:rsidR="00945F70" w:rsidRPr="00E1540F" w:rsidRDefault="00945F70" w:rsidP="006569B1">
      <w:pPr>
        <w:pStyle w:val="Caption"/>
      </w:pPr>
      <w:r>
        <w:t>Figure S19. Expression patterns of DEG</w:t>
      </w:r>
      <w:r w:rsidRPr="00E1540F">
        <w:t>s</w:t>
      </w:r>
    </w:p>
    <w:p w:rsidR="006569B1" w:rsidRPr="00535B2B" w:rsidRDefault="00945F70" w:rsidP="00945F70">
      <w:pPr>
        <w:jc w:val="both"/>
        <w:rPr>
          <w:sz w:val="18"/>
          <w:szCs w:val="18"/>
        </w:rPr>
      </w:pPr>
      <w:r w:rsidRPr="00535B2B">
        <w:rPr>
          <w:b/>
          <w:sz w:val="18"/>
          <w:szCs w:val="18"/>
        </w:rPr>
        <w:t>(A, C)</w:t>
      </w:r>
      <w:r w:rsidRPr="00535B2B">
        <w:rPr>
          <w:sz w:val="18"/>
          <w:szCs w:val="18"/>
        </w:rPr>
        <w:t xml:space="preserve"> DEGs in </w:t>
      </w:r>
      <w:proofErr w:type="spellStart"/>
      <w:r w:rsidRPr="00535B2B">
        <w:rPr>
          <w:sz w:val="18"/>
          <w:szCs w:val="18"/>
        </w:rPr>
        <w:t>Vv_Mock</w:t>
      </w:r>
      <w:proofErr w:type="spellEnd"/>
      <w:r w:rsidRPr="00535B2B">
        <w:rPr>
          <w:sz w:val="18"/>
          <w:szCs w:val="18"/>
        </w:rPr>
        <w:t xml:space="preserve"> vs </w:t>
      </w:r>
      <w:proofErr w:type="spellStart"/>
      <w:r w:rsidRPr="00535B2B">
        <w:rPr>
          <w:sz w:val="18"/>
          <w:szCs w:val="18"/>
        </w:rPr>
        <w:t>Vv_T</w:t>
      </w:r>
      <w:proofErr w:type="spellEnd"/>
      <w:r w:rsidRPr="00535B2B">
        <w:rPr>
          <w:sz w:val="18"/>
          <w:szCs w:val="18"/>
        </w:rPr>
        <w:t xml:space="preserve">=0 (A) and </w:t>
      </w:r>
      <w:proofErr w:type="spellStart"/>
      <w:r w:rsidRPr="00535B2B">
        <w:rPr>
          <w:sz w:val="18"/>
          <w:szCs w:val="18"/>
        </w:rPr>
        <w:t>Vv_Yeast</w:t>
      </w:r>
      <w:proofErr w:type="spellEnd"/>
      <w:r w:rsidRPr="00535B2B">
        <w:rPr>
          <w:sz w:val="18"/>
          <w:szCs w:val="18"/>
        </w:rPr>
        <w:t xml:space="preserve"> vs </w:t>
      </w:r>
      <w:proofErr w:type="spellStart"/>
      <w:r w:rsidRPr="00535B2B">
        <w:rPr>
          <w:sz w:val="18"/>
          <w:szCs w:val="18"/>
        </w:rPr>
        <w:t>Vv_Mock</w:t>
      </w:r>
      <w:proofErr w:type="spellEnd"/>
      <w:r w:rsidRPr="00535B2B">
        <w:rPr>
          <w:sz w:val="18"/>
          <w:szCs w:val="18"/>
        </w:rPr>
        <w:t xml:space="preserve"> (C) were illustrated by </w:t>
      </w:r>
      <w:proofErr w:type="spellStart"/>
      <w:r w:rsidRPr="00535B2B">
        <w:rPr>
          <w:sz w:val="18"/>
          <w:szCs w:val="18"/>
        </w:rPr>
        <w:t>heatmaps</w:t>
      </w:r>
      <w:proofErr w:type="spellEnd"/>
      <w:r w:rsidRPr="00535B2B">
        <w:rPr>
          <w:sz w:val="18"/>
          <w:szCs w:val="18"/>
        </w:rPr>
        <w:t xml:space="preserve"> </w:t>
      </w:r>
      <w:proofErr w:type="gramStart"/>
      <w:r w:rsidRPr="00535B2B">
        <w:rPr>
          <w:sz w:val="18"/>
          <w:szCs w:val="18"/>
        </w:rPr>
        <w:t>log</w:t>
      </w:r>
      <w:r w:rsidRPr="00535B2B">
        <w:rPr>
          <w:sz w:val="18"/>
          <w:szCs w:val="18"/>
          <w:vertAlign w:val="subscript"/>
        </w:rPr>
        <w:t>2</w:t>
      </w:r>
      <w:r w:rsidRPr="00535B2B">
        <w:rPr>
          <w:sz w:val="18"/>
          <w:szCs w:val="18"/>
        </w:rPr>
        <w:t>(</w:t>
      </w:r>
      <w:proofErr w:type="gramEnd"/>
      <w:r w:rsidRPr="00535B2B">
        <w:rPr>
          <w:sz w:val="18"/>
          <w:szCs w:val="18"/>
        </w:rPr>
        <w:t>fold change) with line graphs representing the dynamics of each cluster across time.</w:t>
      </w:r>
      <w:r w:rsidR="00357C9F" w:rsidRPr="00535B2B">
        <w:rPr>
          <w:sz w:val="18"/>
          <w:szCs w:val="18"/>
        </w:rPr>
        <w:t xml:space="preserve"> </w:t>
      </w:r>
      <w:r w:rsidR="00357C9F" w:rsidRPr="00535B2B">
        <w:rPr>
          <w:b/>
          <w:sz w:val="18"/>
          <w:szCs w:val="18"/>
        </w:rPr>
        <w:t xml:space="preserve">(B, D) </w:t>
      </w:r>
      <w:r w:rsidRPr="00535B2B">
        <w:rPr>
          <w:sz w:val="18"/>
          <w:szCs w:val="18"/>
        </w:rPr>
        <w:t xml:space="preserve">Similar clusters were then grouped together for the pie graphs summarizing the trend of expression changes </w:t>
      </w:r>
      <w:r w:rsidR="00357C9F" w:rsidRPr="00535B2B">
        <w:rPr>
          <w:sz w:val="18"/>
          <w:szCs w:val="18"/>
        </w:rPr>
        <w:t xml:space="preserve">in </w:t>
      </w:r>
      <w:proofErr w:type="spellStart"/>
      <w:r w:rsidR="00357C9F" w:rsidRPr="00535B2B">
        <w:rPr>
          <w:sz w:val="18"/>
          <w:szCs w:val="18"/>
        </w:rPr>
        <w:t>Vv_Mock</w:t>
      </w:r>
      <w:proofErr w:type="spellEnd"/>
      <w:r w:rsidR="00357C9F" w:rsidRPr="00535B2B">
        <w:rPr>
          <w:sz w:val="18"/>
          <w:szCs w:val="18"/>
        </w:rPr>
        <w:t xml:space="preserve"> vs </w:t>
      </w:r>
      <w:proofErr w:type="spellStart"/>
      <w:r w:rsidR="00357C9F" w:rsidRPr="00535B2B">
        <w:rPr>
          <w:sz w:val="18"/>
          <w:szCs w:val="18"/>
        </w:rPr>
        <w:t>Vv_T</w:t>
      </w:r>
      <w:proofErr w:type="spellEnd"/>
      <w:r w:rsidR="00357C9F" w:rsidRPr="00535B2B">
        <w:rPr>
          <w:sz w:val="18"/>
          <w:szCs w:val="18"/>
        </w:rPr>
        <w:t xml:space="preserve">=0 (B) and </w:t>
      </w:r>
      <w:proofErr w:type="spellStart"/>
      <w:r w:rsidR="00357C9F" w:rsidRPr="00535B2B">
        <w:rPr>
          <w:sz w:val="18"/>
          <w:szCs w:val="18"/>
        </w:rPr>
        <w:t>Vv_Yeast</w:t>
      </w:r>
      <w:proofErr w:type="spellEnd"/>
      <w:r w:rsidR="00357C9F" w:rsidRPr="00535B2B">
        <w:rPr>
          <w:sz w:val="18"/>
          <w:szCs w:val="18"/>
        </w:rPr>
        <w:t xml:space="preserve"> vs </w:t>
      </w:r>
      <w:proofErr w:type="spellStart"/>
      <w:r w:rsidR="00357C9F" w:rsidRPr="00535B2B">
        <w:rPr>
          <w:sz w:val="18"/>
          <w:szCs w:val="18"/>
        </w:rPr>
        <w:t>Vv_Mock</w:t>
      </w:r>
      <w:proofErr w:type="spellEnd"/>
      <w:r w:rsidR="00357C9F" w:rsidRPr="00535B2B">
        <w:rPr>
          <w:sz w:val="18"/>
          <w:szCs w:val="18"/>
        </w:rPr>
        <w:t xml:space="preserve"> (D)</w:t>
      </w:r>
      <w:r w:rsidRPr="00535B2B">
        <w:rPr>
          <w:sz w:val="18"/>
          <w:szCs w:val="18"/>
        </w:rPr>
        <w:t>.</w:t>
      </w:r>
    </w:p>
    <w:p w:rsidR="006569B1" w:rsidRDefault="006569B1">
      <w:pPr>
        <w:rPr>
          <w:sz w:val="18"/>
          <w:szCs w:val="18"/>
        </w:rPr>
      </w:pPr>
      <w:r>
        <w:rPr>
          <w:sz w:val="18"/>
          <w:szCs w:val="18"/>
        </w:rPr>
        <w:br w:type="page"/>
      </w:r>
    </w:p>
    <w:p w:rsidR="00945F70" w:rsidRPr="001D56F6" w:rsidRDefault="00AA4B61" w:rsidP="00945F70">
      <w:pPr>
        <w:jc w:val="both"/>
        <w:rPr>
          <w:sz w:val="18"/>
          <w:szCs w:val="18"/>
        </w:rPr>
      </w:pPr>
      <w:r>
        <w:rPr>
          <w:noProof/>
          <w:sz w:val="18"/>
          <w:szCs w:val="18"/>
          <w:lang w:eastAsia="en-NZ"/>
        </w:rPr>
        <w:drawing>
          <wp:inline distT="0" distB="0" distL="0" distR="0">
            <wp:extent cx="5341316" cy="7040880"/>
            <wp:effectExtent l="0" t="0" r="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igS20_correlation_ONT_Illumina.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341972" cy="7041745"/>
                    </a:xfrm>
                    <a:prstGeom prst="rect">
                      <a:avLst/>
                    </a:prstGeom>
                  </pic:spPr>
                </pic:pic>
              </a:graphicData>
            </a:graphic>
          </wp:inline>
        </w:drawing>
      </w:r>
    </w:p>
    <w:p w:rsidR="006569B1" w:rsidRPr="006569B1" w:rsidRDefault="006569B1" w:rsidP="006569B1">
      <w:pPr>
        <w:rPr>
          <w:b/>
        </w:rPr>
      </w:pPr>
      <w:r w:rsidRPr="006569B1">
        <w:rPr>
          <w:b/>
        </w:rPr>
        <w:t xml:space="preserve">Figure S20. Comparisons between gene </w:t>
      </w:r>
      <w:proofErr w:type="gramStart"/>
      <w:r w:rsidRPr="006569B1">
        <w:rPr>
          <w:b/>
        </w:rPr>
        <w:t>expression</w:t>
      </w:r>
      <w:proofErr w:type="gramEnd"/>
      <w:r w:rsidRPr="006569B1">
        <w:rPr>
          <w:b/>
        </w:rPr>
        <w:t xml:space="preserve"> quantified from ONT and Illumina </w:t>
      </w:r>
      <w:proofErr w:type="spellStart"/>
      <w:r w:rsidRPr="006569B1">
        <w:rPr>
          <w:b/>
        </w:rPr>
        <w:t>Truseq</w:t>
      </w:r>
      <w:proofErr w:type="spellEnd"/>
      <w:r w:rsidRPr="006569B1">
        <w:rPr>
          <w:b/>
        </w:rPr>
        <w:t xml:space="preserve"> sequencing libraries</w:t>
      </w:r>
    </w:p>
    <w:p w:rsidR="00F56FB5" w:rsidRPr="00535B2B" w:rsidRDefault="006569B1" w:rsidP="006569B1">
      <w:pPr>
        <w:rPr>
          <w:sz w:val="18"/>
          <w:szCs w:val="18"/>
        </w:rPr>
      </w:pPr>
      <w:r w:rsidRPr="00535B2B">
        <w:rPr>
          <w:b/>
          <w:sz w:val="18"/>
          <w:szCs w:val="18"/>
        </w:rPr>
        <w:t>(A-C, G-I)</w:t>
      </w:r>
      <w:r w:rsidRPr="00535B2B">
        <w:rPr>
          <w:sz w:val="18"/>
          <w:szCs w:val="18"/>
        </w:rPr>
        <w:t xml:space="preserve"> For mock (12 hours) treatment, gene (A-C) and TE family (G-I) expression level quantified from the ONT library was compared to each of the replicates sequenced by Illumina </w:t>
      </w:r>
      <w:proofErr w:type="spellStart"/>
      <w:r w:rsidRPr="00535B2B">
        <w:rPr>
          <w:sz w:val="18"/>
          <w:szCs w:val="18"/>
        </w:rPr>
        <w:t>RNAseq</w:t>
      </w:r>
      <w:proofErr w:type="spellEnd"/>
      <w:r w:rsidRPr="00535B2B">
        <w:rPr>
          <w:sz w:val="18"/>
          <w:szCs w:val="18"/>
        </w:rPr>
        <w:t xml:space="preserve">. </w:t>
      </w:r>
      <w:r w:rsidRPr="00535B2B">
        <w:rPr>
          <w:b/>
          <w:sz w:val="18"/>
          <w:szCs w:val="18"/>
        </w:rPr>
        <w:t>(D-F, J-L)</w:t>
      </w:r>
      <w:r w:rsidRPr="00535B2B">
        <w:rPr>
          <w:sz w:val="18"/>
          <w:szCs w:val="18"/>
        </w:rPr>
        <w:t xml:space="preserve"> For yeast (12 hours) treatment, the ONT library was compared to each of the libraries sequenced by Illumina </w:t>
      </w:r>
      <w:proofErr w:type="spellStart"/>
      <w:r w:rsidRPr="00535B2B">
        <w:rPr>
          <w:sz w:val="18"/>
          <w:szCs w:val="18"/>
        </w:rPr>
        <w:t>RNAseq</w:t>
      </w:r>
      <w:proofErr w:type="spellEnd"/>
      <w:r w:rsidRPr="00535B2B">
        <w:rPr>
          <w:sz w:val="18"/>
          <w:szCs w:val="18"/>
        </w:rPr>
        <w:t xml:space="preserve">. The gene expression levels (A-F) were given as transcripts per million mapped reads (TPM) for the ONT libraries (x-axes) and as fragments per </w:t>
      </w:r>
      <w:proofErr w:type="spellStart"/>
      <w:r w:rsidRPr="00535B2B">
        <w:rPr>
          <w:sz w:val="18"/>
          <w:szCs w:val="18"/>
        </w:rPr>
        <w:t>kilobase</w:t>
      </w:r>
      <w:proofErr w:type="spellEnd"/>
      <w:r w:rsidRPr="00535B2B">
        <w:rPr>
          <w:sz w:val="18"/>
          <w:szCs w:val="18"/>
        </w:rPr>
        <w:t xml:space="preserve"> per million mapped reads (FPKM) for the Illumina libraries (y-axes). The TE expression levels (G-L) were given as reads per million mapped reads (RPM) for both sequencing methods family (x-axes=ONT and y-axes=Illumina). Spearman’s correlation coefficient </w:t>
      </w:r>
      <w:r w:rsidRPr="00535B2B">
        <w:rPr>
          <w:rFonts w:cstheme="minorHAnsi"/>
          <w:sz w:val="18"/>
          <w:szCs w:val="18"/>
        </w:rPr>
        <w:t>ρ</w:t>
      </w:r>
      <w:r w:rsidRPr="00535B2B">
        <w:rPr>
          <w:sz w:val="18"/>
          <w:szCs w:val="18"/>
        </w:rPr>
        <w:t xml:space="preserve"> was given per comparison with each point representing gene expression levels.</w:t>
      </w:r>
    </w:p>
    <w:p w:rsidR="006569B1" w:rsidRDefault="00AA4B61" w:rsidP="006569B1">
      <w:pPr>
        <w:rPr>
          <w:sz w:val="18"/>
          <w:szCs w:val="18"/>
        </w:rPr>
      </w:pPr>
      <w:r>
        <w:rPr>
          <w:noProof/>
          <w:sz w:val="18"/>
          <w:szCs w:val="18"/>
          <w:lang w:eastAsia="en-NZ"/>
        </w:rPr>
        <w:drawing>
          <wp:inline distT="0" distB="0" distL="0" distR="0">
            <wp:extent cx="5731510" cy="5201920"/>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S21_alternative_splicing_TE_family.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1510" cy="5201920"/>
                    </a:xfrm>
                    <a:prstGeom prst="rect">
                      <a:avLst/>
                    </a:prstGeom>
                  </pic:spPr>
                </pic:pic>
              </a:graphicData>
            </a:graphic>
          </wp:inline>
        </w:drawing>
      </w:r>
    </w:p>
    <w:p w:rsidR="0073637D" w:rsidRPr="00AB7C9E" w:rsidRDefault="0073637D" w:rsidP="0073637D">
      <w:pPr>
        <w:pStyle w:val="Caption"/>
      </w:pPr>
      <w:r>
        <w:t xml:space="preserve">Figure S21. </w:t>
      </w:r>
      <w:r w:rsidRPr="00AB7C9E">
        <w:t>Categorization of TEs associated with alternative splicing</w:t>
      </w:r>
    </w:p>
    <w:p w:rsidR="0073637D" w:rsidRPr="00535B2B" w:rsidRDefault="0073637D" w:rsidP="0073637D">
      <w:pPr>
        <w:rPr>
          <w:sz w:val="18"/>
          <w:szCs w:val="18"/>
        </w:rPr>
      </w:pPr>
      <w:r w:rsidRPr="00535B2B">
        <w:rPr>
          <w:sz w:val="18"/>
          <w:szCs w:val="18"/>
        </w:rPr>
        <w:t xml:space="preserve">TE loci overlapping with gene-related </w:t>
      </w:r>
      <w:r w:rsidRPr="00535B2B">
        <w:rPr>
          <w:b/>
          <w:sz w:val="18"/>
          <w:szCs w:val="18"/>
        </w:rPr>
        <w:t>(A)</w:t>
      </w:r>
      <w:r w:rsidRPr="00535B2B">
        <w:rPr>
          <w:sz w:val="18"/>
          <w:szCs w:val="18"/>
        </w:rPr>
        <w:t xml:space="preserve"> Alt3, </w:t>
      </w:r>
      <w:r w:rsidRPr="00535B2B">
        <w:rPr>
          <w:b/>
          <w:sz w:val="18"/>
          <w:szCs w:val="18"/>
        </w:rPr>
        <w:t>(B)</w:t>
      </w:r>
      <w:r w:rsidRPr="00535B2B">
        <w:rPr>
          <w:sz w:val="18"/>
          <w:szCs w:val="18"/>
        </w:rPr>
        <w:t xml:space="preserve"> Alt5, </w:t>
      </w:r>
      <w:r w:rsidRPr="00535B2B">
        <w:rPr>
          <w:b/>
          <w:sz w:val="18"/>
          <w:szCs w:val="18"/>
        </w:rPr>
        <w:t>(C)</w:t>
      </w:r>
      <w:r w:rsidRPr="00535B2B">
        <w:rPr>
          <w:sz w:val="18"/>
          <w:szCs w:val="18"/>
        </w:rPr>
        <w:t xml:space="preserve"> IR, and </w:t>
      </w:r>
      <w:r w:rsidRPr="00535B2B">
        <w:rPr>
          <w:b/>
          <w:sz w:val="18"/>
          <w:szCs w:val="18"/>
        </w:rPr>
        <w:t>(D)</w:t>
      </w:r>
      <w:r w:rsidRPr="00535B2B">
        <w:rPr>
          <w:sz w:val="18"/>
          <w:szCs w:val="18"/>
        </w:rPr>
        <w:t xml:space="preserve"> ES features were grouped by class (central pie graph), then by superfamily (outer doughnut graph). The percentage of each slice is as indicated, with the most over-represented superfamily labelled. </w:t>
      </w:r>
    </w:p>
    <w:p w:rsidR="0073637D" w:rsidRDefault="0073637D">
      <w:pPr>
        <w:rPr>
          <w:sz w:val="18"/>
          <w:szCs w:val="18"/>
        </w:rPr>
      </w:pPr>
      <w:r>
        <w:rPr>
          <w:sz w:val="18"/>
          <w:szCs w:val="18"/>
        </w:rPr>
        <w:br w:type="page"/>
      </w:r>
    </w:p>
    <w:p w:rsidR="0073637D" w:rsidRPr="00D331FD" w:rsidRDefault="00AA4B61" w:rsidP="0073637D">
      <w:pPr>
        <w:rPr>
          <w:sz w:val="18"/>
          <w:szCs w:val="18"/>
        </w:rPr>
      </w:pPr>
      <w:r>
        <w:rPr>
          <w:noProof/>
          <w:sz w:val="18"/>
          <w:szCs w:val="18"/>
          <w:lang w:eastAsia="en-NZ"/>
        </w:rPr>
        <w:drawing>
          <wp:inline distT="0" distB="0" distL="0" distR="0">
            <wp:extent cx="5731510" cy="4385310"/>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S22_Autonomous_expr_cand_ONT_LTR-TEs.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1510" cy="4385310"/>
                    </a:xfrm>
                    <a:prstGeom prst="rect">
                      <a:avLst/>
                    </a:prstGeom>
                  </pic:spPr>
                </pic:pic>
              </a:graphicData>
            </a:graphic>
          </wp:inline>
        </w:drawing>
      </w:r>
    </w:p>
    <w:p w:rsidR="000053A1" w:rsidRPr="00AB7C9E" w:rsidRDefault="00847221" w:rsidP="000053A1">
      <w:pPr>
        <w:pStyle w:val="Caption"/>
      </w:pPr>
      <w:r>
        <w:t xml:space="preserve">Figure S22. </w:t>
      </w:r>
      <w:r w:rsidR="000053A1" w:rsidRPr="00AB7C9E">
        <w:t>Identification of autonomous LTR-TE with potential full-transcription.</w:t>
      </w:r>
    </w:p>
    <w:p w:rsidR="00847221" w:rsidRDefault="000053A1" w:rsidP="000053A1">
      <w:pPr>
        <w:jc w:val="both"/>
        <w:rPr>
          <w:sz w:val="18"/>
          <w:szCs w:val="18"/>
        </w:rPr>
      </w:pPr>
      <w:r w:rsidRPr="00D331FD">
        <w:rPr>
          <w:b/>
          <w:sz w:val="18"/>
          <w:szCs w:val="18"/>
        </w:rPr>
        <w:t>(A)</w:t>
      </w:r>
      <w:r w:rsidRPr="00D331FD">
        <w:rPr>
          <w:sz w:val="18"/>
          <w:szCs w:val="18"/>
        </w:rPr>
        <w:t xml:space="preserve"> Autonomous LTR-TEs are characterized by the poly-protein-coding internal domain (INT) flanked by a pair of long terminal repeats (LTR). The transcription starts within the 5’ LTR, going through </w:t>
      </w:r>
      <w:r w:rsidR="00535B2B">
        <w:rPr>
          <w:sz w:val="18"/>
          <w:szCs w:val="18"/>
        </w:rPr>
        <w:t xml:space="preserve">the </w:t>
      </w:r>
      <w:r w:rsidRPr="00D331FD">
        <w:rPr>
          <w:sz w:val="18"/>
          <w:szCs w:val="18"/>
        </w:rPr>
        <w:t xml:space="preserve">INT domain, and generally terminated at 3’ LTR. See Figure 4.1 for the acronyms. The diagram is not drawn to scale. </w:t>
      </w:r>
      <w:r w:rsidRPr="00D331FD">
        <w:rPr>
          <w:b/>
          <w:sz w:val="18"/>
          <w:szCs w:val="18"/>
        </w:rPr>
        <w:t>(B)</w:t>
      </w:r>
      <w:r w:rsidRPr="00D331FD">
        <w:rPr>
          <w:sz w:val="18"/>
          <w:szCs w:val="18"/>
        </w:rPr>
        <w:t xml:space="preserve"> Workflow for collecting autonomous LTR-TE loci that were potentially fully transcribed. The short grey segments denote sequencing reads. </w:t>
      </w:r>
      <w:r w:rsidRPr="00D331FD">
        <w:rPr>
          <w:b/>
          <w:sz w:val="18"/>
          <w:szCs w:val="18"/>
        </w:rPr>
        <w:t>(C)</w:t>
      </w:r>
      <w:r w:rsidRPr="00D331FD">
        <w:rPr>
          <w:sz w:val="18"/>
          <w:szCs w:val="18"/>
        </w:rPr>
        <w:t xml:space="preserve"> The numbers of annotated, intact, and potentially fully transcribed LTR-TE loci.</w:t>
      </w:r>
    </w:p>
    <w:p w:rsidR="00847221" w:rsidRDefault="00847221">
      <w:pPr>
        <w:rPr>
          <w:sz w:val="18"/>
          <w:szCs w:val="18"/>
        </w:rPr>
      </w:pPr>
      <w:r>
        <w:rPr>
          <w:sz w:val="18"/>
          <w:szCs w:val="18"/>
        </w:rPr>
        <w:br w:type="page"/>
      </w:r>
    </w:p>
    <w:p w:rsidR="000053A1" w:rsidRPr="00D331FD" w:rsidRDefault="00AA4B61" w:rsidP="000053A1">
      <w:pPr>
        <w:jc w:val="both"/>
        <w:rPr>
          <w:sz w:val="18"/>
          <w:szCs w:val="18"/>
        </w:rPr>
      </w:pPr>
      <w:r>
        <w:rPr>
          <w:noProof/>
          <w:sz w:val="18"/>
          <w:szCs w:val="18"/>
          <w:lang w:eastAsia="en-NZ"/>
        </w:rPr>
        <w:drawing>
          <wp:inline distT="0" distB="0" distL="0" distR="0">
            <wp:extent cx="5731510" cy="4364990"/>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FigS23_Autonomous_expr_cand_ONT_LINE.png"/>
                    <pic:cNvPicPr/>
                  </pic:nvPicPr>
                  <pic:blipFill>
                    <a:blip r:embed="rId27">
                      <a:extLst>
                        <a:ext uri="{28A0092B-C50C-407E-A947-70E740481C1C}">
                          <a14:useLocalDpi xmlns:a14="http://schemas.microsoft.com/office/drawing/2010/main" val="0"/>
                        </a:ext>
                      </a:extLst>
                    </a:blip>
                    <a:stretch>
                      <a:fillRect/>
                    </a:stretch>
                  </pic:blipFill>
                  <pic:spPr>
                    <a:xfrm>
                      <a:off x="0" y="0"/>
                      <a:ext cx="5731510" cy="4364990"/>
                    </a:xfrm>
                    <a:prstGeom prst="rect">
                      <a:avLst/>
                    </a:prstGeom>
                  </pic:spPr>
                </pic:pic>
              </a:graphicData>
            </a:graphic>
          </wp:inline>
        </w:drawing>
      </w:r>
    </w:p>
    <w:p w:rsidR="00847221" w:rsidRPr="00AB7C9E" w:rsidRDefault="00847221" w:rsidP="00847221">
      <w:pPr>
        <w:pStyle w:val="Caption"/>
      </w:pPr>
      <w:r>
        <w:t xml:space="preserve">Figure S23. </w:t>
      </w:r>
      <w:r w:rsidRPr="00AB7C9E">
        <w:t>Identification of autonomous LINE with potential full-transcription.</w:t>
      </w:r>
    </w:p>
    <w:p w:rsidR="00847221" w:rsidRDefault="00847221" w:rsidP="00847221">
      <w:pPr>
        <w:jc w:val="both"/>
        <w:rPr>
          <w:sz w:val="18"/>
          <w:szCs w:val="18"/>
        </w:rPr>
      </w:pPr>
      <w:r w:rsidRPr="00D331FD">
        <w:rPr>
          <w:b/>
          <w:sz w:val="18"/>
          <w:szCs w:val="18"/>
        </w:rPr>
        <w:t>(A)</w:t>
      </w:r>
      <w:r w:rsidRPr="00D331FD">
        <w:rPr>
          <w:sz w:val="18"/>
          <w:szCs w:val="18"/>
        </w:rPr>
        <w:t xml:space="preserve"> An autonomous LINE is expected to retain the open reading frames (ORF) encoding proteins necessary for mobilization. Typically, the transcription starts from the 5’ untranslated region (5’ UTR), going through ORFs and 3’ UTR, and completed with polyadenylation. See Figure 4.2 for the acronyms. The diagram is not drawn to scale. </w:t>
      </w:r>
      <w:r w:rsidRPr="00D331FD">
        <w:rPr>
          <w:b/>
          <w:sz w:val="18"/>
          <w:szCs w:val="18"/>
        </w:rPr>
        <w:t>(B)</w:t>
      </w:r>
      <w:r w:rsidRPr="00D331FD">
        <w:rPr>
          <w:sz w:val="18"/>
          <w:szCs w:val="18"/>
        </w:rPr>
        <w:t xml:space="preserve"> Workflow for collecting autonomous LINE loci that were potentially fully transcribed. </w:t>
      </w:r>
      <w:r w:rsidRPr="00D331FD">
        <w:rPr>
          <w:b/>
          <w:sz w:val="18"/>
          <w:szCs w:val="18"/>
        </w:rPr>
        <w:t>(C)</w:t>
      </w:r>
      <w:r w:rsidRPr="00D331FD">
        <w:rPr>
          <w:sz w:val="18"/>
          <w:szCs w:val="18"/>
        </w:rPr>
        <w:t xml:space="preserve"> The numbers of annotated, intact, and potentially fully transcribed LINE loci.</w:t>
      </w:r>
    </w:p>
    <w:p w:rsidR="00847221" w:rsidRDefault="00847221">
      <w:pPr>
        <w:rPr>
          <w:sz w:val="18"/>
          <w:szCs w:val="18"/>
        </w:rPr>
      </w:pPr>
      <w:r>
        <w:rPr>
          <w:sz w:val="18"/>
          <w:szCs w:val="18"/>
        </w:rPr>
        <w:br w:type="page"/>
      </w:r>
    </w:p>
    <w:p w:rsidR="00847221" w:rsidRPr="00D331FD" w:rsidRDefault="00AA4B61" w:rsidP="00847221">
      <w:pPr>
        <w:jc w:val="both"/>
        <w:rPr>
          <w:sz w:val="18"/>
          <w:szCs w:val="18"/>
        </w:rPr>
      </w:pPr>
      <w:r>
        <w:rPr>
          <w:noProof/>
          <w:sz w:val="18"/>
          <w:szCs w:val="18"/>
          <w:lang w:eastAsia="en-NZ"/>
        </w:rPr>
        <w:drawing>
          <wp:inline distT="0" distB="0" distL="0" distR="0">
            <wp:extent cx="5731510" cy="5763260"/>
            <wp:effectExtent l="0" t="0" r="2540" b="889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igS24_Autonomous_expr_cand_ONT_TIR-TE.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731510" cy="5763260"/>
                    </a:xfrm>
                    <a:prstGeom prst="rect">
                      <a:avLst/>
                    </a:prstGeom>
                  </pic:spPr>
                </pic:pic>
              </a:graphicData>
            </a:graphic>
          </wp:inline>
        </w:drawing>
      </w:r>
    </w:p>
    <w:p w:rsidR="00847221" w:rsidRPr="00AB7C9E" w:rsidRDefault="00847221" w:rsidP="00847221">
      <w:pPr>
        <w:pStyle w:val="Caption"/>
      </w:pPr>
      <w:r>
        <w:t xml:space="preserve">Figure S24. </w:t>
      </w:r>
      <w:r w:rsidRPr="00AB7C9E">
        <w:t>Identification of autonomous TIR-TEs with potential full-transcription.</w:t>
      </w:r>
    </w:p>
    <w:p w:rsidR="0081068C" w:rsidRDefault="00847221" w:rsidP="00847221">
      <w:pPr>
        <w:jc w:val="both"/>
        <w:rPr>
          <w:sz w:val="18"/>
          <w:szCs w:val="18"/>
        </w:rPr>
      </w:pPr>
      <w:r w:rsidRPr="003C4E4E">
        <w:rPr>
          <w:b/>
          <w:sz w:val="18"/>
          <w:szCs w:val="18"/>
        </w:rPr>
        <w:t>(A)</w:t>
      </w:r>
      <w:r w:rsidRPr="003C4E4E">
        <w:rPr>
          <w:sz w:val="18"/>
          <w:szCs w:val="18"/>
        </w:rPr>
        <w:t xml:space="preserve"> An autonomous TIR-TE is supposedly equipped with a transposase (</w:t>
      </w:r>
      <w:proofErr w:type="spellStart"/>
      <w:r w:rsidRPr="003C4E4E">
        <w:rPr>
          <w:sz w:val="18"/>
          <w:szCs w:val="18"/>
        </w:rPr>
        <w:t>TPase</w:t>
      </w:r>
      <w:proofErr w:type="spellEnd"/>
      <w:r w:rsidRPr="003C4E4E">
        <w:rPr>
          <w:sz w:val="18"/>
          <w:szCs w:val="18"/>
        </w:rPr>
        <w:t xml:space="preserve">)-encoding ORF flanked by terminal inverted repeats (TIR). The typical transcription start site is as indicated. See Figure 4.3 for the acronyms. The diagram is not drawn to scale. </w:t>
      </w:r>
      <w:r w:rsidRPr="003C4E4E">
        <w:rPr>
          <w:b/>
          <w:sz w:val="18"/>
          <w:szCs w:val="18"/>
        </w:rPr>
        <w:t>(B)</w:t>
      </w:r>
      <w:r w:rsidRPr="003C4E4E">
        <w:rPr>
          <w:sz w:val="18"/>
          <w:szCs w:val="18"/>
        </w:rPr>
        <w:t xml:space="preserve"> Workflow for collecting autonomous TIR-TE loci that were potentially fully transcribed. </w:t>
      </w:r>
      <w:r w:rsidRPr="003C4E4E">
        <w:rPr>
          <w:b/>
          <w:sz w:val="18"/>
          <w:szCs w:val="18"/>
        </w:rPr>
        <w:t>(C)</w:t>
      </w:r>
      <w:r w:rsidRPr="003C4E4E">
        <w:rPr>
          <w:sz w:val="18"/>
          <w:szCs w:val="18"/>
        </w:rPr>
        <w:t xml:space="preserve"> The number of annotated, intact, and potentially fully transcribed TIR-TE loci.</w:t>
      </w:r>
    </w:p>
    <w:p w:rsidR="0081068C" w:rsidRDefault="0081068C">
      <w:pPr>
        <w:rPr>
          <w:sz w:val="18"/>
          <w:szCs w:val="18"/>
        </w:rPr>
      </w:pPr>
      <w:r>
        <w:rPr>
          <w:sz w:val="18"/>
          <w:szCs w:val="18"/>
        </w:rPr>
        <w:br w:type="page"/>
      </w:r>
    </w:p>
    <w:p w:rsidR="00847221" w:rsidRDefault="00AA4B61" w:rsidP="00847221">
      <w:pPr>
        <w:jc w:val="both"/>
        <w:rPr>
          <w:sz w:val="18"/>
          <w:szCs w:val="18"/>
        </w:rPr>
      </w:pPr>
      <w:r>
        <w:rPr>
          <w:noProof/>
          <w:sz w:val="18"/>
          <w:szCs w:val="18"/>
          <w:lang w:eastAsia="en-NZ"/>
        </w:rPr>
        <w:drawing>
          <wp:inline distT="0" distB="0" distL="0" distR="0">
            <wp:extent cx="4175333" cy="68580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FigS25_ONT_read_breadth_of_coverage.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182165" cy="6869222"/>
                    </a:xfrm>
                    <a:prstGeom prst="rect">
                      <a:avLst/>
                    </a:prstGeom>
                  </pic:spPr>
                </pic:pic>
              </a:graphicData>
            </a:graphic>
          </wp:inline>
        </w:drawing>
      </w:r>
    </w:p>
    <w:p w:rsidR="0081068C" w:rsidRPr="00DD5B01" w:rsidRDefault="0081068C" w:rsidP="0081068C">
      <w:pPr>
        <w:pStyle w:val="Caption"/>
      </w:pPr>
      <w:r>
        <w:t xml:space="preserve">Figure S25. </w:t>
      </w:r>
      <w:r w:rsidRPr="00DD5B01">
        <w:t>Characteristics of ONT reads mapping to</w:t>
      </w:r>
      <w:r>
        <w:t xml:space="preserve"> structurally</w:t>
      </w:r>
      <w:r w:rsidRPr="00DD5B01">
        <w:t xml:space="preserve"> autonomous </w:t>
      </w:r>
      <w:r>
        <w:t>TE</w:t>
      </w:r>
      <w:r w:rsidRPr="00DD5B01">
        <w:t xml:space="preserve"> loci identified by the workflow shown in Figure </w:t>
      </w:r>
      <w:r>
        <w:t>S22-23</w:t>
      </w:r>
      <w:r w:rsidRPr="00DD5B01">
        <w:t xml:space="preserve">. </w:t>
      </w:r>
    </w:p>
    <w:p w:rsidR="0073637D" w:rsidRPr="006569B1" w:rsidRDefault="0081068C" w:rsidP="00AA4B61">
      <w:pPr>
        <w:jc w:val="both"/>
        <w:rPr>
          <w:sz w:val="18"/>
          <w:szCs w:val="18"/>
        </w:rPr>
      </w:pPr>
      <w:r w:rsidRPr="00E533B8">
        <w:rPr>
          <w:rFonts w:cstheme="minorHAnsi"/>
          <w:b/>
          <w:sz w:val="18"/>
          <w:szCs w:val="18"/>
        </w:rPr>
        <w:t>(A</w:t>
      </w:r>
      <w:r w:rsidR="00E533B8" w:rsidRPr="00E533B8">
        <w:rPr>
          <w:rFonts w:cstheme="minorHAnsi"/>
          <w:b/>
          <w:sz w:val="18"/>
          <w:szCs w:val="18"/>
        </w:rPr>
        <w:t>-C</w:t>
      </w:r>
      <w:r w:rsidRPr="00E533B8">
        <w:rPr>
          <w:rFonts w:cstheme="minorHAnsi"/>
          <w:b/>
          <w:sz w:val="18"/>
          <w:szCs w:val="18"/>
        </w:rPr>
        <w:t>)</w:t>
      </w:r>
      <w:r w:rsidRPr="00E533B8">
        <w:rPr>
          <w:rFonts w:cstheme="minorHAnsi"/>
          <w:sz w:val="18"/>
          <w:szCs w:val="18"/>
        </w:rPr>
        <w:t xml:space="preserve"> </w:t>
      </w:r>
      <w:r w:rsidR="00E533B8" w:rsidRPr="00E533B8">
        <w:rPr>
          <w:rFonts w:cstheme="minorHAnsi"/>
          <w:sz w:val="18"/>
          <w:szCs w:val="18"/>
        </w:rPr>
        <w:t xml:space="preserve">Scatter plots demonstrating the alignment properties of the 50 ONT reads mapping to 19 structurally autonomous Copia-23 loci whose INT domain was &gt;90% covered by ONT reads in Vv_Mock12h. For each read, the read length was plotted against the number of bases overlapping with the autonomous locus and coloured by mapping specificity (multi-/unique-mapping; </w:t>
      </w:r>
      <w:r w:rsidR="0044147C">
        <w:rPr>
          <w:rFonts w:cstheme="minorHAnsi"/>
          <w:sz w:val="18"/>
          <w:szCs w:val="18"/>
        </w:rPr>
        <w:t>A</w:t>
      </w:r>
      <w:r w:rsidR="00E533B8" w:rsidRPr="00E533B8">
        <w:rPr>
          <w:rFonts w:cstheme="minorHAnsi"/>
          <w:sz w:val="18"/>
          <w:szCs w:val="18"/>
        </w:rPr>
        <w:t>), as well as alignment start site (</w:t>
      </w:r>
      <w:r w:rsidR="0044147C">
        <w:rPr>
          <w:rFonts w:cstheme="minorHAnsi"/>
          <w:sz w:val="18"/>
          <w:szCs w:val="18"/>
        </w:rPr>
        <w:t>B</w:t>
      </w:r>
      <w:r w:rsidR="00E533B8" w:rsidRPr="00E533B8">
        <w:rPr>
          <w:rFonts w:cstheme="minorHAnsi"/>
          <w:sz w:val="18"/>
          <w:szCs w:val="18"/>
        </w:rPr>
        <w:t>) and end site (</w:t>
      </w:r>
      <w:r w:rsidR="0044147C">
        <w:rPr>
          <w:rFonts w:cstheme="minorHAnsi"/>
          <w:sz w:val="18"/>
          <w:szCs w:val="18"/>
        </w:rPr>
        <w:t>C</w:t>
      </w:r>
      <w:r w:rsidR="00E533B8" w:rsidRPr="00E533B8">
        <w:rPr>
          <w:rFonts w:cstheme="minorHAnsi"/>
          <w:sz w:val="18"/>
          <w:szCs w:val="18"/>
        </w:rPr>
        <w:t>) relative to the TE locus. Therefore, all reads plotted in (</w:t>
      </w:r>
      <w:r w:rsidR="0044147C">
        <w:rPr>
          <w:rFonts w:cstheme="minorHAnsi"/>
          <w:sz w:val="18"/>
          <w:szCs w:val="18"/>
        </w:rPr>
        <w:t>A</w:t>
      </w:r>
      <w:r w:rsidR="00E533B8" w:rsidRPr="00E533B8">
        <w:rPr>
          <w:rFonts w:cstheme="minorHAnsi"/>
          <w:sz w:val="18"/>
          <w:szCs w:val="18"/>
        </w:rPr>
        <w:t>) were presented at the same coordinates in (</w:t>
      </w:r>
      <w:r w:rsidR="0044147C">
        <w:rPr>
          <w:rFonts w:cstheme="minorHAnsi"/>
          <w:sz w:val="18"/>
          <w:szCs w:val="18"/>
        </w:rPr>
        <w:t>B</w:t>
      </w:r>
      <w:r w:rsidR="00E533B8" w:rsidRPr="00E533B8">
        <w:rPr>
          <w:rFonts w:cstheme="minorHAnsi"/>
          <w:sz w:val="18"/>
          <w:szCs w:val="18"/>
        </w:rPr>
        <w:t>) and (</w:t>
      </w:r>
      <w:r w:rsidR="0044147C">
        <w:rPr>
          <w:rFonts w:cstheme="minorHAnsi"/>
          <w:sz w:val="18"/>
          <w:szCs w:val="18"/>
        </w:rPr>
        <w:t>C</w:t>
      </w:r>
      <w:r w:rsidR="00E533B8" w:rsidRPr="00E533B8">
        <w:rPr>
          <w:rFonts w:cstheme="minorHAnsi"/>
          <w:sz w:val="18"/>
          <w:szCs w:val="18"/>
        </w:rPr>
        <w:t>).</w:t>
      </w:r>
      <w:r w:rsidRPr="00E533B8">
        <w:rPr>
          <w:rFonts w:cstheme="minorHAnsi"/>
          <w:sz w:val="18"/>
          <w:szCs w:val="18"/>
        </w:rPr>
        <w:t xml:space="preserve"> </w:t>
      </w:r>
      <w:r w:rsidRPr="00E533B8">
        <w:rPr>
          <w:rFonts w:cstheme="minorHAnsi"/>
          <w:b/>
          <w:sz w:val="18"/>
          <w:szCs w:val="18"/>
        </w:rPr>
        <w:t>(D-O)</w:t>
      </w:r>
      <w:r w:rsidRPr="00E533B8">
        <w:rPr>
          <w:rFonts w:cstheme="minorHAnsi"/>
          <w:sz w:val="18"/>
          <w:szCs w:val="18"/>
        </w:rPr>
        <w:t xml:space="preserve"> </w:t>
      </w:r>
      <w:r w:rsidR="00E533B8" w:rsidRPr="00E533B8">
        <w:rPr>
          <w:rFonts w:cstheme="minorHAnsi"/>
          <w:sz w:val="18"/>
          <w:szCs w:val="18"/>
        </w:rPr>
        <w:t>Scatter plots demonstrating the alignment properties of the ONT reads mapping to structurally autonomous Copia-3, VLINE7, and VLINE8 loci whose INT or annotated feature (for LINE element) was &gt;90% covered by ONT reads. The experimental conditions were as indicated. (D)</w:t>
      </w:r>
      <w:proofErr w:type="gramStart"/>
      <w:r w:rsidR="00E533B8" w:rsidRPr="00E533B8">
        <w:rPr>
          <w:rFonts w:cstheme="minorHAnsi"/>
          <w:sz w:val="18"/>
          <w:szCs w:val="18"/>
        </w:rPr>
        <w:t>-(</w:t>
      </w:r>
      <w:proofErr w:type="gramEnd"/>
      <w:r w:rsidR="00E533B8" w:rsidRPr="00E533B8">
        <w:rPr>
          <w:rFonts w:cstheme="minorHAnsi"/>
          <w:sz w:val="18"/>
          <w:szCs w:val="18"/>
        </w:rPr>
        <w:t>O) were plot following the approach used for (A)-(C).</w:t>
      </w:r>
    </w:p>
    <w:sectPr w:rsidR="0073637D" w:rsidRPr="006569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auto"/>
    <w:notTrueType/>
    <w:pitch w:val="variable"/>
    <w:sig w:usb0="00000000"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8752D"/>
    <w:multiLevelType w:val="multilevel"/>
    <w:tmpl w:val="6AA6FD3A"/>
    <w:lvl w:ilvl="0">
      <w:start w:val="1"/>
      <w:numFmt w:val="decimal"/>
      <w:pStyle w:val="Heading1"/>
      <w:suff w:val="nothing"/>
      <w:lvlText w:val="Chapter %1"/>
      <w:lvlJc w:val="left"/>
      <w:pPr>
        <w:ind w:left="0" w:firstLine="0"/>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709"/>
        </w:tabs>
        <w:ind w:left="709" w:hanging="709"/>
      </w:pPr>
      <w:rPr>
        <w:rFonts w:hint="default"/>
      </w:rPr>
    </w:lvl>
    <w:lvl w:ilvl="3">
      <w:start w:val="1"/>
      <w:numFmt w:val="none"/>
      <w:pStyle w:val="Heading4"/>
      <w:suff w:val="nothing"/>
      <w:lvlText w:val=""/>
      <w:lvlJc w:val="left"/>
      <w:pPr>
        <w:ind w:left="0" w:firstLine="0"/>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num w:numId="1">
    <w:abstractNumId w:val="0"/>
  </w:num>
  <w:num w:numId="2">
    <w:abstractNumId w:val="0"/>
    <w:lvlOverride w:ilvl="0">
      <w:lvl w:ilvl="0">
        <w:start w:val="1"/>
        <w:numFmt w:val="decimal"/>
        <w:pStyle w:val="Heading1"/>
        <w:suff w:val="nothing"/>
        <w:lvlText w:val="Chapter %1"/>
        <w:lvlJc w:val="left"/>
        <w:pPr>
          <w:ind w:left="0" w:firstLine="0"/>
        </w:pPr>
        <w:rPr>
          <w:rFonts w:hint="default"/>
        </w:rPr>
      </w:lvl>
    </w:lvlOverride>
    <w:lvlOverride w:ilvl="1">
      <w:lvl w:ilvl="1">
        <w:start w:val="1"/>
        <w:numFmt w:val="decimal"/>
        <w:pStyle w:val="Heading2"/>
        <w:lvlText w:val="%1.%2"/>
        <w:lvlJc w:val="left"/>
        <w:pPr>
          <w:tabs>
            <w:tab w:val="num" w:pos="567"/>
          </w:tabs>
          <w:ind w:left="567" w:hanging="567"/>
        </w:pPr>
        <w:rPr>
          <w:rFonts w:hint="default"/>
        </w:rPr>
      </w:lvl>
    </w:lvlOverride>
    <w:lvlOverride w:ilvl="2">
      <w:lvl w:ilvl="2">
        <w:start w:val="1"/>
        <w:numFmt w:val="decimal"/>
        <w:pStyle w:val="Heading3"/>
        <w:lvlText w:val="%1.%2.%3"/>
        <w:lvlJc w:val="left"/>
        <w:pPr>
          <w:tabs>
            <w:tab w:val="num" w:pos="709"/>
          </w:tabs>
          <w:ind w:left="709" w:hanging="709"/>
        </w:pPr>
        <w:rPr>
          <w:rFonts w:hint="default"/>
        </w:rPr>
      </w:lvl>
    </w:lvlOverride>
    <w:lvlOverride w:ilvl="3">
      <w:lvl w:ilvl="3">
        <w:start w:val="1"/>
        <w:numFmt w:val="none"/>
        <w:pStyle w:val="Heading4"/>
        <w:suff w:val="nothing"/>
        <w:lvlText w:val=""/>
        <w:lvlJc w:val="left"/>
        <w:pPr>
          <w:ind w:left="0" w:firstLine="0"/>
        </w:pPr>
        <w:rPr>
          <w:rFonts w:hint="default"/>
        </w:rPr>
      </w:lvl>
    </w:lvlOverride>
    <w:lvlOverride w:ilvl="4">
      <w:lvl w:ilvl="4">
        <w:start w:val="1"/>
        <w:numFmt w:val="none"/>
        <w:pStyle w:val="Heading5"/>
        <w:suff w:val="nothing"/>
        <w:lvlText w:val=""/>
        <w:lvlJc w:val="left"/>
        <w:pPr>
          <w:ind w:left="0" w:firstLine="0"/>
        </w:pPr>
        <w:rPr>
          <w:rFonts w:hint="default"/>
        </w:rPr>
      </w:lvl>
    </w:lvlOverride>
    <w:lvlOverride w:ilvl="5">
      <w:lvl w:ilvl="5">
        <w:start w:val="1"/>
        <w:numFmt w:val="decimal"/>
        <w:pStyle w:val="Heading6"/>
        <w:lvlText w:val="%1.%2.%3.%4.%5.%6"/>
        <w:lvlJc w:val="left"/>
        <w:pPr>
          <w:tabs>
            <w:tab w:val="num" w:pos="1152"/>
          </w:tabs>
          <w:ind w:left="1152" w:hanging="1152"/>
        </w:pPr>
        <w:rPr>
          <w:rFonts w:hint="default"/>
        </w:rPr>
      </w:lvl>
    </w:lvlOverride>
    <w:lvlOverride w:ilvl="6">
      <w:lvl w:ilvl="6">
        <w:start w:val="1"/>
        <w:numFmt w:val="decimal"/>
        <w:pStyle w:val="Heading7"/>
        <w:lvlText w:val="%1.%2.%3.%4.%5.%6.%7"/>
        <w:lvlJc w:val="left"/>
        <w:pPr>
          <w:tabs>
            <w:tab w:val="num" w:pos="1296"/>
          </w:tabs>
          <w:ind w:left="1296" w:hanging="1296"/>
        </w:pPr>
        <w:rPr>
          <w:rFonts w:hint="default"/>
        </w:rPr>
      </w:lvl>
    </w:lvlOverride>
    <w:lvlOverride w:ilvl="7">
      <w:lvl w:ilvl="7">
        <w:start w:val="1"/>
        <w:numFmt w:val="decimal"/>
        <w:pStyle w:val="Heading8"/>
        <w:lvlText w:val="%1.%2.%3.%4.%5.%6.%7.%8"/>
        <w:lvlJc w:val="left"/>
        <w:pPr>
          <w:tabs>
            <w:tab w:val="num" w:pos="1440"/>
          </w:tabs>
          <w:ind w:left="1440" w:hanging="1440"/>
        </w:pPr>
        <w:rPr>
          <w:rFonts w:hint="default"/>
        </w:rPr>
      </w:lvl>
    </w:lvlOverride>
    <w:lvlOverride w:ilvl="8">
      <w:lvl w:ilvl="8">
        <w:start w:val="1"/>
        <w:numFmt w:val="decimal"/>
        <w:pStyle w:val="Heading9"/>
        <w:lvlText w:val="%1.%2.%3.%4.%5.%6.%7.%8.%9"/>
        <w:lvlJc w:val="left"/>
        <w:pPr>
          <w:tabs>
            <w:tab w:val="num" w:pos="1584"/>
          </w:tabs>
          <w:ind w:left="1584" w:hanging="1584"/>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32"/>
  <w:bordersDoNotSurroundHeader/>
  <w:bordersDoNotSurroundFooter/>
  <w:hideSpellingErrors/>
  <w:hideGrammaticalErrors/>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7WwMDcztDCzMDQ1MDVT0lEKTi0uzszPAykwrgUA640viCwAAAA="/>
  </w:docVars>
  <w:rsids>
    <w:rsidRoot w:val="00777EE2"/>
    <w:rsid w:val="000053A1"/>
    <w:rsid w:val="00033740"/>
    <w:rsid w:val="00080B1E"/>
    <w:rsid w:val="00196575"/>
    <w:rsid w:val="001E0769"/>
    <w:rsid w:val="0024485F"/>
    <w:rsid w:val="00311469"/>
    <w:rsid w:val="003270B5"/>
    <w:rsid w:val="00357C9F"/>
    <w:rsid w:val="003F0F75"/>
    <w:rsid w:val="0044147C"/>
    <w:rsid w:val="004615AB"/>
    <w:rsid w:val="005223A3"/>
    <w:rsid w:val="00535B2B"/>
    <w:rsid w:val="005928F4"/>
    <w:rsid w:val="005E4AB2"/>
    <w:rsid w:val="006569B1"/>
    <w:rsid w:val="0073637D"/>
    <w:rsid w:val="00777EE2"/>
    <w:rsid w:val="007A1D3B"/>
    <w:rsid w:val="007B22DB"/>
    <w:rsid w:val="0081068C"/>
    <w:rsid w:val="00847221"/>
    <w:rsid w:val="00912604"/>
    <w:rsid w:val="009269A1"/>
    <w:rsid w:val="009379FC"/>
    <w:rsid w:val="00945F70"/>
    <w:rsid w:val="00AA4B61"/>
    <w:rsid w:val="00AF3B02"/>
    <w:rsid w:val="00BC5503"/>
    <w:rsid w:val="00BC62A9"/>
    <w:rsid w:val="00CB524F"/>
    <w:rsid w:val="00D77C86"/>
    <w:rsid w:val="00E3771D"/>
    <w:rsid w:val="00E533B8"/>
    <w:rsid w:val="00E759A9"/>
    <w:rsid w:val="00EB2624"/>
    <w:rsid w:val="00ED49BD"/>
    <w:rsid w:val="00F56FB5"/>
    <w:rsid w:val="00F73252"/>
  </w:rsids>
  <m:mathPr>
    <m:mathFont m:val="Cambria Math"/>
    <m:brkBin m:val="before"/>
    <m:brkBinSub m:val="--"/>
    <m:smallFrac m:val="0"/>
    <m:dispDef/>
    <m:lMargin m:val="0"/>
    <m:rMargin m:val="0"/>
    <m:defJc m:val="centerGroup"/>
    <m:wrapIndent m:val="1440"/>
    <m:intLim m:val="subSup"/>
    <m:naryLim m:val="undOvr"/>
  </m:mathPr>
  <w:themeFontLang w:val="en-NZ"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CEF523-79AE-41EA-BD81-634772DEC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1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BodyText"/>
    <w:link w:val="Heading1Char"/>
    <w:uiPriority w:val="9"/>
    <w:qFormat/>
    <w:rsid w:val="006569B1"/>
    <w:pPr>
      <w:keepNext/>
      <w:pageBreakBefore/>
      <w:numPr>
        <w:numId w:val="1"/>
      </w:numPr>
      <w:spacing w:before="240" w:after="480" w:line="360" w:lineRule="auto"/>
      <w:jc w:val="center"/>
      <w:outlineLvl w:val="0"/>
    </w:pPr>
    <w:rPr>
      <w:rFonts w:ascii="Calibri" w:eastAsia="Times New Roman" w:hAnsi="Calibri" w:cs="Calibri"/>
      <w:b/>
      <w:bCs/>
      <w:sz w:val="32"/>
      <w:szCs w:val="32"/>
      <w:lang w:eastAsia="en-AU"/>
    </w:rPr>
  </w:style>
  <w:style w:type="paragraph" w:styleId="Heading2">
    <w:name w:val="heading 2"/>
    <w:basedOn w:val="Normal"/>
    <w:next w:val="BodyText"/>
    <w:link w:val="Heading2Char"/>
    <w:uiPriority w:val="9"/>
    <w:qFormat/>
    <w:rsid w:val="006569B1"/>
    <w:pPr>
      <w:keepNext/>
      <w:numPr>
        <w:ilvl w:val="1"/>
        <w:numId w:val="1"/>
      </w:numPr>
      <w:spacing w:before="240" w:after="240" w:line="240" w:lineRule="auto"/>
      <w:outlineLvl w:val="1"/>
    </w:pPr>
    <w:rPr>
      <w:rFonts w:ascii="Calibri" w:eastAsia="Times New Roman" w:hAnsi="Calibri" w:cs="Calibri"/>
      <w:b/>
      <w:bCs/>
      <w:iCs/>
      <w:noProof/>
      <w:sz w:val="28"/>
      <w:szCs w:val="28"/>
      <w:lang w:eastAsia="en-AU"/>
    </w:rPr>
  </w:style>
  <w:style w:type="paragraph" w:styleId="Heading3">
    <w:name w:val="heading 3"/>
    <w:basedOn w:val="Normal"/>
    <w:next w:val="BodyText"/>
    <w:link w:val="Heading3Char"/>
    <w:uiPriority w:val="9"/>
    <w:qFormat/>
    <w:rsid w:val="006569B1"/>
    <w:pPr>
      <w:keepNext/>
      <w:numPr>
        <w:ilvl w:val="2"/>
        <w:numId w:val="1"/>
      </w:numPr>
      <w:spacing w:before="240" w:after="240" w:line="240" w:lineRule="auto"/>
      <w:outlineLvl w:val="2"/>
    </w:pPr>
    <w:rPr>
      <w:rFonts w:ascii="Calibri" w:eastAsia="Times New Roman" w:hAnsi="Calibri" w:cs="Calibri"/>
      <w:b/>
      <w:bCs/>
      <w:noProof/>
      <w:sz w:val="26"/>
      <w:szCs w:val="26"/>
      <w:lang w:eastAsia="en-AU"/>
    </w:rPr>
  </w:style>
  <w:style w:type="paragraph" w:styleId="Heading4">
    <w:name w:val="heading 4"/>
    <w:basedOn w:val="Normal"/>
    <w:next w:val="BodyText"/>
    <w:link w:val="Heading4Char"/>
    <w:uiPriority w:val="3"/>
    <w:qFormat/>
    <w:rsid w:val="006569B1"/>
    <w:pPr>
      <w:keepNext/>
      <w:numPr>
        <w:ilvl w:val="3"/>
        <w:numId w:val="1"/>
      </w:numPr>
      <w:spacing w:before="120" w:after="120" w:line="240" w:lineRule="auto"/>
      <w:outlineLvl w:val="3"/>
    </w:pPr>
    <w:rPr>
      <w:rFonts w:ascii="Calibri" w:eastAsia="Times New Roman" w:hAnsi="Calibri" w:cs="Calibri"/>
      <w:b/>
      <w:bCs/>
      <w:noProof/>
      <w:sz w:val="24"/>
      <w:szCs w:val="24"/>
      <w:lang w:eastAsia="en-AU"/>
    </w:rPr>
  </w:style>
  <w:style w:type="paragraph" w:styleId="Heading5">
    <w:name w:val="heading 5"/>
    <w:basedOn w:val="Normal"/>
    <w:next w:val="BodyText"/>
    <w:link w:val="Heading5Char"/>
    <w:uiPriority w:val="10"/>
    <w:qFormat/>
    <w:rsid w:val="006569B1"/>
    <w:pPr>
      <w:numPr>
        <w:ilvl w:val="4"/>
        <w:numId w:val="1"/>
      </w:numPr>
      <w:tabs>
        <w:tab w:val="clear" w:pos="1008"/>
      </w:tabs>
      <w:spacing w:before="120" w:after="120" w:line="240" w:lineRule="auto"/>
      <w:ind w:left="0" w:firstLine="0"/>
      <w:outlineLvl w:val="4"/>
    </w:pPr>
    <w:rPr>
      <w:rFonts w:ascii="Calibri" w:eastAsia="Times New Roman" w:hAnsi="Calibri" w:cs="Calibri"/>
      <w:b/>
      <w:bCs/>
      <w:i/>
      <w:iCs/>
      <w:szCs w:val="26"/>
      <w:lang w:eastAsia="en-AU"/>
    </w:rPr>
  </w:style>
  <w:style w:type="paragraph" w:styleId="Heading6">
    <w:name w:val="heading 6"/>
    <w:basedOn w:val="Normal"/>
    <w:next w:val="Normal"/>
    <w:link w:val="Heading6Char"/>
    <w:rsid w:val="006569B1"/>
    <w:pPr>
      <w:numPr>
        <w:ilvl w:val="5"/>
        <w:numId w:val="1"/>
      </w:numPr>
      <w:spacing w:before="120" w:after="120" w:line="240" w:lineRule="auto"/>
      <w:outlineLvl w:val="5"/>
    </w:pPr>
    <w:rPr>
      <w:rFonts w:eastAsia="Times New Roman" w:cs="Times New Roman"/>
      <w:b/>
      <w:bCs/>
      <w:lang w:eastAsia="en-AU"/>
    </w:rPr>
  </w:style>
  <w:style w:type="paragraph" w:styleId="Heading7">
    <w:name w:val="heading 7"/>
    <w:basedOn w:val="Normal"/>
    <w:next w:val="Normal"/>
    <w:link w:val="Heading7Char"/>
    <w:rsid w:val="006569B1"/>
    <w:pPr>
      <w:numPr>
        <w:ilvl w:val="6"/>
        <w:numId w:val="1"/>
      </w:numPr>
      <w:spacing w:before="240" w:after="60" w:line="240" w:lineRule="auto"/>
      <w:outlineLvl w:val="6"/>
    </w:pPr>
    <w:rPr>
      <w:rFonts w:eastAsia="Times New Roman" w:cs="Times New Roman"/>
      <w:szCs w:val="24"/>
      <w:lang w:eastAsia="en-AU"/>
    </w:rPr>
  </w:style>
  <w:style w:type="paragraph" w:styleId="Heading8">
    <w:name w:val="heading 8"/>
    <w:basedOn w:val="Normal"/>
    <w:next w:val="Normal"/>
    <w:link w:val="Heading8Char"/>
    <w:rsid w:val="006569B1"/>
    <w:pPr>
      <w:numPr>
        <w:ilvl w:val="7"/>
        <w:numId w:val="1"/>
      </w:numPr>
      <w:spacing w:before="240" w:after="60" w:line="240" w:lineRule="auto"/>
      <w:outlineLvl w:val="7"/>
    </w:pPr>
    <w:rPr>
      <w:rFonts w:eastAsia="Times New Roman" w:cs="Times New Roman"/>
      <w:i/>
      <w:iCs/>
      <w:szCs w:val="24"/>
      <w:lang w:eastAsia="en-AU"/>
    </w:rPr>
  </w:style>
  <w:style w:type="paragraph" w:styleId="Heading9">
    <w:name w:val="heading 9"/>
    <w:basedOn w:val="Normal"/>
    <w:next w:val="Normal"/>
    <w:link w:val="Heading9Char"/>
    <w:rsid w:val="006569B1"/>
    <w:pPr>
      <w:numPr>
        <w:ilvl w:val="8"/>
        <w:numId w:val="1"/>
      </w:numPr>
      <w:spacing w:before="240" w:after="60" w:line="240" w:lineRule="auto"/>
      <w:outlineLvl w:val="8"/>
    </w:pPr>
    <w:rPr>
      <w:rFonts w:ascii="Arial" w:eastAsia="Times New Roman" w:hAnsi="Arial" w:cs="Arial"/>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22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2DB"/>
    <w:rPr>
      <w:rFonts w:ascii="Tahoma" w:hAnsi="Tahoma" w:cs="Tahoma"/>
      <w:sz w:val="16"/>
      <w:szCs w:val="16"/>
    </w:rPr>
  </w:style>
  <w:style w:type="paragraph" w:styleId="Caption">
    <w:name w:val="caption"/>
    <w:basedOn w:val="Normal"/>
    <w:next w:val="BodyText"/>
    <w:autoRedefine/>
    <w:qFormat/>
    <w:rsid w:val="006569B1"/>
    <w:pPr>
      <w:spacing w:before="240" w:after="240" w:line="240" w:lineRule="auto"/>
    </w:pPr>
    <w:rPr>
      <w:rFonts w:ascii="Calibri" w:eastAsia="Times New Roman" w:hAnsi="Calibri" w:cs="Calibri"/>
      <w:b/>
      <w:bCs/>
      <w:color w:val="000000"/>
      <w:lang w:eastAsia="en-AU"/>
    </w:rPr>
  </w:style>
  <w:style w:type="paragraph" w:styleId="BodyText">
    <w:name w:val="Body Text"/>
    <w:basedOn w:val="Normal"/>
    <w:link w:val="BodyTextChar"/>
    <w:uiPriority w:val="99"/>
    <w:semiHidden/>
    <w:unhideWhenUsed/>
    <w:rsid w:val="00E759A9"/>
    <w:pPr>
      <w:spacing w:after="120"/>
    </w:pPr>
  </w:style>
  <w:style w:type="character" w:customStyle="1" w:styleId="BodyTextChar">
    <w:name w:val="Body Text Char"/>
    <w:basedOn w:val="DefaultParagraphFont"/>
    <w:link w:val="BodyText"/>
    <w:uiPriority w:val="99"/>
    <w:semiHidden/>
    <w:rsid w:val="00E759A9"/>
  </w:style>
  <w:style w:type="paragraph" w:styleId="ListParagraph">
    <w:name w:val="List Paragraph"/>
    <w:basedOn w:val="Normal"/>
    <w:uiPriority w:val="34"/>
    <w:qFormat/>
    <w:rsid w:val="00BC62A9"/>
    <w:pPr>
      <w:ind w:left="720"/>
      <w:contextualSpacing/>
    </w:pPr>
  </w:style>
  <w:style w:type="character" w:customStyle="1" w:styleId="Heading1Char">
    <w:name w:val="Heading 1 Char"/>
    <w:basedOn w:val="DefaultParagraphFont"/>
    <w:link w:val="Heading1"/>
    <w:uiPriority w:val="9"/>
    <w:qFormat/>
    <w:rsid w:val="006569B1"/>
    <w:rPr>
      <w:rFonts w:ascii="Calibri" w:eastAsia="Times New Roman" w:hAnsi="Calibri" w:cs="Calibri"/>
      <w:b/>
      <w:bCs/>
      <w:sz w:val="32"/>
      <w:szCs w:val="32"/>
      <w:lang w:eastAsia="en-AU"/>
    </w:rPr>
  </w:style>
  <w:style w:type="character" w:customStyle="1" w:styleId="Heading2Char">
    <w:name w:val="Heading 2 Char"/>
    <w:basedOn w:val="DefaultParagraphFont"/>
    <w:link w:val="Heading2"/>
    <w:uiPriority w:val="9"/>
    <w:rsid w:val="006569B1"/>
    <w:rPr>
      <w:rFonts w:ascii="Calibri" w:eastAsia="Times New Roman" w:hAnsi="Calibri" w:cs="Calibri"/>
      <w:b/>
      <w:bCs/>
      <w:iCs/>
      <w:noProof/>
      <w:sz w:val="28"/>
      <w:szCs w:val="28"/>
      <w:lang w:eastAsia="en-AU"/>
    </w:rPr>
  </w:style>
  <w:style w:type="character" w:customStyle="1" w:styleId="Heading3Char">
    <w:name w:val="Heading 3 Char"/>
    <w:basedOn w:val="DefaultParagraphFont"/>
    <w:link w:val="Heading3"/>
    <w:uiPriority w:val="9"/>
    <w:rsid w:val="006569B1"/>
    <w:rPr>
      <w:rFonts w:ascii="Calibri" w:eastAsia="Times New Roman" w:hAnsi="Calibri" w:cs="Calibri"/>
      <w:b/>
      <w:bCs/>
      <w:noProof/>
      <w:sz w:val="26"/>
      <w:szCs w:val="26"/>
      <w:lang w:eastAsia="en-AU"/>
    </w:rPr>
  </w:style>
  <w:style w:type="character" w:customStyle="1" w:styleId="Heading4Char">
    <w:name w:val="Heading 4 Char"/>
    <w:basedOn w:val="DefaultParagraphFont"/>
    <w:link w:val="Heading4"/>
    <w:uiPriority w:val="3"/>
    <w:rsid w:val="006569B1"/>
    <w:rPr>
      <w:rFonts w:ascii="Calibri" w:eastAsia="Times New Roman" w:hAnsi="Calibri" w:cs="Calibri"/>
      <w:b/>
      <w:bCs/>
      <w:noProof/>
      <w:sz w:val="24"/>
      <w:szCs w:val="24"/>
      <w:lang w:eastAsia="en-AU"/>
    </w:rPr>
  </w:style>
  <w:style w:type="character" w:customStyle="1" w:styleId="Heading5Char">
    <w:name w:val="Heading 5 Char"/>
    <w:basedOn w:val="DefaultParagraphFont"/>
    <w:link w:val="Heading5"/>
    <w:uiPriority w:val="10"/>
    <w:rsid w:val="006569B1"/>
    <w:rPr>
      <w:rFonts w:ascii="Calibri" w:eastAsia="Times New Roman" w:hAnsi="Calibri" w:cs="Calibri"/>
      <w:b/>
      <w:bCs/>
      <w:i/>
      <w:iCs/>
      <w:szCs w:val="26"/>
      <w:lang w:eastAsia="en-AU"/>
    </w:rPr>
  </w:style>
  <w:style w:type="character" w:customStyle="1" w:styleId="Heading6Char">
    <w:name w:val="Heading 6 Char"/>
    <w:basedOn w:val="DefaultParagraphFont"/>
    <w:link w:val="Heading6"/>
    <w:rsid w:val="006569B1"/>
    <w:rPr>
      <w:rFonts w:eastAsia="Times New Roman" w:cs="Times New Roman"/>
      <w:b/>
      <w:bCs/>
      <w:lang w:eastAsia="en-AU"/>
    </w:rPr>
  </w:style>
  <w:style w:type="character" w:customStyle="1" w:styleId="Heading7Char">
    <w:name w:val="Heading 7 Char"/>
    <w:basedOn w:val="DefaultParagraphFont"/>
    <w:link w:val="Heading7"/>
    <w:rsid w:val="006569B1"/>
    <w:rPr>
      <w:rFonts w:eastAsia="Times New Roman" w:cs="Times New Roman"/>
      <w:szCs w:val="24"/>
      <w:lang w:eastAsia="en-AU"/>
    </w:rPr>
  </w:style>
  <w:style w:type="character" w:customStyle="1" w:styleId="Heading8Char">
    <w:name w:val="Heading 8 Char"/>
    <w:basedOn w:val="DefaultParagraphFont"/>
    <w:link w:val="Heading8"/>
    <w:rsid w:val="006569B1"/>
    <w:rPr>
      <w:rFonts w:eastAsia="Times New Roman" w:cs="Times New Roman"/>
      <w:i/>
      <w:iCs/>
      <w:szCs w:val="24"/>
      <w:lang w:eastAsia="en-AU"/>
    </w:rPr>
  </w:style>
  <w:style w:type="character" w:customStyle="1" w:styleId="Heading9Char">
    <w:name w:val="Heading 9 Char"/>
    <w:basedOn w:val="DefaultParagraphFont"/>
    <w:link w:val="Heading9"/>
    <w:rsid w:val="006569B1"/>
    <w:rPr>
      <w:rFonts w:ascii="Arial" w:eastAsia="Times New Roman" w:hAnsi="Arial" w:cs="Arial"/>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25</Pages>
  <Words>1768</Words>
  <Characters>10083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thchen</dc:creator>
  <cp:keywords/>
  <dc:description/>
  <cp:lastModifiedBy>Ting-Hsuan Chen</cp:lastModifiedBy>
  <cp:revision>22</cp:revision>
  <cp:lastPrinted>2021-07-07T10:24:00Z</cp:lastPrinted>
  <dcterms:created xsi:type="dcterms:W3CDTF">2021-02-09T03:12:00Z</dcterms:created>
  <dcterms:modified xsi:type="dcterms:W3CDTF">2021-08-10T05:18:00Z</dcterms:modified>
</cp:coreProperties>
</file>