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27FBAC">
      <w:pPr>
        <w:spacing w:line="360" w:lineRule="auto"/>
        <w:rPr>
          <w:rFonts w:hint="eastAsia" w:cs="Times New Roman"/>
          <w:b/>
          <w:bCs/>
          <w:lang w:val="en-US"/>
        </w:rPr>
      </w:pPr>
      <w:r>
        <w:rPr>
          <w:rFonts w:hint="eastAsia" w:cs="Times New Roman"/>
          <w:b/>
          <w:bCs/>
          <w:lang w:val="en-US"/>
        </w:rPr>
        <w:t>Supplementary Table 1: Univariate and multivariate Cox regression analysis of OS in TCGA-STAD cohort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51"/>
        <w:gridCol w:w="1619"/>
        <w:gridCol w:w="1301"/>
        <w:gridCol w:w="1743"/>
        <w:gridCol w:w="1477"/>
      </w:tblGrid>
      <w:tr w14:paraId="6A3A7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42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F093CE0">
            <w:pPr>
              <w:spacing w:line="360" w:lineRule="auto"/>
              <w:rPr>
                <w:rFonts w:hint="eastAsia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Variable</w:t>
            </w:r>
          </w:p>
        </w:tc>
        <w:tc>
          <w:tcPr>
            <w:tcW w:w="94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B97C31C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Univariate HR (95% Confidence Interval)</w:t>
            </w:r>
          </w:p>
        </w:tc>
        <w:tc>
          <w:tcPr>
            <w:tcW w:w="75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E0AD5F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Univariate P-value</w:t>
            </w:r>
            <w:bookmarkStart w:id="0" w:name="_GoBack"/>
            <w:bookmarkEnd w:id="0"/>
          </w:p>
        </w:tc>
        <w:tc>
          <w:tcPr>
            <w:tcW w:w="101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562C28B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Multivariate HR (95% Confidence Interval)</w:t>
            </w:r>
          </w:p>
        </w:tc>
        <w:tc>
          <w:tcPr>
            <w:tcW w:w="85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57E5E1A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Multivariate P-value</w:t>
            </w:r>
          </w:p>
        </w:tc>
      </w:tr>
      <w:tr w14:paraId="6E485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764F046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ECM signature (high vs. low)</w:t>
            </w:r>
          </w:p>
        </w:tc>
        <w:tc>
          <w:tcPr>
            <w:tcW w:w="942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20EFF00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1.92 (1.51–2.44)</w:t>
            </w:r>
          </w:p>
        </w:tc>
        <w:tc>
          <w:tcPr>
            <w:tcW w:w="757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E8CE0EB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DFB1BDE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1.62 (1.35–1.95)</w:t>
            </w:r>
          </w:p>
        </w:tc>
        <w:tc>
          <w:tcPr>
            <w:tcW w:w="859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984B468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</w:tr>
      <w:tr w14:paraId="541BA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A0714E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Age (&gt;65 vs. ≤65 years)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AEFE92B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1.21 (0.98–1.49)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B026B3D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0.08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BB1519A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1.15 (0.93–1.42)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C6E482E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0.20</w:t>
            </w:r>
          </w:p>
        </w:tc>
      </w:tr>
      <w:tr w14:paraId="08EA3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B11439B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Gender (male vs. female)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730778B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1.12 (0.90–1.39)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0AE17EA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0.31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74704C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—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E09B70F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—</w:t>
            </w:r>
          </w:p>
        </w:tc>
      </w:tr>
      <w:tr w14:paraId="57691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9205612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AJCC stage (Ⅲ–Ⅳ vs. Ⅰ–Ⅱ)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87D5B5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1.78 (1.43–2.22)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54D39A4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D1CAF65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1.53 (1.21–1.93)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73937ED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</w:tr>
      <w:tr w14:paraId="42631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A452492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T stage (T3–T4 vs. T1–T2)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C40F9D0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1.65 (1.32–2.06)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D129F2F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2834A3F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1.38 (1.09–1.75)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FCDE60A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0.008</w:t>
            </w:r>
          </w:p>
        </w:tc>
      </w:tr>
      <w:tr w14:paraId="29D4E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359748F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N stage (N1–N3 vs. N0)</w:t>
            </w: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AF2FAB0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1.52 (1.21–1.91)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B1E67B3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EC960A6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1.12 (0.89–1.41)</w:t>
            </w: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BB77B67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0.34</w:t>
            </w:r>
          </w:p>
        </w:tc>
      </w:tr>
      <w:tr w14:paraId="315F8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2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9A0BD89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M stage (M1 vs. M0)</w:t>
            </w:r>
          </w:p>
        </w:tc>
        <w:tc>
          <w:tcPr>
            <w:tcW w:w="9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2295821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2.05 (1.48–2.84)</w:t>
            </w:r>
          </w:p>
        </w:tc>
        <w:tc>
          <w:tcPr>
            <w:tcW w:w="75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3CBA462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  <w:tc>
          <w:tcPr>
            <w:tcW w:w="101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17B0B85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1.87 (1.34–2.61)</w:t>
            </w:r>
          </w:p>
        </w:tc>
        <w:tc>
          <w:tcPr>
            <w:tcW w:w="85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1ACBED4">
            <w:pPr>
              <w:spacing w:line="360" w:lineRule="auto"/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&lt;0.001</w:t>
            </w:r>
          </w:p>
        </w:tc>
      </w:tr>
    </w:tbl>
    <w:p w14:paraId="76BFD5E1">
      <w:pPr>
        <w:spacing w:line="360" w:lineRule="auto"/>
        <w:ind w:firstLine="240" w:firstLineChars="100"/>
        <w:rPr>
          <w:rFonts w:hint="eastAsia" w:eastAsia="宋体" w:cs="Times New Roman"/>
          <w:b/>
          <w:bCs/>
          <w:color w:val="auto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lang w:val="en-US" w:eastAsia="zh-CN"/>
        </w:rPr>
        <w:t>Note: HR = Hazard Ratio; TCGA-STAD = The Cancer Genome Atlas-Stomach Adenocarcinoma; "—" indicates variable not included in multivariate analysis (due to non-significant univariate result or collinearity).</w:t>
      </w:r>
      <w:r>
        <w:rPr>
          <w:rFonts w:hint="eastAsia" w:eastAsia="宋体" w:cs="Times New Roman"/>
          <w:b/>
          <w:bCs/>
          <w:color w:val="auto"/>
          <w:shd w:val="clear" w:color="auto" w:fill="FFFFFF"/>
          <w:lang w:val="en-US" w:eastAsia="zh-CN"/>
        </w:rPr>
        <w:br w:type="page"/>
      </w:r>
    </w:p>
    <w:p w14:paraId="4A173D68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left"/>
        <w:textAlignment w:val="auto"/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hd w:val="clear" w:color="auto" w:fill="FFFFFF"/>
          <w:lang w:val="en-US" w:eastAsia="zh-CN"/>
        </w:rPr>
        <w:t xml:space="preserve">Supplemental Figures </w:t>
      </w: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858385" cy="4455795"/>
            <wp:effectExtent l="0" t="0" r="3175" b="9525"/>
            <wp:docPr id="17" name="图片 17" descr="Fig_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_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3692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left"/>
        <w:textAlignment w:val="auto"/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>Figure S1</w:t>
      </w: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 xml:space="preserve">Cox analysis of the 7-gene ECM-immune signature in pan-cancers. </w:t>
      </w: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(A) Overall Survival (OS). (B) Disease Specific Survival (DSS). (C) Progression Free Interval (PFI).</w:t>
      </w:r>
    </w:p>
    <w:p w14:paraId="6A49C949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both"/>
        <w:textAlignment w:val="auto"/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632325" cy="4248785"/>
            <wp:effectExtent l="0" t="0" r="635" b="3175"/>
            <wp:docPr id="18" name="图片 18" descr="Fig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_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373A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>Figure S2 Correlation heatmap between the 7 signature genes and ECM-related pathways.</w:t>
      </w:r>
      <w:r>
        <w:rPr>
          <w:rFonts w:hint="default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993640" cy="4579620"/>
            <wp:effectExtent l="0" t="0" r="5080" b="7620"/>
            <wp:docPr id="19" name="图片 19" descr="Fig_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_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A88C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both"/>
        <w:textAlignment w:val="auto"/>
        <w:rPr>
          <w:rFonts w:hint="default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>Figure S3 GSEA of DEGs in high-risk vs. low-risk GC.</w:t>
      </w: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 xml:space="preserve"> (A) Extracellular Matrix Structural Constituent; (B) Integrated TGFβ EMT Up; (C) Epithelial Mesenchymal Transition; (D) Metastasis Dn; (E) Angiogenesis; (F) E2F Targets; (G) G2M Checkpoint; (H) Gastric Cancer Advanced Vs Early Up.</w:t>
      </w:r>
    </w:p>
    <w:p w14:paraId="43E20E39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center"/>
        <w:textAlignment w:val="auto"/>
        <w:rPr>
          <w:rFonts w:hint="default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725035" cy="4333240"/>
            <wp:effectExtent l="0" t="0" r="14605" b="10160"/>
            <wp:docPr id="20" name="图片 20" descr="Fig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g_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E0AA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both"/>
        <w:textAlignment w:val="auto"/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 xml:space="preserve">Figure S4 Single-cell-level cell typing and ECM activity localization. </w:t>
      </w: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>(A) UMAP of cell types in GC tissues. (B) Heatmap of cell-type markers. (C) Cumulative expression of signature genes in stromal cells. (D) ECM scores of stromal cells by copykat grouping.</w:t>
      </w:r>
    </w:p>
    <w:p w14:paraId="4EFC1CFF">
      <w:pPr>
        <w:rPr>
          <w:rFonts w:hint="default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br w:type="page"/>
      </w:r>
    </w:p>
    <w:p w14:paraId="147EC001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center"/>
        <w:textAlignment w:val="auto"/>
        <w:rPr>
          <w:rFonts w:hint="default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666615" cy="2167255"/>
            <wp:effectExtent l="0" t="0" r="12065" b="12065"/>
            <wp:docPr id="21" name="图片 21" descr="Fig_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_s5"/>
                    <pic:cNvPicPr>
                      <a:picLocks noChangeAspect="1"/>
                    </pic:cNvPicPr>
                  </pic:nvPicPr>
                  <pic:blipFill>
                    <a:blip r:embed="rId8"/>
                    <a:srcRect b="49363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DA28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left"/>
        <w:textAlignment w:val="auto"/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 xml:space="preserve">Figure S5 Module analysis of ECM-related gene sets in stromal cells. </w:t>
      </w: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 xml:space="preserve">(A-B) WGCNA showing enhanced ECM gene set activity in stromal cells vs. other cell </w:t>
      </w:r>
    </w:p>
    <w:p w14:paraId="610A213A"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360" w:lineRule="auto"/>
        <w:ind w:left="482"/>
        <w:jc w:val="center"/>
        <w:textAlignment w:val="auto"/>
        <w:rPr>
          <w:rFonts w:hint="default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4277360" cy="2646045"/>
            <wp:effectExtent l="0" t="0" r="5080" b="5715"/>
            <wp:docPr id="22" name="图片 22" descr="Fig_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_s6"/>
                    <pic:cNvPicPr>
                      <a:picLocks noChangeAspect="1"/>
                    </pic:cNvPicPr>
                  </pic:nvPicPr>
                  <pic:blipFill>
                    <a:blip r:embed="rId9"/>
                    <a:srcRect l="14077" b="42042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F7F1">
      <w:r>
        <w:rPr>
          <w:rFonts w:hint="eastAsia" w:eastAsia="宋体" w:cs="Times New Roman"/>
          <w:b/>
          <w:bCs/>
          <w:color w:val="auto"/>
          <w:sz w:val="24"/>
          <w:szCs w:val="24"/>
          <w:shd w:val="clear" w:color="auto" w:fill="FFFFFF"/>
          <w:lang w:val="en-US" w:eastAsia="zh-CN"/>
        </w:rPr>
        <w:t>Figure S6 Regulatory mechanisms of ECM activity in stromal cells.</w:t>
      </w:r>
      <w:r>
        <w:rPr>
          <w:rFonts w:hint="eastAsia" w:eastAsia="宋体" w:cs="Times New Roman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 xml:space="preserve"> (A) Top 10 TFs regulating ECM activity (Pyscenic analysis). (B) Heatmap of ECM-associated TFs. (C) Top 20 ligand-receptor pairs in high-ECM GC (CellChat analysis).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F857B5"/>
    <w:rsid w:val="45C47203"/>
    <w:rsid w:val="7AA566AD"/>
    <w:rsid w:val="7CDD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313</Words>
  <Characters>1813</Characters>
  <Lines>0</Lines>
  <Paragraphs>0</Paragraphs>
  <TotalTime>2</TotalTime>
  <ScaleCrop>false</ScaleCrop>
  <LinksUpToDate>false</LinksUpToDate>
  <CharactersWithSpaces>2077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2025-09-07T13:06:00Z</dcterms:created>
  <dc:creator>华硕</dc:creator>
  <cp:lastModifiedBy>WONG</cp:lastModifiedBy>
  <dcterms:modified xsi:type="dcterms:W3CDTF">2025-11-13T14:19:10Z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eyJoZGlkIjoiYjJjOTQxYzhjODMyMDAzZmE0MDJkMWFkNmJlNDkwYTUiLCJ1c2VySWQiOiI2NTEzMTEwNDIifQ==</vt:lpwstr>
  </property>
  <property fmtid="{D5CDD505-2E9C-101B-9397-08002B2CF9AE}" pid="4" name="ICV">
    <vt:lpwstr>C99580F672C44B26BAB28516E67FCD4B_12</vt:lpwstr>
  </property>
</Properties>
</file>