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Material and Methods</w:t>
      </w:r>
    </w:p>
    <w:p w:rsidR="00000000" w:rsidDel="00000000" w:rsidP="00000000" w:rsidRDefault="00000000" w:rsidRPr="00000000" w14:paraId="00000002">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Sample preparation</w:t>
      </w:r>
    </w:p>
    <w:p w:rsidR="00000000" w:rsidDel="00000000" w:rsidP="00000000" w:rsidRDefault="00000000" w:rsidRPr="00000000" w14:paraId="00000004">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5">
      <w:pPr>
        <w:spacing w:after="240" w:before="240" w:line="36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        </w:t>
        <w:tab/>
      </w:r>
      <w:r w:rsidDel="00000000" w:rsidR="00000000" w:rsidRPr="00000000">
        <w:rPr>
          <w:rFonts w:ascii="Times New Roman" w:cs="Times New Roman" w:eastAsia="Times New Roman" w:hAnsi="Times New Roman"/>
          <w:i w:val="1"/>
          <w:iCs w:val="1"/>
          <w:sz w:val="24"/>
          <w:szCs w:val="24"/>
          <w:rtl w:val="0"/>
        </w:rPr>
        <w:t xml:space="preserve">Standards and reagents</w:t>
      </w:r>
    </w:p>
    <w:p w:rsidR="00000000" w:rsidDel="00000000" w:rsidP="00000000" w:rsidRDefault="00000000" w:rsidRPr="00000000" w14:paraId="00000006">
      <w:pPr>
        <w:spacing w:after="240" w:before="240" w:line="360" w:lineRule="auto"/>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standard</w:t>
      </w:r>
      <w:r w:rsidDel="00000000" w:rsidR="00000000" w:rsidRPr="00000000">
        <w:rPr>
          <w:rFonts w:ascii="Times New Roman" w:cs="Times New Roman" w:eastAsia="Times New Roman" w:hAnsi="Times New Roman"/>
          <w:sz w:val="24"/>
          <w:szCs w:val="24"/>
          <w:rtl w:val="0"/>
        </w:rPr>
        <w:t xml:space="preserve"> of bisphenol A was acquired from </w:t>
      </w:r>
      <w:r w:rsidDel="00000000" w:rsidR="00000000" w:rsidRPr="00000000">
        <w:rPr>
          <w:rFonts w:ascii="Times New Roman" w:cs="Times New Roman" w:eastAsia="Times New Roman" w:hAnsi="Times New Roman"/>
          <w:sz w:val="24"/>
          <w:szCs w:val="24"/>
          <w:rtl w:val="0"/>
        </w:rPr>
        <w:t xml:space="preserve">the Merck(Merck Darmstadt, Germany)</w:t>
      </w:r>
      <w:r w:rsidDel="00000000" w:rsidR="00000000" w:rsidRPr="00000000">
        <w:rPr>
          <w:rFonts w:ascii="Times New Roman" w:cs="Times New Roman" w:eastAsia="Times New Roman" w:hAnsi="Times New Roman"/>
          <w:sz w:val="24"/>
          <w:szCs w:val="24"/>
          <w:rtl w:val="0"/>
        </w:rPr>
        <w:t xml:space="preserve">. Internal standards were: Tetrachloride-M-xylene (TCMX), PCB-103 and PCB-198. The monitored ions for each of the compounds are shown in the supplementary table S1.</w:t>
      </w:r>
    </w:p>
    <w:p w:rsidR="00000000" w:rsidDel="00000000" w:rsidP="00000000" w:rsidRDefault="00000000" w:rsidRPr="00000000" w14:paraId="00000007">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Acetonitrile (Merck, Darmstadt, Germany), chloroform (Tedia, Fairfield, OH, USA) and acetic anhydride (edia, Fairfield, OH, USA) were of HPLC or pesticide-residue purity grade</w:t>
      </w:r>
    </w:p>
    <w:p w:rsidR="00000000" w:rsidDel="00000000" w:rsidP="00000000" w:rsidRDefault="00000000" w:rsidRPr="00000000" w14:paraId="00000008">
      <w:pPr>
        <w:spacing w:after="240" w:before="240" w:line="36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        </w:t>
        <w:tab/>
      </w:r>
      <w:r w:rsidDel="00000000" w:rsidR="00000000" w:rsidRPr="00000000">
        <w:rPr>
          <w:rFonts w:ascii="Times New Roman" w:cs="Times New Roman" w:eastAsia="Times New Roman" w:hAnsi="Times New Roman"/>
          <w:i w:val="1"/>
          <w:iCs w:val="1"/>
          <w:sz w:val="24"/>
          <w:szCs w:val="24"/>
          <w:rtl w:val="0"/>
        </w:rPr>
        <w:t xml:space="preserve">Instrumental analysis</w:t>
      </w:r>
    </w:p>
    <w:p w:rsidR="00000000" w:rsidDel="00000000" w:rsidP="00000000" w:rsidRDefault="00000000" w:rsidRPr="00000000" w14:paraId="00000009">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 xml:space="preserve">For all groups of compounds analyzed in the present study, a gas chromatography (Agilent Technologies model 7890A) coupled to a mass spectrometry system (Agilent Technologies model 5975A) (GC-MS) was used. Instrumental conditions were set as follows: a 30m DB-5ms column (250 µm of inner diameter and 0,25 µm of film thickness). Liner 4 mm ID tap GW Part 5062-3587 Batch M06-C2432, Agilent. </w:t>
      </w:r>
      <w:r w:rsidDel="00000000" w:rsidR="00000000" w:rsidRPr="00000000">
        <w:rPr>
          <w:rFonts w:ascii="Times New Roman" w:cs="Times New Roman" w:eastAsia="Times New Roman" w:hAnsi="Times New Roman"/>
          <w:sz w:val="24"/>
          <w:szCs w:val="24"/>
          <w:rtl w:val="0"/>
        </w:rPr>
        <w:t xml:space="preserve">Temperature ramp starting at 90 ºC (held for 1 min), then ramped to 180 ºC (10 ºC/min and held for 4 min), again at 2 ºC/min to 220 ºC, and then at 20 ºC/min to 310 ºC (held for 4 min), comprising a total run time of 42.5 min</w:t>
      </w:r>
      <w:r w:rsidDel="00000000" w:rsidR="00000000" w:rsidRPr="00000000">
        <w:rPr>
          <w:rFonts w:ascii="Times New Roman" w:cs="Times New Roman" w:eastAsia="Times New Roman" w:hAnsi="Times New Roman"/>
          <w:sz w:val="24"/>
          <w:szCs w:val="24"/>
          <w:rtl w:val="0"/>
        </w:rPr>
        <w:t xml:space="preserve">. Injection volume was 1 µL with a dwell time of 0.1 min before injection in splitless mode (injector temperature at </w:t>
      </w:r>
      <w:r w:rsidDel="00000000" w:rsidR="00000000" w:rsidRPr="00000000">
        <w:rPr>
          <w:rFonts w:ascii="Times New Roman" w:cs="Times New Roman" w:eastAsia="Times New Roman" w:hAnsi="Times New Roman"/>
          <w:sz w:val="24"/>
          <w:szCs w:val="24"/>
          <w:rtl w:val="0"/>
        </w:rPr>
        <w:t xml:space="preserve">265 ºC</w:t>
      </w:r>
      <w:r w:rsidDel="00000000" w:rsidR="00000000" w:rsidRPr="00000000">
        <w:rPr>
          <w:rFonts w:ascii="Times New Roman" w:cs="Times New Roman" w:eastAsia="Times New Roman" w:hAnsi="Times New Roman"/>
          <w:sz w:val="24"/>
          <w:szCs w:val="24"/>
          <w:rtl w:val="0"/>
        </w:rPr>
        <w:t xml:space="preserve">, pressure of 12.307 psi, total flow of 104.2 mL/min, septum purge flow of 3 mL/min, gas saver on 20 mL/min after 2 min, and purge flow to split vent at 100 mL/min at 2 min). Transfer line at 280 ºC. The ionization source was electron ionization (EI) at a temperature of 230 ºC (MS temperature of 150 ºC). The mobile phase was helium gas (White Martins, Rio de Janeiro, Brazil, purity 5.0) at a constant flow of </w:t>
      </w:r>
      <w:r w:rsidDel="00000000" w:rsidR="00000000" w:rsidRPr="00000000">
        <w:rPr>
          <w:rFonts w:ascii="Times New Roman" w:cs="Times New Roman" w:eastAsia="Times New Roman" w:hAnsi="Times New Roman"/>
          <w:color w:val="ff0000"/>
          <w:sz w:val="24"/>
          <w:szCs w:val="24"/>
          <w:rtl w:val="0"/>
        </w:rPr>
        <w:t xml:space="preserve">1.2</w:t>
      </w:r>
      <w:r w:rsidDel="00000000" w:rsidR="00000000" w:rsidRPr="00000000">
        <w:rPr>
          <w:rFonts w:ascii="Times New Roman" w:cs="Times New Roman" w:eastAsia="Times New Roman" w:hAnsi="Times New Roman"/>
          <w:sz w:val="24"/>
          <w:szCs w:val="24"/>
          <w:rtl w:val="0"/>
        </w:rPr>
        <w:t xml:space="preserve"> mL/min (Ferreira et al., 2019). </w:t>
      </w:r>
    </w:p>
    <w:p w:rsidR="00000000" w:rsidDel="00000000" w:rsidP="00000000" w:rsidRDefault="00000000" w:rsidRPr="00000000" w14:paraId="0000000A">
      <w:pPr>
        <w:spacing w:after="240" w:before="240" w:line="36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    </w:t>
        <w:tab/>
        <w:t xml:space="preserve">Quality assurance and quality control</w:t>
      </w:r>
    </w:p>
    <w:p w:rsidR="00000000" w:rsidDel="00000000" w:rsidP="00000000" w:rsidRDefault="00000000" w:rsidRPr="00000000" w14:paraId="0000000B">
      <w:pPr>
        <w:spacing w:after="240" w:before="240" w:line="360" w:lineRule="auto"/>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Plastic material was avoided. All glassware was washed with neutral detergent and deionized water. Then they were submitted to high temperatures (400 ºC overnight). Before analysis, all glassware was rinsed twice with acetone and n-hexane. During sample extractions, one procedural blank was performed in each batch of five samples to monitor the background contamination and to determine the limits of detection (LOD) and quantification (LOQ), which have been calculated as three- and ten-times the standard deviation of blank signals summed to the mean of blank signal for each compound, respectively. Internal standards solutions have been accurately prepared to assure the results. Calibration curves obtained by GC-MS measurements showed good linearity (</w:t>
      </w:r>
      <w:r w:rsidDel="00000000" w:rsidR="00000000" w:rsidRPr="00000000">
        <w:rPr>
          <w:rFonts w:ascii="Times New Roman" w:cs="Times New Roman" w:eastAsia="Times New Roman" w:hAnsi="Times New Roman"/>
          <w:sz w:val="24"/>
          <w:szCs w:val="24"/>
          <w:rtl w:val="0"/>
        </w:rPr>
        <w:t xml:space="preserve">r</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&gt; 0.97</w:t>
      </w:r>
      <w:r w:rsidDel="00000000" w:rsidR="00000000" w:rsidRPr="00000000">
        <w:rPr>
          <w:rFonts w:ascii="Times New Roman" w:cs="Times New Roman" w:eastAsia="Times New Roman" w:hAnsi="Times New Roman"/>
          <w:sz w:val="24"/>
          <w:szCs w:val="24"/>
          <w:rtl w:val="0"/>
        </w:rPr>
        <w:t xml:space="preserve">) over the concentration range of </w:t>
      </w:r>
      <w:r w:rsidDel="00000000" w:rsidR="00000000" w:rsidRPr="00000000">
        <w:rPr>
          <w:rFonts w:ascii="Times New Roman" w:cs="Times New Roman" w:eastAsia="Times New Roman" w:hAnsi="Times New Roman"/>
          <w:sz w:val="24"/>
          <w:szCs w:val="24"/>
          <w:rtl w:val="0"/>
        </w:rPr>
        <w:t xml:space="preserve">1-100 ng mL</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Recoveries ranged from </w:t>
      </w:r>
      <w:r w:rsidDel="00000000" w:rsidR="00000000" w:rsidRPr="00000000">
        <w:rPr>
          <w:rFonts w:ascii="Times New Roman" w:cs="Times New Roman" w:eastAsia="Times New Roman" w:hAnsi="Times New Roman"/>
          <w:sz w:val="24"/>
          <w:szCs w:val="24"/>
          <w:rtl w:val="0"/>
        </w:rPr>
        <w:t xml:space="preserve">71</w:t>
      </w:r>
      <w:r w:rsidDel="00000000" w:rsidR="00000000" w:rsidRPr="00000000">
        <w:rPr>
          <w:rFonts w:ascii="Times New Roman" w:cs="Times New Roman" w:eastAsia="Times New Roman" w:hAnsi="Times New Roman"/>
          <w:sz w:val="24"/>
          <w:szCs w:val="24"/>
          <w:rtl w:val="0"/>
        </w:rPr>
        <w:t xml:space="preserve">% to 119%. The method presented a repeatability &lt;20%.</w:t>
      </w:r>
    </w:p>
    <w:p w:rsidR="00000000" w:rsidDel="00000000" w:rsidP="00000000" w:rsidRDefault="00000000" w:rsidRPr="00000000" w14:paraId="0000000C">
      <w:pPr>
        <w:spacing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D">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Table S1</w:t>
      </w:r>
      <w:r w:rsidDel="00000000" w:rsidR="00000000" w:rsidRPr="00000000">
        <w:rPr>
          <w:rFonts w:ascii="Times New Roman" w:cs="Times New Roman" w:eastAsia="Times New Roman" w:hAnsi="Times New Roman"/>
          <w:sz w:val="24"/>
          <w:szCs w:val="24"/>
          <w:rtl w:val="0"/>
        </w:rPr>
        <w:t xml:space="preserve">: ions used for quantification and qualification in the gas chromatography-mass spectrometry analysis.</w:t>
      </w:r>
    </w:p>
    <w:p w:rsidR="00000000" w:rsidDel="00000000" w:rsidP="00000000" w:rsidRDefault="00000000" w:rsidRPr="00000000" w14:paraId="0000000E">
      <w:pPr>
        <w:spacing w:line="360" w:lineRule="auto"/>
        <w:rPr>
          <w:rFonts w:ascii="Times New Roman" w:cs="Times New Roman" w:eastAsia="Times New Roman" w:hAnsi="Times New Roman"/>
          <w:sz w:val="24"/>
          <w:szCs w:val="24"/>
        </w:rPr>
      </w:pPr>
      <w:r w:rsidDel="00000000" w:rsidR="00000000" w:rsidRPr="00000000">
        <w:rPr>
          <w:rtl w:val="0"/>
        </w:rPr>
      </w:r>
    </w:p>
    <w:tbl>
      <w:tblPr>
        <w:tblStyle w:val="Table1"/>
        <w:tblW w:w="76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18"/>
        <w:gridCol w:w="2551"/>
        <w:gridCol w:w="3686"/>
        <w:tblGridChange w:id="0">
          <w:tblGrid>
            <w:gridCol w:w="1418"/>
            <w:gridCol w:w="2551"/>
            <w:gridCol w:w="3686"/>
          </w:tblGrid>
        </w:tblGridChange>
      </w:tblGrid>
      <w:tr>
        <w:trPr>
          <w:cantSplit w:val="0"/>
          <w:trHeight w:val="680" w:hRule="atLeast"/>
          <w:tblHeader w:val="0"/>
        </w:trPr>
        <w:tc>
          <w:tcPr>
            <w:tcBorders>
              <w:top w:color="000000" w:space="0" w:sz="4" w:val="single"/>
              <w:bottom w:color="000000" w:space="0" w:sz="4" w:val="single"/>
            </w:tcBorders>
            <w:vAlign w:val="center"/>
          </w:tcPr>
          <w:p w:rsidR="00000000" w:rsidDel="00000000" w:rsidP="00000000" w:rsidRDefault="00000000" w:rsidRPr="00000000" w14:paraId="0000000F">
            <w:pPr>
              <w:spacing w:line="36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Analyte</w:t>
            </w:r>
          </w:p>
        </w:tc>
        <w:tc>
          <w:tcPr>
            <w:tcBorders>
              <w:top w:color="000000" w:space="0" w:sz="4" w:val="single"/>
              <w:bottom w:color="000000" w:space="0" w:sz="4" w:val="single"/>
            </w:tcBorders>
            <w:vAlign w:val="center"/>
          </w:tcPr>
          <w:p w:rsidR="00000000" w:rsidDel="00000000" w:rsidP="00000000" w:rsidRDefault="00000000" w:rsidRPr="00000000" w14:paraId="00000010">
            <w:pPr>
              <w:spacing w:line="360" w:lineRule="auto"/>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Retention time (min)</w:t>
            </w:r>
          </w:p>
        </w:tc>
        <w:tc>
          <w:tcPr>
            <w:tcBorders>
              <w:top w:color="000000" w:space="0" w:sz="4" w:val="single"/>
              <w:bottom w:color="000000" w:space="0" w:sz="4" w:val="single"/>
            </w:tcBorders>
            <w:vAlign w:val="center"/>
          </w:tcPr>
          <w:p w:rsidR="00000000" w:rsidDel="00000000" w:rsidP="00000000" w:rsidRDefault="00000000" w:rsidRPr="00000000" w14:paraId="00000011">
            <w:pPr>
              <w:spacing w:line="360" w:lineRule="auto"/>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sz w:val="24"/>
                <w:szCs w:val="24"/>
                <w:rtl w:val="0"/>
              </w:rPr>
              <w:t xml:space="preserve">Monitored i</w:t>
            </w:r>
            <w:r w:rsidDel="00000000" w:rsidR="00000000" w:rsidRPr="00000000">
              <w:rPr>
                <w:rFonts w:ascii="Times New Roman" w:cs="Times New Roman" w:eastAsia="Times New Roman" w:hAnsi="Times New Roman"/>
                <w:b w:val="1"/>
                <w:bCs w:val="1"/>
                <w:color w:val="000000"/>
                <w:sz w:val="24"/>
                <w:szCs w:val="24"/>
                <w:rtl w:val="0"/>
              </w:rPr>
              <w:t xml:space="preserve">ons</w:t>
            </w:r>
          </w:p>
        </w:tc>
      </w:tr>
      <w:tr>
        <w:trPr>
          <w:cantSplit w:val="0"/>
          <w:tblHeader w:val="0"/>
        </w:trPr>
        <w:tc>
          <w:tcPr>
            <w:tcBorders>
              <w:top w:color="000000" w:space="0" w:sz="4" w:val="single"/>
            </w:tcBorders>
            <w:vAlign w:val="bottom"/>
          </w:tcPr>
          <w:p w:rsidR="00000000" w:rsidDel="00000000" w:rsidP="00000000" w:rsidRDefault="00000000" w:rsidRPr="00000000" w14:paraId="00000012">
            <w:pPr>
              <w:spacing w:line="36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TCMX*</w:t>
            </w:r>
          </w:p>
        </w:tc>
        <w:tc>
          <w:tcPr>
            <w:tcBorders>
              <w:top w:color="000000" w:space="0" w:sz="4" w:val="single"/>
            </w:tcBorders>
            <w:vAlign w:val="bottom"/>
          </w:tcPr>
          <w:p w:rsidR="00000000" w:rsidDel="00000000" w:rsidP="00000000" w:rsidRDefault="00000000" w:rsidRPr="00000000" w14:paraId="00000013">
            <w:pPr>
              <w:spacing w:line="36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7.754</w:t>
            </w:r>
          </w:p>
        </w:tc>
        <w:tc>
          <w:tcPr>
            <w:tcBorders>
              <w:top w:color="000000" w:space="0" w:sz="4" w:val="single"/>
            </w:tcBorders>
            <w:vAlign w:val="bottom"/>
          </w:tcPr>
          <w:p w:rsidR="00000000" w:rsidDel="00000000" w:rsidP="00000000" w:rsidRDefault="00000000" w:rsidRPr="00000000" w14:paraId="00000014">
            <w:pPr>
              <w:spacing w:line="36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266.9 208.9 243.9 241.9 245.9</w:t>
            </w:r>
          </w:p>
        </w:tc>
      </w:tr>
      <w:tr>
        <w:trPr>
          <w:cantSplit w:val="0"/>
          <w:tblHeader w:val="0"/>
        </w:trPr>
        <w:tc>
          <w:tcPr>
            <w:vAlign w:val="bottom"/>
          </w:tcPr>
          <w:p w:rsidR="00000000" w:rsidDel="00000000" w:rsidP="00000000" w:rsidRDefault="00000000" w:rsidRPr="00000000" w14:paraId="00000015">
            <w:pPr>
              <w:spacing w:line="36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PCB103*</w:t>
            </w:r>
          </w:p>
        </w:tc>
        <w:tc>
          <w:tcPr>
            <w:vAlign w:val="bottom"/>
          </w:tcPr>
          <w:p w:rsidR="00000000" w:rsidDel="00000000" w:rsidP="00000000" w:rsidRDefault="00000000" w:rsidRPr="00000000" w14:paraId="00000016">
            <w:pPr>
              <w:spacing w:line="36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12.506</w:t>
            </w:r>
          </w:p>
        </w:tc>
        <w:tc>
          <w:tcPr>
            <w:vAlign w:val="bottom"/>
          </w:tcPr>
          <w:p w:rsidR="00000000" w:rsidDel="00000000" w:rsidP="00000000" w:rsidRDefault="00000000" w:rsidRPr="00000000" w14:paraId="00000017">
            <w:pPr>
              <w:spacing w:line="36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325.9 323.9 327.9 253.9 255.9</w:t>
            </w:r>
          </w:p>
        </w:tc>
      </w:tr>
      <w:tr>
        <w:trPr>
          <w:cantSplit w:val="0"/>
          <w:tblHeader w:val="0"/>
        </w:trPr>
        <w:tc>
          <w:tcPr>
            <w:vAlign w:val="bottom"/>
          </w:tcPr>
          <w:p w:rsidR="00000000" w:rsidDel="00000000" w:rsidP="00000000" w:rsidRDefault="00000000" w:rsidRPr="00000000" w14:paraId="00000018">
            <w:pPr>
              <w:spacing w:line="36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BPA</w:t>
            </w:r>
          </w:p>
        </w:tc>
        <w:tc>
          <w:tcPr>
            <w:vAlign w:val="bottom"/>
          </w:tcPr>
          <w:p w:rsidR="00000000" w:rsidDel="00000000" w:rsidP="00000000" w:rsidRDefault="00000000" w:rsidRPr="00000000" w14:paraId="00000019">
            <w:pPr>
              <w:spacing w:line="36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17.018</w:t>
            </w:r>
          </w:p>
        </w:tc>
        <w:tc>
          <w:tcPr>
            <w:vAlign w:val="bottom"/>
          </w:tcPr>
          <w:p w:rsidR="00000000" w:rsidDel="00000000" w:rsidP="00000000" w:rsidRDefault="00000000" w:rsidRPr="00000000" w14:paraId="0000001A">
            <w:pPr>
              <w:spacing w:line="36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213.2 228.1 270.1 312 119.1</w:t>
            </w:r>
          </w:p>
        </w:tc>
      </w:tr>
      <w:tr>
        <w:trPr>
          <w:cantSplit w:val="0"/>
          <w:tblHeader w:val="0"/>
        </w:trPr>
        <w:tc>
          <w:tcPr>
            <w:tcBorders>
              <w:bottom w:color="000000" w:space="0" w:sz="4" w:val="single"/>
            </w:tcBorders>
            <w:vAlign w:val="bottom"/>
          </w:tcPr>
          <w:p w:rsidR="00000000" w:rsidDel="00000000" w:rsidP="00000000" w:rsidRDefault="00000000" w:rsidRPr="00000000" w14:paraId="0000001B">
            <w:pPr>
              <w:spacing w:line="36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PCB198*</w:t>
            </w:r>
          </w:p>
        </w:tc>
        <w:tc>
          <w:tcPr>
            <w:tcBorders>
              <w:bottom w:color="000000" w:space="0" w:sz="4" w:val="single"/>
            </w:tcBorders>
            <w:vAlign w:val="bottom"/>
          </w:tcPr>
          <w:p w:rsidR="00000000" w:rsidDel="00000000" w:rsidP="00000000" w:rsidRDefault="00000000" w:rsidRPr="00000000" w14:paraId="0000001C">
            <w:pPr>
              <w:spacing w:line="36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18.820</w:t>
            </w:r>
          </w:p>
        </w:tc>
        <w:tc>
          <w:tcPr>
            <w:tcBorders>
              <w:bottom w:color="000000" w:space="0" w:sz="4" w:val="single"/>
            </w:tcBorders>
            <w:vAlign w:val="bottom"/>
          </w:tcPr>
          <w:p w:rsidR="00000000" w:rsidDel="00000000" w:rsidP="00000000" w:rsidRDefault="00000000" w:rsidRPr="00000000" w14:paraId="0000001D">
            <w:pPr>
              <w:spacing w:line="36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207.0 429.8 427.8 431.8 425.8</w:t>
            </w:r>
          </w:p>
        </w:tc>
      </w:tr>
    </w:tbl>
    <w:p w:rsidR="00000000" w:rsidDel="00000000" w:rsidP="00000000" w:rsidRDefault="00000000" w:rsidRPr="00000000" w14:paraId="0000001E">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after="0" w:line="36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TCMX, PCB-103 and PCB-198: Internal standard. TCMX: Tetrachloro-m-xylene; PCB103: polychlorinated biphenyl 103; BPA: bisphenol A; PCB198: polychlorinated biphenyl 198.</w:t>
      </w:r>
    </w:p>
    <w:p w:rsidR="00000000" w:rsidDel="00000000" w:rsidP="00000000" w:rsidRDefault="00000000" w:rsidRPr="00000000" w14:paraId="00000020">
      <w:pPr>
        <w:spacing w:line="360" w:lineRule="auto"/>
        <w:rPr>
          <w:rFonts w:ascii="Arial" w:cs="Arial" w:eastAsia="Arial" w:hAnsi="Arial"/>
          <w:sz w:val="24"/>
          <w:szCs w:val="24"/>
        </w:rPr>
      </w:pPr>
      <w:r w:rsidDel="00000000" w:rsidR="00000000" w:rsidRPr="00000000">
        <w:rPr>
          <w:rtl w:val="0"/>
        </w:rPr>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iCs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Ttulo7">
    <w:name w:val="heading 7"/>
    <w:basedOn w:val="Normal"/>
    <w:next w:val="Normal"/>
    <w:link w:val="Ttulo7Char"/>
    <w:uiPriority w:val="9"/>
    <w:semiHidden w:val="1"/>
    <w:unhideWhenUsed w:val="1"/>
    <w:qFormat w:val="1"/>
    <w:rsid w:val="00004D00"/>
    <w:pPr>
      <w:keepNext w:val="1"/>
      <w:keepLines w:val="1"/>
      <w:spacing w:after="0" w:before="40"/>
      <w:outlineLvl w:val="6"/>
    </w:pPr>
    <w:rPr>
      <w:rFonts w:cstheme="majorBidi" w:eastAsiaTheme="majorEastAsia"/>
      <w:color w:val="595959" w:themeColor="text1" w:themeTint="0000A6"/>
    </w:rPr>
  </w:style>
  <w:style w:type="paragraph" w:styleId="Ttulo8">
    <w:name w:val="heading 8"/>
    <w:basedOn w:val="Normal"/>
    <w:next w:val="Normal"/>
    <w:link w:val="Ttulo8Char"/>
    <w:uiPriority w:val="9"/>
    <w:semiHidden w:val="1"/>
    <w:unhideWhenUsed w:val="1"/>
    <w:qFormat w:val="1"/>
    <w:rsid w:val="00004D00"/>
    <w:pPr>
      <w:keepNext w:val="1"/>
      <w:keepLines w:val="1"/>
      <w:spacing w:after="0"/>
      <w:outlineLvl w:val="7"/>
    </w:pPr>
    <w:rPr>
      <w:rFonts w:cstheme="majorBidi" w:eastAsiaTheme="majorEastAsia"/>
      <w:i w:val="1"/>
      <w:iCs w:val="1"/>
      <w:color w:val="272727" w:themeColor="text1" w:themeTint="0000D8"/>
    </w:rPr>
  </w:style>
  <w:style w:type="paragraph" w:styleId="Ttulo9">
    <w:name w:val="heading 9"/>
    <w:basedOn w:val="Normal"/>
    <w:next w:val="Normal"/>
    <w:link w:val="Ttulo9Char"/>
    <w:uiPriority w:val="9"/>
    <w:semiHidden w:val="1"/>
    <w:unhideWhenUsed w:val="1"/>
    <w:qFormat w:val="1"/>
    <w:rsid w:val="00004D00"/>
    <w:pPr>
      <w:keepNext w:val="1"/>
      <w:keepLines w:val="1"/>
      <w:spacing w:after="0"/>
      <w:outlineLvl w:val="8"/>
    </w:pPr>
    <w:rPr>
      <w:rFonts w:cstheme="majorBidi" w:eastAsiaTheme="majorEastAsia"/>
      <w:color w:val="272727" w:themeColor="text1" w:themeTint="0000D8"/>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Ttulo1Char" w:customStyle="1">
    <w:name w:val="Título 1 Char"/>
    <w:basedOn w:val="Fontepargpadro"/>
    <w:link w:val="Ttulo1"/>
    <w:uiPriority w:val="9"/>
    <w:rsid w:val="00004D00"/>
    <w:rPr>
      <w:rFonts w:asciiTheme="majorHAnsi" w:cstheme="majorBidi" w:eastAsiaTheme="majorEastAsia" w:hAnsiTheme="majorHAnsi"/>
      <w:color w:val="2f5496" w:themeColor="accent1" w:themeShade="0000BF"/>
      <w:sz w:val="40"/>
      <w:szCs w:val="40"/>
    </w:rPr>
  </w:style>
  <w:style w:type="character" w:styleId="Ttulo2Char" w:customStyle="1">
    <w:name w:val="Título 2 Char"/>
    <w:basedOn w:val="Fontepargpadro"/>
    <w:link w:val="Ttulo2"/>
    <w:uiPriority w:val="9"/>
    <w:semiHidden w:val="1"/>
    <w:rsid w:val="00004D00"/>
    <w:rPr>
      <w:rFonts w:asciiTheme="majorHAnsi" w:cstheme="majorBidi" w:eastAsiaTheme="majorEastAsia" w:hAnsiTheme="majorHAnsi"/>
      <w:color w:val="2f5496" w:themeColor="accent1" w:themeShade="0000BF"/>
      <w:sz w:val="32"/>
      <w:szCs w:val="32"/>
    </w:rPr>
  </w:style>
  <w:style w:type="character" w:styleId="Ttulo3Char" w:customStyle="1">
    <w:name w:val="Título 3 Char"/>
    <w:basedOn w:val="Fontepargpadro"/>
    <w:link w:val="Ttulo3"/>
    <w:uiPriority w:val="9"/>
    <w:semiHidden w:val="1"/>
    <w:rsid w:val="00004D00"/>
    <w:rPr>
      <w:rFonts w:cstheme="majorBidi" w:eastAsiaTheme="majorEastAsia"/>
      <w:color w:val="2f5496" w:themeColor="accent1" w:themeShade="0000BF"/>
      <w:sz w:val="28"/>
      <w:szCs w:val="28"/>
    </w:rPr>
  </w:style>
  <w:style w:type="character" w:styleId="Ttulo4Char" w:customStyle="1">
    <w:name w:val="Título 4 Char"/>
    <w:basedOn w:val="Fontepargpadro"/>
    <w:link w:val="Ttulo4"/>
    <w:uiPriority w:val="9"/>
    <w:semiHidden w:val="1"/>
    <w:rsid w:val="00004D00"/>
    <w:rPr>
      <w:rFonts w:cstheme="majorBidi" w:eastAsiaTheme="majorEastAsia"/>
      <w:i w:val="1"/>
      <w:iCs w:val="1"/>
      <w:color w:val="2f5496" w:themeColor="accent1" w:themeShade="0000BF"/>
    </w:rPr>
  </w:style>
  <w:style w:type="character" w:styleId="Ttulo5Char" w:customStyle="1">
    <w:name w:val="Título 5 Char"/>
    <w:basedOn w:val="Fontepargpadro"/>
    <w:link w:val="Ttulo5"/>
    <w:uiPriority w:val="9"/>
    <w:semiHidden w:val="1"/>
    <w:rsid w:val="00004D00"/>
    <w:rPr>
      <w:rFonts w:cstheme="majorBidi" w:eastAsiaTheme="majorEastAsia"/>
      <w:color w:val="2f5496" w:themeColor="accent1" w:themeShade="0000BF"/>
    </w:rPr>
  </w:style>
  <w:style w:type="character" w:styleId="Ttulo6Char" w:customStyle="1">
    <w:name w:val="Título 6 Char"/>
    <w:basedOn w:val="Fontepargpadro"/>
    <w:link w:val="Ttulo6"/>
    <w:uiPriority w:val="9"/>
    <w:semiHidden w:val="1"/>
    <w:rsid w:val="00004D00"/>
    <w:rPr>
      <w:rFonts w:cstheme="majorBidi" w:eastAsiaTheme="majorEastAsia"/>
      <w:i w:val="1"/>
      <w:iCs w:val="1"/>
      <w:color w:val="595959" w:themeColor="text1" w:themeTint="0000A6"/>
    </w:rPr>
  </w:style>
  <w:style w:type="character" w:styleId="Ttulo7Char" w:customStyle="1">
    <w:name w:val="Título 7 Char"/>
    <w:basedOn w:val="Fontepargpadro"/>
    <w:link w:val="Ttulo7"/>
    <w:uiPriority w:val="9"/>
    <w:semiHidden w:val="1"/>
    <w:rsid w:val="00004D00"/>
    <w:rPr>
      <w:rFonts w:cstheme="majorBidi" w:eastAsiaTheme="majorEastAsia"/>
      <w:color w:val="595959" w:themeColor="text1" w:themeTint="0000A6"/>
    </w:rPr>
  </w:style>
  <w:style w:type="character" w:styleId="Ttulo8Char" w:customStyle="1">
    <w:name w:val="Título 8 Char"/>
    <w:basedOn w:val="Fontepargpadro"/>
    <w:link w:val="Ttulo8"/>
    <w:uiPriority w:val="9"/>
    <w:semiHidden w:val="1"/>
    <w:rsid w:val="00004D00"/>
    <w:rPr>
      <w:rFonts w:cstheme="majorBidi" w:eastAsiaTheme="majorEastAsia"/>
      <w:i w:val="1"/>
      <w:iCs w:val="1"/>
      <w:color w:val="272727" w:themeColor="text1" w:themeTint="0000D8"/>
    </w:rPr>
  </w:style>
  <w:style w:type="character" w:styleId="Ttulo9Char" w:customStyle="1">
    <w:name w:val="Título 9 Char"/>
    <w:basedOn w:val="Fontepargpadro"/>
    <w:link w:val="Ttulo9"/>
    <w:uiPriority w:val="9"/>
    <w:semiHidden w:val="1"/>
    <w:rsid w:val="00004D00"/>
    <w:rPr>
      <w:rFonts w:cstheme="majorBidi" w:eastAsiaTheme="majorEastAsia"/>
      <w:color w:val="272727" w:themeColor="text1" w:themeTint="0000D8"/>
    </w:rPr>
  </w:style>
  <w:style w:type="character" w:styleId="TtuloChar" w:customStyle="1">
    <w:name w:val="Título Char"/>
    <w:basedOn w:val="Fontepargpadro"/>
    <w:link w:val="Ttulo"/>
    <w:uiPriority w:val="10"/>
    <w:rsid w:val="00004D00"/>
    <w:rPr>
      <w:rFonts w:asciiTheme="majorHAnsi" w:cstheme="majorBidi" w:eastAsiaTheme="majorEastAsia" w:hAnsiTheme="majorHAnsi"/>
      <w:spacing w:val="-10"/>
      <w:kern w:val="28"/>
      <w:sz w:val="56"/>
      <w:szCs w:val="56"/>
    </w:rPr>
  </w:style>
  <w:style w:type="character" w:styleId="SubttuloChar" w:customStyle="1">
    <w:name w:val="Subtítulo Char"/>
    <w:basedOn w:val="Fontepargpadro"/>
    <w:link w:val="Subttulo"/>
    <w:uiPriority w:val="11"/>
    <w:rsid w:val="00004D00"/>
    <w:rPr>
      <w:rFonts w:cstheme="majorBidi" w:eastAsiaTheme="majorEastAsia"/>
      <w:color w:val="595959" w:themeColor="text1" w:themeTint="0000A6"/>
      <w:spacing w:val="15"/>
      <w:sz w:val="28"/>
      <w:szCs w:val="28"/>
    </w:rPr>
  </w:style>
  <w:style w:type="paragraph" w:styleId="Citao">
    <w:name w:val="Quote"/>
    <w:basedOn w:val="Normal"/>
    <w:next w:val="Normal"/>
    <w:link w:val="CitaoChar"/>
    <w:uiPriority w:val="29"/>
    <w:qFormat w:val="1"/>
    <w:rsid w:val="00004D00"/>
    <w:pPr>
      <w:spacing w:before="160"/>
      <w:jc w:val="center"/>
    </w:pPr>
    <w:rPr>
      <w:i w:val="1"/>
      <w:iCs w:val="1"/>
      <w:color w:val="404040" w:themeColor="text1" w:themeTint="0000BF"/>
    </w:rPr>
  </w:style>
  <w:style w:type="character" w:styleId="CitaoChar" w:customStyle="1">
    <w:name w:val="Citação Char"/>
    <w:basedOn w:val="Fontepargpadro"/>
    <w:link w:val="Citao"/>
    <w:uiPriority w:val="29"/>
    <w:rsid w:val="00004D00"/>
    <w:rPr>
      <w:i w:val="1"/>
      <w:iCs w:val="1"/>
      <w:color w:val="404040" w:themeColor="text1" w:themeTint="0000BF"/>
    </w:rPr>
  </w:style>
  <w:style w:type="paragraph" w:styleId="PargrafodaLista">
    <w:name w:val="List Paragraph"/>
    <w:basedOn w:val="Normal"/>
    <w:uiPriority w:val="34"/>
    <w:qFormat w:val="1"/>
    <w:rsid w:val="00004D00"/>
    <w:pPr>
      <w:ind w:left="720"/>
      <w:contextualSpacing w:val="1"/>
    </w:pPr>
  </w:style>
  <w:style w:type="character" w:styleId="nfaseIntensa">
    <w:name w:val="Intense Emphasis"/>
    <w:basedOn w:val="Fontepargpadro"/>
    <w:uiPriority w:val="21"/>
    <w:qFormat w:val="1"/>
    <w:rsid w:val="00004D00"/>
    <w:rPr>
      <w:i w:val="1"/>
      <w:iCs w:val="1"/>
      <w:color w:val="2f5496" w:themeColor="accent1" w:themeShade="0000BF"/>
    </w:rPr>
  </w:style>
  <w:style w:type="paragraph" w:styleId="CitaoIntensa">
    <w:name w:val="Intense Quote"/>
    <w:basedOn w:val="Normal"/>
    <w:next w:val="Normal"/>
    <w:link w:val="CitaoIntensaChar"/>
    <w:uiPriority w:val="30"/>
    <w:qFormat w:val="1"/>
    <w:rsid w:val="00004D00"/>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CitaoIntensaChar" w:customStyle="1">
    <w:name w:val="Citação Intensa Char"/>
    <w:basedOn w:val="Fontepargpadro"/>
    <w:link w:val="CitaoIntensa"/>
    <w:uiPriority w:val="30"/>
    <w:rsid w:val="00004D00"/>
    <w:rPr>
      <w:i w:val="1"/>
      <w:iCs w:val="1"/>
      <w:color w:val="2f5496" w:themeColor="accent1" w:themeShade="0000BF"/>
    </w:rPr>
  </w:style>
  <w:style w:type="character" w:styleId="RefernciaIntensa">
    <w:name w:val="Intense Reference"/>
    <w:basedOn w:val="Fontepargpadro"/>
    <w:uiPriority w:val="32"/>
    <w:qFormat w:val="1"/>
    <w:rsid w:val="00004D00"/>
    <w:rPr>
      <w:b w:val="1"/>
      <w:bCs w:val="1"/>
      <w:smallCaps w:val="1"/>
      <w:color w:val="2f5496" w:themeColor="accent1" w:themeShade="0000BF"/>
      <w:spacing w:val="5"/>
    </w:rPr>
  </w:style>
  <w:style w:type="table" w:styleId="Tabelacomgrade">
    <w:name w:val="Table Grid"/>
    <w:basedOn w:val="Tabelanormal"/>
    <w:uiPriority w:val="39"/>
    <w:rsid w:val="002E6828"/>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rPr>
      <w:color w:val="595959"/>
      <w:sz w:val="28"/>
      <w:szCs w:val="2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3DE41NUqFD/oU5ZbAoblIv7VHg==">CgMxLjA4AHIhMUo1Rl9ocGdJVHpaRHJNQ2FwOU5RYjgxMW5OcXFBT3Rh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2025-03-25T12:08:00Z</dcterms:created>
  <dc:creator>Andrea Ferreira</dc:creator>
</cp:coreProperties>
</file>