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062F" w14:textId="77777777" w:rsidR="008605E8" w:rsidRDefault="008605E8" w:rsidP="008605E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Distinct immune and genomic signatures predict resistance to ibrutinib therapy in </w:t>
      </w:r>
      <w:r w:rsidRPr="000572A1">
        <w:rPr>
          <w:rFonts w:ascii="Calibri" w:hAnsi="Calibri" w:cs="Calibri"/>
          <w:b/>
          <w:bCs/>
        </w:rPr>
        <w:t>Waldenström macroglobulinemia</w:t>
      </w:r>
    </w:p>
    <w:p w14:paraId="62A41802" w14:textId="77777777" w:rsidR="008605E8" w:rsidRPr="00EB41CD" w:rsidRDefault="008605E8" w:rsidP="008605E8">
      <w:pPr>
        <w:jc w:val="center"/>
        <w:rPr>
          <w:rFonts w:ascii="Calibri" w:hAnsi="Calibri" w:cs="Calibri"/>
          <w:b/>
          <w:bCs/>
        </w:rPr>
      </w:pPr>
    </w:p>
    <w:p w14:paraId="4C39E3E3" w14:textId="77777777" w:rsidR="008605E8" w:rsidRPr="0033353A" w:rsidRDefault="008605E8" w:rsidP="008605E8">
      <w:pPr>
        <w:pStyle w:val="name"/>
        <w:spacing w:before="280" w:after="280"/>
        <w:jc w:val="both"/>
        <w:rPr>
          <w:rFonts w:ascii="Calibri" w:hAnsi="Calibri" w:cs="Calibri"/>
          <w:sz w:val="22"/>
          <w:szCs w:val="22"/>
        </w:rPr>
      </w:pPr>
      <w:r w:rsidRPr="0033353A">
        <w:rPr>
          <w:rFonts w:ascii="Calibri" w:hAnsi="Calibri" w:cs="Calibri"/>
          <w:sz w:val="22"/>
          <w:szCs w:val="22"/>
        </w:rPr>
        <w:t>Tina Bagratuni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*, Christos Vlachos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*, Maria Sakkou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Ioannis Kollias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Ourania Theologi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Nefeli Mavrianou-Koutsoukou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Christine Liacos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Ko</w:t>
      </w:r>
      <w:r>
        <w:rPr>
          <w:rFonts w:ascii="Calibri" w:hAnsi="Calibri" w:cs="Calibri"/>
          <w:sz w:val="22"/>
          <w:szCs w:val="22"/>
        </w:rPr>
        <w:t>n</w:t>
      </w:r>
      <w:r w:rsidRPr="0033353A">
        <w:rPr>
          <w:rFonts w:ascii="Calibri" w:hAnsi="Calibri" w:cs="Calibri"/>
          <w:sz w:val="22"/>
          <w:szCs w:val="22"/>
        </w:rPr>
        <w:t>stantina Taouxi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Alexandra Papadimou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>, Katerina Chrisostomidou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Agisilaos Papadopoulos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Eleni Kalafati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, Foteini Theodorakakou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, Maria Gavriatopoulou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353A">
        <w:rPr>
          <w:rFonts w:ascii="Calibri" w:hAnsi="Calibri" w:cs="Calibri"/>
          <w:sz w:val="22"/>
          <w:szCs w:val="22"/>
        </w:rPr>
        <w:t>Evangelos Terpos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 w:rsidRPr="0033353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Zachary R. Hunter</w:t>
      </w:r>
      <w:r w:rsidRPr="009F7CD9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Steven Treon</w:t>
      </w:r>
      <w:r w:rsidRPr="009F7CD9"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, </w:t>
      </w:r>
      <w:r w:rsidRPr="0033353A">
        <w:rPr>
          <w:rFonts w:ascii="Calibri" w:hAnsi="Calibri" w:cs="Calibri"/>
          <w:sz w:val="22"/>
          <w:szCs w:val="22"/>
        </w:rPr>
        <w:t xml:space="preserve">Meletios A. </w:t>
      </w:r>
      <w:proofErr w:type="gramStart"/>
      <w:r w:rsidRPr="0033353A">
        <w:rPr>
          <w:rFonts w:ascii="Calibri" w:hAnsi="Calibri" w:cs="Calibri"/>
          <w:sz w:val="22"/>
          <w:szCs w:val="22"/>
        </w:rPr>
        <w:t>Dimopoulos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**</w:t>
      </w:r>
      <w:proofErr w:type="gramEnd"/>
      <w:r>
        <w:rPr>
          <w:rFonts w:ascii="Calibri" w:hAnsi="Calibri" w:cs="Calibri"/>
          <w:sz w:val="22"/>
          <w:szCs w:val="22"/>
        </w:rPr>
        <w:t>,</w:t>
      </w:r>
      <w:r w:rsidRPr="00BE354B">
        <w:rPr>
          <w:rFonts w:ascii="Calibri" w:hAnsi="Calibri" w:cs="Calibri"/>
          <w:sz w:val="22"/>
          <w:szCs w:val="22"/>
        </w:rPr>
        <w:t xml:space="preserve"> </w:t>
      </w:r>
      <w:r w:rsidRPr="0033353A">
        <w:rPr>
          <w:rFonts w:ascii="Calibri" w:hAnsi="Calibri" w:cs="Calibri"/>
          <w:sz w:val="22"/>
          <w:szCs w:val="22"/>
        </w:rPr>
        <w:t>Efstathios Kastritis</w:t>
      </w:r>
      <w:r w:rsidRPr="009F7CD9"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>**</w:t>
      </w:r>
    </w:p>
    <w:p w14:paraId="1B662FB8" w14:textId="77777777" w:rsidR="008605E8" w:rsidRDefault="008605E8" w:rsidP="008605E8">
      <w:pPr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9B2FD72" w14:textId="77777777" w:rsidR="008605E8" w:rsidRDefault="008605E8" w:rsidP="008605E8">
      <w:pPr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25460CF" w14:textId="3A416456" w:rsidR="002D437D" w:rsidRPr="002D437D" w:rsidRDefault="002D437D" w:rsidP="008605E8">
      <w:pPr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2D437D">
        <w:rPr>
          <w:rFonts w:ascii="Calibri" w:eastAsia="Calibri" w:hAnsi="Calibri" w:cs="Calibri"/>
          <w:b/>
          <w:bCs/>
          <w:sz w:val="22"/>
          <w:szCs w:val="22"/>
        </w:rPr>
        <w:t>Suppl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emental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 Figure Legends</w:t>
      </w:r>
    </w:p>
    <w:p w14:paraId="5A12DEBB" w14:textId="77777777" w:rsidR="002D437D" w:rsidRPr="002D437D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E214C91" w14:textId="189D7A65" w:rsidR="002D437D" w:rsidRPr="002D437D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2D437D">
        <w:rPr>
          <w:rFonts w:ascii="Calibri" w:eastAsia="Calibri" w:hAnsi="Calibri" w:cs="Calibri"/>
          <w:b/>
          <w:bCs/>
          <w:sz w:val="22"/>
          <w:szCs w:val="22"/>
        </w:rPr>
        <w:t>Suppl. Figure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2D437D">
        <w:rPr>
          <w:rFonts w:ascii="Calibri" w:eastAsia="Calibri" w:hAnsi="Calibri" w:cs="Calibri"/>
          <w:sz w:val="22"/>
          <w:szCs w:val="22"/>
        </w:rPr>
        <w:t xml:space="preserve">Kaplan-Meier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curves</w:t>
      </w:r>
      <w:r w:rsidR="008605E8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>of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clinical and genomic features.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A.</w:t>
      </w:r>
      <w:r w:rsidRPr="002D437D">
        <w:rPr>
          <w:rFonts w:ascii="Calibri" w:eastAsia="Calibri" w:hAnsi="Calibri" w:cs="Calibri"/>
          <w:sz w:val="22"/>
          <w:szCs w:val="22"/>
        </w:rPr>
        <w:t xml:space="preserve"> Low levels of Albumin and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B.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 xml:space="preserve">high levels of serum IgM are associated with shorter PFS.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C.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i/>
          <w:iCs/>
          <w:sz w:val="22"/>
          <w:szCs w:val="22"/>
        </w:rPr>
        <w:t>MYD88</w:t>
      </w:r>
      <w:r w:rsidRPr="002D437D">
        <w:rPr>
          <w:rFonts w:ascii="Calibri" w:eastAsia="Calibri" w:hAnsi="Calibri" w:cs="Calibri"/>
          <w:i/>
          <w:iCs/>
          <w:sz w:val="22"/>
          <w:szCs w:val="22"/>
          <w:vertAlign w:val="superscript"/>
        </w:rPr>
        <w:t>WT</w:t>
      </w:r>
      <w:r w:rsidRPr="002D437D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 xml:space="preserve">and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D.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i/>
          <w:iCs/>
          <w:sz w:val="22"/>
          <w:szCs w:val="22"/>
        </w:rPr>
        <w:t>CXCR4</w:t>
      </w:r>
      <w:r w:rsidRPr="002D437D">
        <w:rPr>
          <w:rFonts w:ascii="Calibri" w:eastAsia="Calibri" w:hAnsi="Calibri" w:cs="Calibri"/>
          <w:i/>
          <w:iCs/>
          <w:sz w:val="22"/>
          <w:szCs w:val="22"/>
          <w:vertAlign w:val="superscript"/>
        </w:rPr>
        <w:t>MUT</w:t>
      </w:r>
      <w:r w:rsidRPr="002D437D">
        <w:rPr>
          <w:rFonts w:ascii="Calibri" w:eastAsia="Calibri" w:hAnsi="Calibri" w:cs="Calibri"/>
          <w:sz w:val="22"/>
          <w:szCs w:val="22"/>
        </w:rPr>
        <w:t xml:space="preserve"> patients have shorter PFS.</w:t>
      </w:r>
    </w:p>
    <w:p w14:paraId="548023A6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A5B51A2" w14:textId="75659132" w:rsidR="002D437D" w:rsidRPr="002D437D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2D437D">
        <w:rPr>
          <w:rFonts w:ascii="Calibri" w:eastAsia="Calibri" w:hAnsi="Calibri" w:cs="Calibri"/>
          <w:b/>
          <w:bCs/>
          <w:sz w:val="22"/>
          <w:szCs w:val="22"/>
        </w:rPr>
        <w:t>Suppl. Figure 2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 A.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 xml:space="preserve">Stacked bar plot, displaying the cell type composition across samples.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B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Boxplots of normalized cell-type contribution per sample for the RG cohort, between T1 and T2.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Boxplots of normalized cell-type contribution per sample for the NRG cohort, between T1 and T2.</w:t>
      </w:r>
    </w:p>
    <w:p w14:paraId="214864F1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51CB9DC" w14:textId="52E47424" w:rsidR="002D437D" w:rsidRPr="008605E8" w:rsidRDefault="002D437D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D437D">
        <w:rPr>
          <w:rFonts w:ascii="Calibri" w:eastAsia="Calibri" w:hAnsi="Calibri" w:cs="Calibri"/>
          <w:b/>
          <w:bCs/>
          <w:sz w:val="22"/>
          <w:szCs w:val="22"/>
        </w:rPr>
        <w:t>Suppl. Figure 3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. A. </w:t>
      </w:r>
      <w:r w:rsidRPr="002D437D">
        <w:rPr>
          <w:rFonts w:ascii="Calibri" w:eastAsia="Calibri" w:hAnsi="Calibri" w:cs="Calibri"/>
          <w:sz w:val="22"/>
          <w:szCs w:val="22"/>
        </w:rPr>
        <w:t>Boxplots of normalized counts of monocytic cell sub-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clusters  after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integration with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the reference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B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Activity score of the BIOCARTA inflammation pathway grouped by response status and timepoint.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Boxplots of normalized counts of neutrophil cell sub-clusters after integration with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the reference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UMAP and </w:t>
      </w:r>
      <w:proofErr w:type="spellStart"/>
      <w:r w:rsidRPr="002D437D">
        <w:rPr>
          <w:rFonts w:ascii="Calibri" w:eastAsia="Calibri" w:hAnsi="Calibri" w:cs="Calibri"/>
          <w:sz w:val="22"/>
          <w:szCs w:val="22"/>
        </w:rPr>
        <w:t>subclustering</w:t>
      </w:r>
      <w:proofErr w:type="spellEnd"/>
      <w:r w:rsidRPr="002D437D">
        <w:rPr>
          <w:rFonts w:ascii="Calibri" w:eastAsia="Calibri" w:hAnsi="Calibri" w:cs="Calibri"/>
          <w:sz w:val="22"/>
          <w:szCs w:val="22"/>
        </w:rPr>
        <w:t xml:space="preserve"> of the cells annotated as neutrophils.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Feature plot of expression of selected genes characteristic of the neutrophil sub-clusters.</w:t>
      </w:r>
    </w:p>
    <w:p w14:paraId="6E73E16E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7CDBE03" w14:textId="71553F8C" w:rsidR="002D437D" w:rsidRPr="002D437D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2D437D">
        <w:rPr>
          <w:rFonts w:ascii="Calibri" w:eastAsia="Calibri" w:hAnsi="Calibri" w:cs="Calibri"/>
          <w:b/>
          <w:bCs/>
          <w:sz w:val="22"/>
          <w:szCs w:val="22"/>
        </w:rPr>
        <w:t>Suppl. Figure 4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A.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>Boxplots of normalized counts of T-cell sub-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clusters  after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integration with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the reference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including the population of INF-activated T-cells.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B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Sub-clustering of cytotoxic GZMB+ and GZMK+ T-cells. Cluster 8 was characterized by high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expression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of genes such as LAG3,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TIGIT,PDCD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1 which are markers of T-cell exhaustion. 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Boxplots of normalized counts per sample for the C8 after integration with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the reference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Exhaustion score estimated per cell using the exhaustion marker genes CTLA4, PDCD1, LAG3, TIGIT, PD1 and HAVCR2. Cells are grouped across response groups and timepoints.</w:t>
      </w:r>
    </w:p>
    <w:p w14:paraId="7A105496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63BD9DD" w14:textId="6E9C37AA" w:rsidR="002D437D" w:rsidRPr="008605E8" w:rsidRDefault="002D437D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2D437D">
        <w:rPr>
          <w:rFonts w:ascii="Calibri" w:eastAsia="Calibri" w:hAnsi="Calibri" w:cs="Calibri"/>
          <w:b/>
          <w:bCs/>
          <w:sz w:val="22"/>
          <w:szCs w:val="22"/>
        </w:rPr>
        <w:lastRenderedPageBreak/>
        <w:t>Suppl. Figure 5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2D437D">
        <w:rPr>
          <w:rFonts w:ascii="Calibri" w:eastAsia="Calibri" w:hAnsi="Calibri" w:cs="Calibri"/>
          <w:sz w:val="22"/>
          <w:szCs w:val="22"/>
        </w:rPr>
        <w:t xml:space="preserve">UMAP visualizations of B cells colored by sample of origin.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B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Stacked bar plot showing the contribution of B-cell subtypes across response groups and timepoints.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BMI is positively correlated with the number of B-cells per patient.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Box plots showing the normalized B-cell counts per sample grouped by mutation status (</w:t>
      </w:r>
      <w:r w:rsidRPr="002D437D">
        <w:rPr>
          <w:rFonts w:ascii="Calibri" w:eastAsia="Calibri" w:hAnsi="Calibri" w:cs="Calibri"/>
          <w:i/>
          <w:iCs/>
          <w:sz w:val="22"/>
          <w:szCs w:val="22"/>
        </w:rPr>
        <w:t>MYD88 MUT/WT</w:t>
      </w:r>
      <w:r w:rsidRPr="002D437D">
        <w:rPr>
          <w:rFonts w:ascii="Calibri" w:eastAsia="Calibri" w:hAnsi="Calibri" w:cs="Calibri"/>
          <w:sz w:val="22"/>
          <w:szCs w:val="22"/>
        </w:rPr>
        <w:t xml:space="preserve">, </w:t>
      </w:r>
      <w:r w:rsidRPr="002D437D">
        <w:rPr>
          <w:rFonts w:ascii="Calibri" w:eastAsia="Calibri" w:hAnsi="Calibri" w:cs="Calibri"/>
          <w:i/>
          <w:iCs/>
          <w:sz w:val="22"/>
          <w:szCs w:val="22"/>
        </w:rPr>
        <w:t>CXCR4 MUT/WT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). E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 xml:space="preserve">Violin plots of the expression levels of genes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up-regulated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at T1, compared to T2.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F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Volcano-plots of DEGs between T1 and T2 in the NRG and RG cohorts of patients.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G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2D437D">
        <w:rPr>
          <w:rFonts w:ascii="Calibri" w:eastAsia="Calibri" w:hAnsi="Calibri" w:cs="Calibri"/>
          <w:sz w:val="22"/>
          <w:szCs w:val="22"/>
        </w:rPr>
        <w:t>Activity score of the BIOCARTA IL6 pathway estimated per cell. Cells are then grouped based on the response group and collection timepoint.</w:t>
      </w:r>
    </w:p>
    <w:p w14:paraId="0643287D" w14:textId="112AC761" w:rsidR="002D437D" w:rsidRPr="002D437D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605E8">
        <w:rPr>
          <w:rFonts w:ascii="Calibri" w:eastAsia="Calibri" w:hAnsi="Calibri" w:cs="Calibri"/>
          <w:b/>
          <w:bCs/>
          <w:sz w:val="22"/>
          <w:szCs w:val="22"/>
        </w:rPr>
        <w:t>Suppl. Figure 6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D437D">
        <w:rPr>
          <w:rFonts w:ascii="Calibri" w:eastAsia="Calibri" w:hAnsi="Calibri" w:cs="Calibri"/>
          <w:sz w:val="22"/>
          <w:szCs w:val="22"/>
        </w:rPr>
        <w:t>Barplots</w:t>
      </w:r>
      <w:proofErr w:type="spellEnd"/>
      <w:r w:rsidRPr="002D437D">
        <w:rPr>
          <w:rFonts w:ascii="Calibri" w:eastAsia="Calibri" w:hAnsi="Calibri" w:cs="Calibri"/>
          <w:sz w:val="22"/>
          <w:szCs w:val="22"/>
        </w:rPr>
        <w:t xml:space="preserve"> of PC/MBC like scores estimated for each sample at T1. Samples with higher scores are annotated as PC-like. </w:t>
      </w:r>
    </w:p>
    <w:p w14:paraId="01DDA28E" w14:textId="2A54C588" w:rsidR="002D437D" w:rsidRPr="002D437D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605E8">
        <w:rPr>
          <w:rFonts w:ascii="Calibri" w:eastAsia="Calibri" w:hAnsi="Calibri" w:cs="Calibri"/>
          <w:b/>
          <w:bCs/>
          <w:sz w:val="22"/>
          <w:szCs w:val="22"/>
        </w:rPr>
        <w:t>Suppl. Figure 7</w:t>
      </w:r>
      <w:r w:rsidR="008605E8" w:rsidRPr="008605E8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8605E8" w:rsidRPr="008605E8">
        <w:rPr>
          <w:rFonts w:ascii="Calibri" w:eastAsia="Calibri" w:hAnsi="Calibri" w:cs="Calibri"/>
          <w:b/>
          <w:bCs/>
          <w:sz w:val="22"/>
          <w:szCs w:val="22"/>
        </w:rPr>
        <w:t>A.</w:t>
      </w:r>
      <w:r w:rsidR="008605E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D437D">
        <w:rPr>
          <w:rFonts w:ascii="Calibri" w:eastAsia="Calibri" w:hAnsi="Calibri" w:cs="Calibri"/>
          <w:sz w:val="22"/>
          <w:szCs w:val="22"/>
        </w:rPr>
        <w:t>AUCell</w:t>
      </w:r>
      <w:proofErr w:type="spellEnd"/>
      <w:r w:rsidRPr="002D437D">
        <w:rPr>
          <w:rFonts w:ascii="Calibri" w:eastAsia="Calibri" w:hAnsi="Calibri" w:cs="Calibri"/>
          <w:sz w:val="22"/>
          <w:szCs w:val="22"/>
        </w:rPr>
        <w:t xml:space="preserve"> scores of the </w:t>
      </w:r>
      <w:proofErr w:type="gramStart"/>
      <w:r w:rsidRPr="002D437D">
        <w:rPr>
          <w:rFonts w:ascii="Calibri" w:eastAsia="Calibri" w:hAnsi="Calibri" w:cs="Calibri"/>
          <w:sz w:val="22"/>
          <w:szCs w:val="22"/>
        </w:rPr>
        <w:t>top-30</w:t>
      </w:r>
      <w:proofErr w:type="gramEnd"/>
      <w:r w:rsidRPr="002D437D">
        <w:rPr>
          <w:rFonts w:ascii="Calibri" w:eastAsia="Calibri" w:hAnsi="Calibri" w:cs="Calibri"/>
          <w:sz w:val="22"/>
          <w:szCs w:val="22"/>
        </w:rPr>
        <w:t xml:space="preserve"> genes associated with GEX1-4, grouped by the MYD88/CXCR4 mutational profile. 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t>B</w:t>
      </w:r>
      <w:r w:rsidR="008605E8" w:rsidRPr="008605E8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Significant pathways over-represented in each GEX. 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t>C</w:t>
      </w:r>
      <w:r w:rsidR="008605E8" w:rsidRPr="008605E8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Gene expression heatmap of three gene expression signatures (GEX1-GEX3) grouped according to MYD88 and CXCR4 mutation status of the validation cohort. 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t>D</w:t>
      </w:r>
      <w:r w:rsidR="008605E8" w:rsidRPr="008605E8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PFS according to GEX1,2 and GEX3 scores in the validation cohort.</w:t>
      </w:r>
      <w:r w:rsidR="008605E8">
        <w:rPr>
          <w:rFonts w:ascii="Calibri" w:eastAsia="Calibri" w:hAnsi="Calibri" w:cs="Calibri"/>
          <w:sz w:val="22"/>
          <w:szCs w:val="22"/>
        </w:rPr>
        <w:t xml:space="preserve"> </w:t>
      </w:r>
    </w:p>
    <w:p w14:paraId="4DD42F33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C302245" w14:textId="5F8A0AFB" w:rsidR="008605E8" w:rsidRDefault="002D437D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605E8">
        <w:rPr>
          <w:rFonts w:ascii="Calibri" w:eastAsia="Calibri" w:hAnsi="Calibri" w:cs="Calibri"/>
          <w:b/>
          <w:bCs/>
          <w:sz w:val="22"/>
          <w:szCs w:val="22"/>
        </w:rPr>
        <w:t>Suppl. Figure 8</w:t>
      </w:r>
      <w:r w:rsidR="008605E8" w:rsidRPr="008605E8">
        <w:rPr>
          <w:rFonts w:ascii="Calibri" w:eastAsia="Calibri" w:hAnsi="Calibri" w:cs="Calibri"/>
          <w:b/>
          <w:bCs/>
          <w:sz w:val="22"/>
          <w:szCs w:val="22"/>
        </w:rPr>
        <w:t>. A.</w:t>
      </w:r>
      <w:r w:rsidR="008605E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2D437D">
        <w:rPr>
          <w:rFonts w:ascii="Calibri" w:eastAsia="Calibri" w:hAnsi="Calibri" w:cs="Calibri"/>
          <w:sz w:val="22"/>
          <w:szCs w:val="22"/>
        </w:rPr>
        <w:t>Oncoplot</w:t>
      </w:r>
      <w:proofErr w:type="spellEnd"/>
      <w:r w:rsidRPr="002D437D">
        <w:rPr>
          <w:rFonts w:ascii="Calibri" w:eastAsia="Calibri" w:hAnsi="Calibri" w:cs="Calibri"/>
          <w:sz w:val="22"/>
          <w:szCs w:val="22"/>
        </w:rPr>
        <w:t xml:space="preserve"> of most common SNVs/INDELs identified in PC-like (up) and MBC-like (bottom) samples. </w:t>
      </w:r>
      <w:r w:rsidRPr="002D437D">
        <w:rPr>
          <w:rFonts w:ascii="Calibri" w:eastAsia="Calibri" w:hAnsi="Calibri" w:cs="Calibri"/>
          <w:b/>
          <w:bCs/>
          <w:sz w:val="22"/>
          <w:szCs w:val="22"/>
        </w:rPr>
        <w:t>B</w:t>
      </w:r>
      <w:r w:rsidR="008605E8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2D437D">
        <w:rPr>
          <w:rFonts w:ascii="Calibri" w:eastAsia="Calibri" w:hAnsi="Calibri" w:cs="Calibri"/>
          <w:sz w:val="22"/>
          <w:szCs w:val="22"/>
        </w:rPr>
        <w:t xml:space="preserve"> Clonal evolution of WM patients that did not show branching evolution. On the y-axis the number of SNVs accumulated across time is shown.</w:t>
      </w:r>
    </w:p>
    <w:p w14:paraId="52BA1038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477BF4" w14:textId="6023A692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8605E8">
        <w:rPr>
          <w:rFonts w:ascii="Calibri" w:eastAsia="Calibri" w:hAnsi="Calibri" w:cs="Calibri"/>
          <w:b/>
          <w:bCs/>
          <w:sz w:val="22"/>
          <w:szCs w:val="22"/>
        </w:rPr>
        <w:t xml:space="preserve">Suppl. Figure </w:t>
      </w:r>
      <w:r>
        <w:rPr>
          <w:rFonts w:ascii="Calibri" w:eastAsia="Calibri" w:hAnsi="Calibri" w:cs="Calibri"/>
          <w:b/>
          <w:bCs/>
          <w:sz w:val="22"/>
          <w:szCs w:val="22"/>
        </w:rPr>
        <w:t>9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8605E8">
        <w:rPr>
          <w:rFonts w:ascii="Calibri" w:eastAsia="Calibri" w:hAnsi="Calibri" w:cs="Calibri"/>
          <w:sz w:val="22"/>
          <w:szCs w:val="22"/>
        </w:rPr>
        <w:t>Heatmap of difference in the interaction weight between RG and NRG at T1 across all the cell-types found in the microenvironment of the clonal B-cells. Red indicates increased interaction weight in the NRG and blue increased interaction weight in the RG.</w:t>
      </w:r>
      <w:r w:rsidRPr="008605E8">
        <w:rPr>
          <w:rFonts w:ascii="Calibri" w:eastAsia="Calibri" w:hAnsi="Calibri" w:cs="Calibri"/>
          <w:b/>
          <w:bCs/>
          <w:sz w:val="22"/>
          <w:szCs w:val="22"/>
        </w:rPr>
        <w:br/>
        <w:t>B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. </w:t>
      </w:r>
      <w:r w:rsidRPr="008605E8">
        <w:rPr>
          <w:rFonts w:ascii="Calibri" w:eastAsia="Calibri" w:hAnsi="Calibri" w:cs="Calibri"/>
          <w:sz w:val="22"/>
          <w:szCs w:val="22"/>
        </w:rPr>
        <w:t xml:space="preserve">Same as </w:t>
      </w:r>
      <w:r w:rsidRPr="008605E8">
        <w:rPr>
          <w:rFonts w:ascii="Calibri" w:eastAsia="Calibri" w:hAnsi="Calibri" w:cs="Calibri"/>
          <w:sz w:val="22"/>
          <w:szCs w:val="22"/>
        </w:rPr>
        <w:t>A.</w:t>
      </w:r>
      <w:r w:rsidRPr="008605E8">
        <w:rPr>
          <w:rFonts w:ascii="Calibri" w:eastAsia="Calibri" w:hAnsi="Calibri" w:cs="Calibri"/>
          <w:sz w:val="22"/>
          <w:szCs w:val="22"/>
        </w:rPr>
        <w:t xml:space="preserve"> for T2.</w:t>
      </w:r>
    </w:p>
    <w:p w14:paraId="5E472BD1" w14:textId="77777777" w:rsidR="008605E8" w:rsidRDefault="008605E8" w:rsidP="008605E8">
      <w:pPr>
        <w:spacing w:line="36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CD1087" w14:textId="732F0635" w:rsidR="00BB0448" w:rsidRDefault="008605E8" w:rsidP="008605E8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Suppl. </w:t>
      </w:r>
      <w:r w:rsidR="00BB0448" w:rsidRPr="00471381">
        <w:rPr>
          <w:rFonts w:ascii="Calibri" w:eastAsia="Calibri" w:hAnsi="Calibri" w:cs="Calibri"/>
          <w:b/>
          <w:bCs/>
          <w:sz w:val="22"/>
          <w:szCs w:val="22"/>
        </w:rPr>
        <w:t xml:space="preserve">Figure </w:t>
      </w:r>
      <w:r>
        <w:rPr>
          <w:rFonts w:ascii="Calibri" w:eastAsia="Calibri" w:hAnsi="Calibri" w:cs="Calibri"/>
          <w:b/>
          <w:bCs/>
          <w:sz w:val="22"/>
          <w:szCs w:val="22"/>
        </w:rPr>
        <w:t>10.</w:t>
      </w:r>
      <w:r w:rsidR="00BB0448">
        <w:rPr>
          <w:rFonts w:ascii="Calibri" w:eastAsia="Calibri" w:hAnsi="Calibri" w:cs="Calibri"/>
          <w:sz w:val="22"/>
          <w:szCs w:val="22"/>
        </w:rPr>
        <w:t xml:space="preserve"> Schematic overview </w:t>
      </w:r>
      <w:r w:rsidR="00BB0448" w:rsidRPr="00374E77">
        <w:rPr>
          <w:rFonts w:ascii="Calibri" w:eastAsia="Calibri" w:hAnsi="Calibri" w:cs="Calibri"/>
          <w:sz w:val="22"/>
          <w:szCs w:val="22"/>
        </w:rPr>
        <w:t>summarizin</w:t>
      </w:r>
      <w:r w:rsidR="00BB0448">
        <w:rPr>
          <w:rFonts w:ascii="Calibri" w:eastAsia="Calibri" w:hAnsi="Calibri" w:cs="Calibri"/>
          <w:sz w:val="22"/>
          <w:szCs w:val="22"/>
        </w:rPr>
        <w:t xml:space="preserve">g </w:t>
      </w:r>
      <w:r w:rsidR="00BB0448" w:rsidRPr="00374E77">
        <w:rPr>
          <w:rFonts w:ascii="Calibri" w:eastAsia="Calibri" w:hAnsi="Calibri" w:cs="Calibri"/>
          <w:sz w:val="22"/>
          <w:szCs w:val="22"/>
        </w:rPr>
        <w:t xml:space="preserve">the </w:t>
      </w:r>
      <w:r w:rsidR="00BB0448">
        <w:rPr>
          <w:rFonts w:ascii="Calibri" w:eastAsia="Calibri" w:hAnsi="Calibri" w:cs="Calibri"/>
          <w:sz w:val="22"/>
          <w:szCs w:val="22"/>
        </w:rPr>
        <w:t xml:space="preserve">key cellular immune subtypes </w:t>
      </w:r>
      <w:r w:rsidR="00BB0448" w:rsidRPr="00374E77">
        <w:rPr>
          <w:rFonts w:ascii="Calibri" w:eastAsia="Calibri" w:hAnsi="Calibri" w:cs="Calibri"/>
          <w:sz w:val="22"/>
          <w:szCs w:val="22"/>
        </w:rPr>
        <w:t xml:space="preserve">intrinsic and </w:t>
      </w:r>
      <w:r w:rsidR="00BB0448">
        <w:rPr>
          <w:rFonts w:ascii="Calibri" w:eastAsia="Calibri" w:hAnsi="Calibri" w:cs="Calibri"/>
          <w:sz w:val="22"/>
          <w:szCs w:val="22"/>
        </w:rPr>
        <w:t xml:space="preserve">tumor signaling pathways </w:t>
      </w:r>
      <w:r w:rsidR="00BB0448" w:rsidRPr="00374E77">
        <w:rPr>
          <w:rFonts w:ascii="Calibri" w:eastAsia="Calibri" w:hAnsi="Calibri" w:cs="Calibri"/>
          <w:sz w:val="22"/>
          <w:szCs w:val="22"/>
        </w:rPr>
        <w:t xml:space="preserve">associated with </w:t>
      </w:r>
      <w:r w:rsidR="00BB0448">
        <w:rPr>
          <w:rFonts w:ascii="Calibri" w:eastAsia="Calibri" w:hAnsi="Calibri" w:cs="Calibri"/>
          <w:sz w:val="22"/>
          <w:szCs w:val="22"/>
        </w:rPr>
        <w:t>ibrutinib</w:t>
      </w:r>
      <w:r w:rsidR="00BB0448" w:rsidRPr="00374E77">
        <w:rPr>
          <w:rFonts w:ascii="Calibri" w:eastAsia="Calibri" w:hAnsi="Calibri" w:cs="Calibri"/>
          <w:sz w:val="22"/>
          <w:szCs w:val="22"/>
        </w:rPr>
        <w:t xml:space="preserve"> response and clinical</w:t>
      </w:r>
      <w:r w:rsidR="00BB0448">
        <w:rPr>
          <w:rFonts w:ascii="Calibri" w:eastAsia="Calibri" w:hAnsi="Calibri" w:cs="Calibri"/>
          <w:sz w:val="22"/>
          <w:szCs w:val="22"/>
        </w:rPr>
        <w:t xml:space="preserve"> </w:t>
      </w:r>
      <w:r w:rsidR="00BB0448" w:rsidRPr="00374E77">
        <w:rPr>
          <w:rFonts w:ascii="Calibri" w:eastAsia="Calibri" w:hAnsi="Calibri" w:cs="Calibri"/>
          <w:sz w:val="22"/>
          <w:szCs w:val="22"/>
        </w:rPr>
        <w:t xml:space="preserve">outcome in </w:t>
      </w:r>
      <w:r w:rsidR="00BB0448">
        <w:rPr>
          <w:rFonts w:ascii="Calibri" w:eastAsia="Calibri" w:hAnsi="Calibri" w:cs="Calibri"/>
          <w:sz w:val="22"/>
          <w:szCs w:val="22"/>
        </w:rPr>
        <w:t xml:space="preserve">WM </w:t>
      </w:r>
      <w:r w:rsidR="00BB0448" w:rsidRPr="00374E77">
        <w:rPr>
          <w:rFonts w:ascii="Calibri" w:eastAsia="Calibri" w:hAnsi="Calibri" w:cs="Calibri"/>
          <w:sz w:val="22"/>
          <w:szCs w:val="22"/>
        </w:rPr>
        <w:t>patients</w:t>
      </w:r>
      <w:r w:rsidR="00BB0448">
        <w:rPr>
          <w:rFonts w:ascii="Calibri" w:eastAsia="Calibri" w:hAnsi="Calibri" w:cs="Calibri"/>
          <w:sz w:val="22"/>
          <w:szCs w:val="22"/>
        </w:rPr>
        <w:t xml:space="preserve">. </w:t>
      </w:r>
      <w:r w:rsidR="00BB0448" w:rsidRPr="00E23C5F">
        <w:rPr>
          <w:rFonts w:ascii="Calibri" w:eastAsia="Calibri" w:hAnsi="Calibri" w:cs="Calibri"/>
          <w:sz w:val="22"/>
          <w:szCs w:val="22"/>
        </w:rPr>
        <w:t>Created with Biorender.</w:t>
      </w:r>
      <w:r w:rsidR="00BB0448">
        <w:rPr>
          <w:rFonts w:ascii="Calibri" w:eastAsia="Calibri" w:hAnsi="Calibri" w:cs="Calibri"/>
          <w:sz w:val="22"/>
          <w:szCs w:val="22"/>
        </w:rPr>
        <w:t xml:space="preserve">com </w:t>
      </w:r>
    </w:p>
    <w:p w14:paraId="1AF1C43D" w14:textId="443D7FFE" w:rsidR="00704E61" w:rsidRDefault="00704E61" w:rsidP="008605E8">
      <w:pPr>
        <w:spacing w:line="360" w:lineRule="auto"/>
      </w:pPr>
    </w:p>
    <w:p w14:paraId="078EE5B3" w14:textId="77777777" w:rsidR="00BB0448" w:rsidRDefault="00BB0448" w:rsidP="008605E8">
      <w:pPr>
        <w:spacing w:line="360" w:lineRule="auto"/>
      </w:pPr>
    </w:p>
    <w:sectPr w:rsidR="00BB0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A098B"/>
    <w:multiLevelType w:val="multilevel"/>
    <w:tmpl w:val="A7307924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1B6FCF"/>
    <w:multiLevelType w:val="multilevel"/>
    <w:tmpl w:val="5AF2936A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C8B300B"/>
    <w:multiLevelType w:val="multilevel"/>
    <w:tmpl w:val="8D545F1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C17B23"/>
    <w:multiLevelType w:val="multilevel"/>
    <w:tmpl w:val="7E96C2BE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F4F13F3"/>
    <w:multiLevelType w:val="multilevel"/>
    <w:tmpl w:val="E63ACE0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D950F78"/>
    <w:multiLevelType w:val="multilevel"/>
    <w:tmpl w:val="48566C0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2695433">
    <w:abstractNumId w:val="4"/>
  </w:num>
  <w:num w:numId="2" w16cid:durableId="31737823">
    <w:abstractNumId w:val="0"/>
  </w:num>
  <w:num w:numId="3" w16cid:durableId="1238980067">
    <w:abstractNumId w:val="5"/>
  </w:num>
  <w:num w:numId="4" w16cid:durableId="585961238">
    <w:abstractNumId w:val="1"/>
  </w:num>
  <w:num w:numId="5" w16cid:durableId="348605932">
    <w:abstractNumId w:val="3"/>
  </w:num>
  <w:num w:numId="6" w16cid:durableId="68362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48"/>
    <w:rsid w:val="001A5757"/>
    <w:rsid w:val="0020103C"/>
    <w:rsid w:val="002535F0"/>
    <w:rsid w:val="002D437D"/>
    <w:rsid w:val="00352C5C"/>
    <w:rsid w:val="00704E61"/>
    <w:rsid w:val="008605E8"/>
    <w:rsid w:val="00A00B89"/>
    <w:rsid w:val="00BB0448"/>
    <w:rsid w:val="00FC55B2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D45"/>
  <w15:chartTrackingRefBased/>
  <w15:docId w15:val="{156049FD-FA4D-4187-B2A0-D9CA93F3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4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48"/>
    <w:rPr>
      <w:b/>
      <w:bCs/>
      <w:smallCaps/>
      <w:color w:val="0F4761" w:themeColor="accent1" w:themeShade="BF"/>
      <w:spacing w:val="5"/>
    </w:rPr>
  </w:style>
  <w:style w:type="paragraph" w:customStyle="1" w:styleId="name">
    <w:name w:val="name"/>
    <w:basedOn w:val="Normal"/>
    <w:qFormat/>
    <w:rsid w:val="008605E8"/>
    <w:pPr>
      <w:suppressAutoHyphens/>
      <w:spacing w:beforeAutospacing="1" w:after="16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537</Words>
  <Characters>3600</Characters>
  <Application>Microsoft Office Word</Application>
  <DocSecurity>0</DocSecurity>
  <Lines>360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Bagratuni</dc:creator>
  <cp:keywords/>
  <dc:description/>
  <cp:lastModifiedBy>Tina Bagratuni</cp:lastModifiedBy>
  <cp:revision>1</cp:revision>
  <dcterms:created xsi:type="dcterms:W3CDTF">2025-12-18T10:24:00Z</dcterms:created>
  <dcterms:modified xsi:type="dcterms:W3CDTF">2025-12-18T14:19:00Z</dcterms:modified>
</cp:coreProperties>
</file>