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C9CA" w14:textId="27D2A0AE" w:rsidR="00A6370D" w:rsidRPr="00576870" w:rsidRDefault="00D0633F">
      <w:pPr>
        <w:rPr>
          <w:rFonts w:ascii="Times New Roman" w:hAnsi="Times New Roman" w:cs="Times New Roman"/>
          <w:b/>
          <w:bCs/>
          <w:sz w:val="28"/>
          <w:szCs w:val="32"/>
        </w:rPr>
      </w:pPr>
      <w:r w:rsidRPr="00576870">
        <w:rPr>
          <w:rFonts w:ascii="Times New Roman" w:hAnsi="Times New Roman" w:cs="Times New Roman"/>
          <w:b/>
          <w:bCs/>
          <w:sz w:val="28"/>
          <w:szCs w:val="32"/>
        </w:rPr>
        <w:t xml:space="preserve">Supplementary Material </w:t>
      </w:r>
    </w:p>
    <w:p w14:paraId="71890F96" w14:textId="77777777" w:rsidR="00576870" w:rsidRPr="00AB48F2" w:rsidRDefault="00576870" w:rsidP="00F82B02">
      <w:pPr>
        <w:pStyle w:val="af0"/>
        <w:spacing w:line="480" w:lineRule="auto"/>
        <w:jc w:val="center"/>
        <w:rPr>
          <w:b/>
          <w:lang w:eastAsia="zh-CN"/>
        </w:rPr>
      </w:pPr>
      <w:r w:rsidRPr="00AB48F2">
        <w:rPr>
          <w:b/>
          <w:lang w:eastAsia="zh-CN"/>
        </w:rPr>
        <w:lastRenderedPageBreak/>
        <w:t>Supplementary Figures</w:t>
      </w:r>
      <w:r>
        <w:rPr>
          <w:noProof/>
        </w:rPr>
        <w:lastRenderedPageBreak/>
        <w:drawing>
          <wp:inline distT="0" distB="0" distL="0" distR="0" wp14:anchorId="417DB09E" wp14:editId="2FB3BDF8">
            <wp:extent cx="4038600" cy="8613140"/>
            <wp:effectExtent l="0" t="0" r="0" b="0"/>
            <wp:docPr id="9015158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15815" name="图片 5"/>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038600" cy="8613140"/>
                    </a:xfrm>
                    <a:prstGeom prst="rect">
                      <a:avLst/>
                    </a:prstGeom>
                    <a:noFill/>
                    <a:ln>
                      <a:noFill/>
                    </a:ln>
                  </pic:spPr>
                </pic:pic>
              </a:graphicData>
            </a:graphic>
          </wp:inline>
        </w:drawing>
      </w:r>
    </w:p>
    <w:p w14:paraId="3227E484" w14:textId="6EC4D25A" w:rsidR="00576870" w:rsidRPr="00AB48F2" w:rsidRDefault="00576870" w:rsidP="00576870">
      <w:pPr>
        <w:pStyle w:val="af0"/>
        <w:spacing w:line="480" w:lineRule="auto"/>
        <w:rPr>
          <w:lang w:eastAsia="zh-CN"/>
        </w:rPr>
      </w:pPr>
      <w:bookmarkStart w:id="0" w:name="_Ref208908686"/>
      <w:r w:rsidRPr="00AB48F2">
        <w:rPr>
          <w:b/>
          <w:lang w:eastAsia="zh-CN"/>
        </w:rPr>
        <w:lastRenderedPageBreak/>
        <w:t>Supplementary Figure 1.</w:t>
      </w:r>
      <w:bookmarkEnd w:id="0"/>
      <w:r w:rsidRPr="00AB48F2">
        <w:rPr>
          <w:b/>
          <w:lang w:eastAsia="zh-CN"/>
        </w:rPr>
        <w:t xml:space="preserve"> </w:t>
      </w:r>
      <w:r w:rsidRPr="0000511B">
        <w:rPr>
          <w:lang w:eastAsia="zh-CN"/>
        </w:rPr>
        <w:t>Hypervirulence-associated gene PCR profiles and antimicrobial resistance patterns in 44 clinical </w:t>
      </w:r>
      <w:r w:rsidRPr="0000511B">
        <w:rPr>
          <w:i/>
          <w:iCs/>
          <w:lang w:eastAsia="zh-CN"/>
        </w:rPr>
        <w:t>K. pneumoniae</w:t>
      </w:r>
      <w:r w:rsidRPr="0000511B">
        <w:rPr>
          <w:lang w:eastAsia="zh-CN"/>
        </w:rPr>
        <w:t> isolates. (A–</w:t>
      </w:r>
      <w:r w:rsidRPr="0000511B">
        <w:rPr>
          <w:rFonts w:hint="eastAsia"/>
          <w:lang w:eastAsia="zh-CN"/>
        </w:rPr>
        <w:t>D</w:t>
      </w:r>
      <w:r w:rsidRPr="0000511B">
        <w:rPr>
          <w:lang w:eastAsia="zh-CN"/>
        </w:rPr>
        <w:t xml:space="preserve">) PCR amplification profiles of </w:t>
      </w:r>
      <w:r w:rsidRPr="0000511B">
        <w:rPr>
          <w:rFonts w:hint="eastAsia"/>
          <w:lang w:eastAsia="zh-CN"/>
        </w:rPr>
        <w:t>four</w:t>
      </w:r>
      <w:r w:rsidRPr="0000511B">
        <w:rPr>
          <w:lang w:eastAsia="zh-CN"/>
        </w:rPr>
        <w:t xml:space="preserve"> representative hypervirulence-associated genes: </w:t>
      </w:r>
      <w:r w:rsidRPr="0000511B">
        <w:rPr>
          <w:i/>
          <w:iCs/>
          <w:lang w:eastAsia="zh-CN"/>
        </w:rPr>
        <w:t>peg-344</w:t>
      </w:r>
      <w:r w:rsidRPr="0000511B">
        <w:rPr>
          <w:rFonts w:hint="eastAsia"/>
          <w:lang w:eastAsia="zh-CN"/>
        </w:rPr>
        <w:t>,</w:t>
      </w:r>
      <w:r w:rsidR="002259A1" w:rsidRPr="002259A1">
        <w:rPr>
          <w:lang w:eastAsia="zh-CN"/>
        </w:rPr>
        <w:t xml:space="preserve"> </w:t>
      </w:r>
      <w:r w:rsidR="002259A1" w:rsidRPr="0000511B">
        <w:rPr>
          <w:i/>
          <w:iCs/>
          <w:lang w:eastAsia="zh-CN"/>
        </w:rPr>
        <w:t>iucA</w:t>
      </w:r>
      <w:r w:rsidR="002259A1">
        <w:rPr>
          <w:rFonts w:hint="eastAsia"/>
          <w:i/>
          <w:iCs/>
          <w:lang w:eastAsia="zh-CN"/>
        </w:rPr>
        <w:t>,</w:t>
      </w:r>
      <w:r w:rsidRPr="0000511B">
        <w:rPr>
          <w:i/>
          <w:iCs/>
          <w:lang w:eastAsia="zh-CN"/>
        </w:rPr>
        <w:t xml:space="preserve"> rmpA</w:t>
      </w:r>
      <w:r w:rsidRPr="0000511B">
        <w:rPr>
          <w:rFonts w:hint="eastAsia"/>
          <w:lang w:eastAsia="zh-CN"/>
        </w:rPr>
        <w:t xml:space="preserve">, </w:t>
      </w:r>
      <w:r w:rsidRPr="0000511B">
        <w:rPr>
          <w:lang w:eastAsia="zh-CN"/>
        </w:rPr>
        <w:t xml:space="preserve">and </w:t>
      </w:r>
      <w:r w:rsidR="002259A1" w:rsidRPr="0000511B">
        <w:rPr>
          <w:i/>
          <w:iCs/>
          <w:lang w:eastAsia="zh-CN"/>
        </w:rPr>
        <w:t>rmpA2</w:t>
      </w:r>
      <w:r w:rsidRPr="0000511B">
        <w:rPr>
          <w:lang w:eastAsia="zh-CN"/>
        </w:rPr>
        <w:t xml:space="preserve">. DNA molecular-weight marker (N3231L for </w:t>
      </w:r>
      <w:r w:rsidRPr="0000511B">
        <w:rPr>
          <w:rFonts w:hint="eastAsia"/>
          <w:i/>
          <w:iCs/>
          <w:lang w:eastAsia="zh-CN"/>
        </w:rPr>
        <w:t>peg-344</w:t>
      </w:r>
      <w:r w:rsidRPr="0000511B">
        <w:rPr>
          <w:rFonts w:hint="eastAsia"/>
          <w:lang w:eastAsia="zh-CN"/>
        </w:rPr>
        <w:t>,</w:t>
      </w:r>
      <w:r w:rsidRPr="0000511B">
        <w:rPr>
          <w:rFonts w:hint="eastAsia"/>
          <w:i/>
          <w:iCs/>
          <w:lang w:eastAsia="zh-CN"/>
        </w:rPr>
        <w:t xml:space="preserve"> rmpA</w:t>
      </w:r>
      <w:r w:rsidRPr="0000511B">
        <w:rPr>
          <w:rFonts w:hint="eastAsia"/>
          <w:lang w:eastAsia="zh-CN"/>
        </w:rPr>
        <w:t xml:space="preserve">, </w:t>
      </w:r>
      <w:r w:rsidRPr="0000511B">
        <w:rPr>
          <w:lang w:eastAsia="zh-CN"/>
        </w:rPr>
        <w:t>and</w:t>
      </w:r>
      <w:r w:rsidRPr="0000511B">
        <w:rPr>
          <w:i/>
          <w:iCs/>
          <w:lang w:eastAsia="zh-CN"/>
        </w:rPr>
        <w:t xml:space="preserve"> rmpA2</w:t>
      </w:r>
      <w:r w:rsidRPr="0000511B">
        <w:rPr>
          <w:lang w:eastAsia="zh-CN"/>
        </w:rPr>
        <w:t xml:space="preserve">; N3232L for </w:t>
      </w:r>
      <w:r w:rsidRPr="0000511B">
        <w:rPr>
          <w:i/>
          <w:iCs/>
          <w:lang w:eastAsia="zh-CN"/>
        </w:rPr>
        <w:t>iucA</w:t>
      </w:r>
      <w:r w:rsidRPr="0000511B">
        <w:rPr>
          <w:lang w:eastAsia="zh-CN"/>
        </w:rPr>
        <w:t>; Thermo Fisher Scientific, USA). (E)</w:t>
      </w:r>
      <w:r w:rsidRPr="00AB48F2">
        <w:rPr>
          <w:lang w:eastAsia="zh-CN"/>
        </w:rPr>
        <w:t xml:space="preserve"> Antimicrobial resistance profiles of carbapenem-resistant (CRKP) and hypervirulent carbapenem-resistant </w:t>
      </w:r>
      <w:r w:rsidRPr="00AB48F2">
        <w:rPr>
          <w:i/>
          <w:iCs/>
          <w:lang w:eastAsia="zh-CN"/>
        </w:rPr>
        <w:t>K. pneumoniae</w:t>
      </w:r>
      <w:r w:rsidRPr="00AB48F2">
        <w:rPr>
          <w:lang w:eastAsia="zh-CN"/>
        </w:rPr>
        <w:t xml:space="preserve"> (hv-CRKP) isolates. Tested antimicrobial agents include amoxicillin–clavulanate (AMC), amikacin (AMK), aztreonam (ATM), ceftazidime (CAZ), cefoperazone–sulbactam (CSL), ceftriaxone (CRO), ceftazidime–avibactam (CZA), piperacillin–tazobactam (TZP), cefepime (FEP), imipenem (IPM), meropenem (MEM), ertapenem (ETP), levofloxacin (LVX), tigecycline (TGC), colistin (COL), trimethoprim–sulfamethoxazole (SXT), and cefuroxime (CXM). The colour key indicates susceptibility: blue = susceptible; orange = intermediate; red = resistant. Additional annotations denote clade, sequence type (ST), virulence category (CRKP or hv-CRKP), patient outcome (survival/death), Sequential Organ Failure Assessment (SOFA) score, Acute Physiology and Chronic Health Evaluation II (APACHE II) score, and Charlson Comorbidity Index (CCI).</w:t>
      </w:r>
    </w:p>
    <w:p w14:paraId="3F76774B" w14:textId="77777777" w:rsidR="00576870" w:rsidRDefault="00576870" w:rsidP="00576870">
      <w:pPr>
        <w:spacing w:line="480" w:lineRule="auto"/>
        <w:rPr>
          <w:rFonts w:cs="Times New Roman" w:hint="eastAsia"/>
          <w:color w:val="000000" w:themeColor="text1"/>
        </w:rPr>
      </w:pPr>
    </w:p>
    <w:p w14:paraId="3ECB3BD5" w14:textId="77777777" w:rsidR="00576870" w:rsidRPr="00AB48F2" w:rsidRDefault="00576870" w:rsidP="00576870">
      <w:pPr>
        <w:pStyle w:val="af0"/>
        <w:spacing w:line="480" w:lineRule="auto"/>
        <w:rPr>
          <w:lang w:eastAsia="zh-CN"/>
        </w:rPr>
      </w:pPr>
      <w:r>
        <w:rPr>
          <w:noProof/>
        </w:rPr>
        <w:lastRenderedPageBreak/>
        <w:drawing>
          <wp:inline distT="0" distB="0" distL="0" distR="0" wp14:anchorId="6A886AE1" wp14:editId="6BC6879C">
            <wp:extent cx="6207618" cy="4564380"/>
            <wp:effectExtent l="0" t="0" r="3175" b="7620"/>
            <wp:docPr id="1493838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3894" name="图片 6"/>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07618" cy="4564380"/>
                    </a:xfrm>
                    <a:prstGeom prst="rect">
                      <a:avLst/>
                    </a:prstGeom>
                    <a:noFill/>
                    <a:ln>
                      <a:noFill/>
                    </a:ln>
                  </pic:spPr>
                </pic:pic>
              </a:graphicData>
            </a:graphic>
          </wp:inline>
        </w:drawing>
      </w:r>
    </w:p>
    <w:p w14:paraId="15C32E14" w14:textId="77777777" w:rsidR="00576870" w:rsidRPr="00AB48F2" w:rsidRDefault="00576870" w:rsidP="00576870">
      <w:pPr>
        <w:pStyle w:val="af0"/>
        <w:spacing w:line="480" w:lineRule="auto"/>
        <w:rPr>
          <w:lang w:eastAsia="zh-CN"/>
        </w:rPr>
      </w:pPr>
      <w:bookmarkStart w:id="1" w:name="_Ref208908689"/>
      <w:bookmarkStart w:id="2" w:name="_Ref209463471"/>
      <w:r w:rsidRPr="00AB48F2">
        <w:rPr>
          <w:b/>
          <w:lang w:eastAsia="zh-CN"/>
        </w:rPr>
        <w:t xml:space="preserve">Supplementary Figure </w:t>
      </w:r>
      <w:r>
        <w:rPr>
          <w:rFonts w:hint="eastAsia"/>
          <w:b/>
          <w:lang w:eastAsia="zh-CN"/>
        </w:rPr>
        <w:t>2</w:t>
      </w:r>
      <w:r w:rsidRPr="00AB48F2">
        <w:rPr>
          <w:b/>
          <w:lang w:eastAsia="zh-CN"/>
        </w:rPr>
        <w:t>.</w:t>
      </w:r>
      <w:r w:rsidRPr="00AB48F2">
        <w:rPr>
          <w:lang w:eastAsia="zh-CN"/>
        </w:rPr>
        <w:t xml:space="preserve"> Prevalence of Antibiotic Resistance Genes in hv-CRKP and CRKP Strains. The sample sizes were 17 for hv-CRKP and 27 for CRKP strains. Positive samples indicate the number of samples harboring the gene. Dot size and color represent the percentage of positive samples, scaled from 0% (blue) to 100% (red).</w:t>
      </w:r>
      <w:bookmarkEnd w:id="1"/>
      <w:r w:rsidRPr="00AB48F2">
        <w:rPr>
          <w:lang w:eastAsia="zh-CN"/>
        </w:rPr>
        <w:t xml:space="preserve"> </w:t>
      </w:r>
      <w:bookmarkEnd w:id="2"/>
      <w:r w:rsidRPr="00AB48F2">
        <w:rPr>
          <w:lang w:eastAsia="zh-CN"/>
        </w:rPr>
        <w:t>Genes highlighted in blue indicate those significantly enriched in CRKP strains.</w:t>
      </w:r>
    </w:p>
    <w:p w14:paraId="7BCB649E" w14:textId="77777777" w:rsidR="00576870" w:rsidRPr="00AB48F2" w:rsidRDefault="00576870" w:rsidP="00576870">
      <w:pPr>
        <w:pStyle w:val="af0"/>
        <w:spacing w:line="480" w:lineRule="auto"/>
        <w:rPr>
          <w:lang w:eastAsia="zh-CN"/>
        </w:rPr>
      </w:pPr>
      <w:r>
        <w:rPr>
          <w:noProof/>
        </w:rPr>
        <w:lastRenderedPageBreak/>
        <w:drawing>
          <wp:inline distT="0" distB="0" distL="0" distR="0" wp14:anchorId="5BF5A11E" wp14:editId="690686B2">
            <wp:extent cx="6208304" cy="3192780"/>
            <wp:effectExtent l="0" t="0" r="2540" b="7620"/>
            <wp:docPr id="5157128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12845" name="图片 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208304" cy="3192780"/>
                    </a:xfrm>
                    <a:prstGeom prst="rect">
                      <a:avLst/>
                    </a:prstGeom>
                    <a:noFill/>
                    <a:ln>
                      <a:noFill/>
                    </a:ln>
                  </pic:spPr>
                </pic:pic>
              </a:graphicData>
            </a:graphic>
          </wp:inline>
        </w:drawing>
      </w:r>
    </w:p>
    <w:p w14:paraId="44DFF9CF" w14:textId="77777777" w:rsidR="00576870" w:rsidRPr="00AB48F2" w:rsidRDefault="00576870" w:rsidP="00576870">
      <w:pPr>
        <w:pStyle w:val="af0"/>
        <w:spacing w:line="480" w:lineRule="auto"/>
        <w:rPr>
          <w:lang w:eastAsia="zh-CN"/>
        </w:rPr>
      </w:pPr>
      <w:bookmarkStart w:id="3" w:name="_Ref208908691"/>
      <w:bookmarkStart w:id="4" w:name="_Ref209463474"/>
      <w:r w:rsidRPr="00AB48F2">
        <w:rPr>
          <w:b/>
          <w:lang w:eastAsia="zh-CN"/>
        </w:rPr>
        <w:t xml:space="preserve"> Supplementary Figure </w:t>
      </w:r>
      <w:r>
        <w:rPr>
          <w:rFonts w:hint="eastAsia"/>
          <w:b/>
          <w:lang w:eastAsia="zh-CN"/>
        </w:rPr>
        <w:t>3</w:t>
      </w:r>
      <w:r w:rsidRPr="00AB48F2">
        <w:rPr>
          <w:b/>
          <w:lang w:eastAsia="zh-CN"/>
        </w:rPr>
        <w:t>.</w:t>
      </w:r>
      <w:r w:rsidRPr="00AB48F2">
        <w:rPr>
          <w:lang w:eastAsia="zh-CN"/>
        </w:rPr>
        <w:t xml:space="preserve"> Prevalence of Virulence Genes in hv-CRKP and CRKP Strains. The sample sizes were 17 for hv-CRKP and 27 for CRKP strains. Positive samples indicate the number of samples harboring the gene. Dot size and color represent the percentage of positive samples, scaled from 0% (blue) to 100% (red).</w:t>
      </w:r>
      <w:bookmarkEnd w:id="3"/>
      <w:r w:rsidRPr="00AB48F2">
        <w:rPr>
          <w:lang w:eastAsia="zh-CN"/>
        </w:rPr>
        <w:t xml:space="preserve"> Genes highlighted in red are those significantly enriched for virulence in hv-CRKP isolates.</w:t>
      </w:r>
      <w:bookmarkEnd w:id="4"/>
    </w:p>
    <w:p w14:paraId="5F7F5024" w14:textId="77777777" w:rsidR="00576870" w:rsidRPr="00B7112E" w:rsidRDefault="00576870" w:rsidP="00576870">
      <w:pPr>
        <w:pStyle w:val="af5"/>
        <w:spacing w:line="480" w:lineRule="auto"/>
        <w:rPr>
          <w:b w:val="0"/>
          <w:bCs w:val="0"/>
          <w:color w:val="000000" w:themeColor="text1"/>
        </w:rPr>
      </w:pPr>
    </w:p>
    <w:p w14:paraId="32325C08" w14:textId="77777777" w:rsidR="00576870" w:rsidRDefault="00576870" w:rsidP="00576870">
      <w:pPr>
        <w:pStyle w:val="af5"/>
        <w:spacing w:line="480" w:lineRule="auto"/>
        <w:rPr>
          <w:color w:val="000000" w:themeColor="text1"/>
          <w:sz w:val="21"/>
          <w:szCs w:val="21"/>
          <w:lang w:eastAsia="zh-CN"/>
        </w:rPr>
      </w:pPr>
      <w:r>
        <w:rPr>
          <w:noProof/>
          <w:color w:val="000000" w:themeColor="text1"/>
          <w:sz w:val="21"/>
          <w:szCs w:val="21"/>
          <w:lang w:eastAsia="zh-CN"/>
        </w:rPr>
        <w:drawing>
          <wp:inline distT="0" distB="0" distL="0" distR="0" wp14:anchorId="309A2A2D" wp14:editId="1BB15965">
            <wp:extent cx="4463796" cy="7924800"/>
            <wp:effectExtent l="0" t="0" r="0" b="0"/>
            <wp:docPr id="212580250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02507" name="图片 6"/>
                    <pic:cNvPicPr/>
                  </pic:nvPicPr>
                  <pic:blipFill>
                    <a:blip r:embed="rId9">
                      <a:extLst>
                        <a:ext uri="{28A0092B-C50C-407E-A947-70E740481C1C}">
                          <a14:useLocalDpi xmlns:a14="http://schemas.microsoft.com/office/drawing/2010/main" val="0"/>
                        </a:ext>
                      </a:extLst>
                    </a:blip>
                    <a:stretch>
                      <a:fillRect/>
                    </a:stretch>
                  </pic:blipFill>
                  <pic:spPr>
                    <a:xfrm>
                      <a:off x="0" y="0"/>
                      <a:ext cx="4463796" cy="7924800"/>
                    </a:xfrm>
                    <a:prstGeom prst="rect">
                      <a:avLst/>
                    </a:prstGeom>
                  </pic:spPr>
                </pic:pic>
              </a:graphicData>
            </a:graphic>
          </wp:inline>
        </w:drawing>
      </w:r>
    </w:p>
    <w:p w14:paraId="51016869" w14:textId="77777777" w:rsidR="00576870" w:rsidRDefault="00576870" w:rsidP="00576870">
      <w:pPr>
        <w:pStyle w:val="af0"/>
        <w:spacing w:line="480" w:lineRule="auto"/>
        <w:ind w:firstLineChars="100" w:firstLine="240"/>
        <w:rPr>
          <w:lang w:eastAsia="zh-CN"/>
        </w:rPr>
      </w:pPr>
      <w:r w:rsidRPr="00043094">
        <w:rPr>
          <w:rFonts w:cs="Times New Roman"/>
          <w:b/>
          <w:bCs/>
          <w:szCs w:val="24"/>
          <w:lang w:eastAsia="zh-CN"/>
        </w:rPr>
        <w:lastRenderedPageBreak/>
        <w:t xml:space="preserve">Supplementary Figure </w:t>
      </w:r>
      <w:r>
        <w:rPr>
          <w:rFonts w:cs="Times New Roman" w:hint="eastAsia"/>
          <w:b/>
          <w:bCs/>
          <w:szCs w:val="24"/>
          <w:lang w:eastAsia="zh-CN"/>
        </w:rPr>
        <w:t>4</w:t>
      </w:r>
      <w:r w:rsidRPr="00C154DC">
        <w:rPr>
          <w:rFonts w:cs="Times New Roman" w:hint="eastAsia"/>
          <w:b/>
          <w:bCs/>
          <w:szCs w:val="24"/>
          <w:lang w:eastAsia="zh-CN"/>
        </w:rPr>
        <w:t xml:space="preserve">. </w:t>
      </w:r>
      <w:r>
        <w:rPr>
          <w:lang w:eastAsia="zh-CN"/>
        </w:rPr>
        <w:t xml:space="preserve">Comparative read-mapping coverage of the Scaffold_31 region among ST23 and ST11 </w:t>
      </w:r>
      <w:r w:rsidRPr="00043094">
        <w:rPr>
          <w:i/>
          <w:iCs/>
          <w:lang w:eastAsia="zh-CN"/>
        </w:rPr>
        <w:t>Klebsiella</w:t>
      </w:r>
      <w:r>
        <w:rPr>
          <w:lang w:eastAsia="zh-CN"/>
        </w:rPr>
        <w:t xml:space="preserve"> </w:t>
      </w:r>
      <w:r w:rsidRPr="00043094">
        <w:rPr>
          <w:i/>
          <w:iCs/>
          <w:lang w:eastAsia="zh-CN"/>
        </w:rPr>
        <w:t>pneumoniae</w:t>
      </w:r>
      <w:r>
        <w:rPr>
          <w:lang w:eastAsia="zh-CN"/>
        </w:rPr>
        <w:t xml:space="preserve"> isolates.</w:t>
      </w:r>
      <w:r>
        <w:rPr>
          <w:rFonts w:hint="eastAsia"/>
          <w:lang w:eastAsia="zh-CN"/>
        </w:rPr>
        <w:t xml:space="preserve"> </w:t>
      </w:r>
      <w:r>
        <w:rPr>
          <w:lang w:eastAsia="zh-CN"/>
        </w:rPr>
        <w:t>(A) Gene organization and sequencing coverage depth across Scaffold_31 in ST23 isolates. The upper panel shows the annotated gene structure within Scaffold_31, with gene orientation indicated by arrows. The lower panel displays sequencing read coverage dep</w:t>
      </w:r>
      <w:r>
        <w:rPr>
          <w:rFonts w:hint="eastAsia"/>
          <w:lang w:eastAsia="zh-CN"/>
        </w:rPr>
        <w:t xml:space="preserve">th following mapping of paired-end reads from ST23 isolates with an average whole-genome sequencing depth </w:t>
      </w:r>
      <w:r>
        <w:rPr>
          <w:rFonts w:hint="eastAsia"/>
          <w:lang w:eastAsia="zh-CN"/>
        </w:rPr>
        <w:t>≥</w:t>
      </w:r>
      <w:r>
        <w:rPr>
          <w:rFonts w:hint="eastAsia"/>
          <w:lang w:eastAsia="zh-CN"/>
        </w:rPr>
        <w:t>20</w:t>
      </w:r>
      <w:r>
        <w:rPr>
          <w:rFonts w:hint="eastAsia"/>
          <w:lang w:eastAsia="zh-CN"/>
        </w:rPr>
        <w:t>×</w:t>
      </w:r>
      <w:r>
        <w:rPr>
          <w:rFonts w:hint="eastAsia"/>
          <w:lang w:eastAsia="zh-CN"/>
        </w:rPr>
        <w:t xml:space="preserve"> to the Scaffold_31 reference. Each coloured line represents an individual isolate. The x-axis indicates genomic coordinates along Scaffold_31, an</w:t>
      </w:r>
      <w:r>
        <w:rPr>
          <w:lang w:eastAsia="zh-CN"/>
        </w:rPr>
        <w:t>d the y-axis indicates read coverage depth.</w:t>
      </w:r>
      <w:r>
        <w:rPr>
          <w:rFonts w:hint="eastAsia"/>
          <w:lang w:eastAsia="zh-CN"/>
        </w:rPr>
        <w:t xml:space="preserve"> </w:t>
      </w:r>
      <w:r>
        <w:rPr>
          <w:lang w:eastAsia="zh-CN"/>
        </w:rPr>
        <w:t>(B) Gene organization and sequencing coverage depth across Scaffold_31 in ST11 isolates. The upper panel shows the annotated gene structure of Scaffold_31, consistent with that shown in panel A. The lower panel depicts read coverage depth across Scaffold_3</w:t>
      </w:r>
      <w:r>
        <w:rPr>
          <w:rFonts w:hint="eastAsia"/>
          <w:lang w:eastAsia="zh-CN"/>
        </w:rPr>
        <w:t xml:space="preserve">1 after mapping paired-end reads from ST11 isolates with an average whole-genome sequencing depth </w:t>
      </w:r>
      <w:r>
        <w:rPr>
          <w:rFonts w:hint="eastAsia"/>
          <w:lang w:eastAsia="zh-CN"/>
        </w:rPr>
        <w:t>≥</w:t>
      </w:r>
      <w:r>
        <w:rPr>
          <w:rFonts w:hint="eastAsia"/>
          <w:lang w:eastAsia="zh-CN"/>
        </w:rPr>
        <w:t>20</w:t>
      </w:r>
      <w:r>
        <w:rPr>
          <w:rFonts w:hint="eastAsia"/>
          <w:lang w:eastAsia="zh-CN"/>
        </w:rPr>
        <w:t>×</w:t>
      </w:r>
      <w:r>
        <w:rPr>
          <w:rFonts w:hint="eastAsia"/>
          <w:lang w:eastAsia="zh-CN"/>
        </w:rPr>
        <w:t>. Individual isolates are represented by distinct coloured lines, illustrating variation in coverage patterns across the scaffold.</w:t>
      </w:r>
    </w:p>
    <w:p w14:paraId="3E0F6541" w14:textId="77777777" w:rsidR="00576870" w:rsidRPr="00603C8B" w:rsidRDefault="00576870" w:rsidP="00576870">
      <w:pPr>
        <w:pStyle w:val="af0"/>
        <w:spacing w:line="480" w:lineRule="auto"/>
        <w:rPr>
          <w:lang w:eastAsia="zh-CN"/>
        </w:rPr>
      </w:pPr>
    </w:p>
    <w:p w14:paraId="6FAC31AC" w14:textId="77777777" w:rsidR="00576870" w:rsidRPr="00AB48F2" w:rsidRDefault="00576870" w:rsidP="00576870">
      <w:pPr>
        <w:pStyle w:val="af0"/>
        <w:spacing w:line="480" w:lineRule="auto"/>
        <w:rPr>
          <w:lang w:eastAsia="zh-CN"/>
        </w:rPr>
      </w:pPr>
      <w:r>
        <w:rPr>
          <w:noProof/>
        </w:rPr>
        <w:lastRenderedPageBreak/>
        <w:drawing>
          <wp:inline distT="0" distB="0" distL="0" distR="0" wp14:anchorId="2687DAE0" wp14:editId="4B88C33B">
            <wp:extent cx="6208010" cy="5321300"/>
            <wp:effectExtent l="0" t="0" r="2540" b="0"/>
            <wp:docPr id="12168949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894928" name="图片 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208010" cy="5321300"/>
                    </a:xfrm>
                    <a:prstGeom prst="rect">
                      <a:avLst/>
                    </a:prstGeom>
                    <a:noFill/>
                    <a:ln>
                      <a:noFill/>
                    </a:ln>
                  </pic:spPr>
                </pic:pic>
              </a:graphicData>
            </a:graphic>
          </wp:inline>
        </w:drawing>
      </w:r>
    </w:p>
    <w:p w14:paraId="3BFA8321" w14:textId="77777777" w:rsidR="00576870" w:rsidRPr="00AB48F2" w:rsidRDefault="00576870" w:rsidP="00576870">
      <w:pPr>
        <w:pStyle w:val="af0"/>
        <w:spacing w:line="480" w:lineRule="auto"/>
        <w:rPr>
          <w:lang w:eastAsia="zh-CN"/>
        </w:rPr>
      </w:pPr>
      <w:r w:rsidRPr="00AB48F2">
        <w:rPr>
          <w:b/>
          <w:lang w:eastAsia="zh-CN"/>
        </w:rPr>
        <w:t xml:space="preserve">Supplementary Figure </w:t>
      </w:r>
      <w:r>
        <w:rPr>
          <w:rFonts w:hint="eastAsia"/>
          <w:b/>
          <w:lang w:eastAsia="zh-CN"/>
        </w:rPr>
        <w:t>5</w:t>
      </w:r>
      <w:r w:rsidRPr="00AB48F2">
        <w:rPr>
          <w:b/>
          <w:lang w:eastAsia="zh-CN"/>
        </w:rPr>
        <w:t xml:space="preserve">. </w:t>
      </w:r>
      <w:r w:rsidRPr="00AB48F2">
        <w:rPr>
          <w:lang w:eastAsia="zh-CN"/>
        </w:rPr>
        <w:t>Mutational Profiles of</w:t>
      </w:r>
      <w:r w:rsidRPr="00AB48F2">
        <w:rPr>
          <w:b/>
          <w:bCs/>
          <w:lang w:eastAsia="zh-CN"/>
        </w:rPr>
        <w:t> </w:t>
      </w:r>
      <w:r w:rsidRPr="00AB48F2">
        <w:rPr>
          <w:lang w:eastAsia="zh-CN"/>
        </w:rPr>
        <w:t>Virulence Genes across Sequence Types in </w:t>
      </w:r>
      <w:r w:rsidRPr="00AB48F2">
        <w:rPr>
          <w:i/>
          <w:iCs/>
          <w:lang w:eastAsia="zh-CN"/>
        </w:rPr>
        <w:t>K. pneumoniae</w:t>
      </w:r>
      <w:r w:rsidRPr="00AB48F2">
        <w:rPr>
          <w:lang w:eastAsia="zh-CN"/>
        </w:rPr>
        <w:t xml:space="preserve">. Genes highlighted in red indicate that the mutations are enriched in a large proportion of ST11 strains, while genes highlighted in blue indicate enrichment of mutation sites in non-ST11 strains. The “Multi-Types” designation indicates frameshift_variant, synonymous_variant, missense_variant, conservative_inframe_deletion, disruptive_inframe_deletion. The “Multi-class” indicates “Antimicrobial activity/Competitive advantage”. Clinical assessment scores including: Sequential Organ Failure Assessment (SOFA) score, Acute Physiology and Chronic Health Evaluation II (APACHE II) score, and Charlson Comorbidity Index </w:t>
      </w:r>
      <w:r w:rsidRPr="00AB48F2">
        <w:rPr>
          <w:lang w:eastAsia="zh-CN"/>
        </w:rPr>
        <w:lastRenderedPageBreak/>
        <w:t>(CCI). The "Summary of Mutation Types" presents the aggregated mutation data from all samples at the relevant genomic positions. The "Heatmap of Mutational Landscape" displays the mutation profile of each sample across the relevant genomic positions.</w:t>
      </w:r>
    </w:p>
    <w:p w14:paraId="14855558" w14:textId="77777777" w:rsidR="00576870" w:rsidRPr="00AB48F2" w:rsidRDefault="00576870" w:rsidP="00576870">
      <w:pPr>
        <w:pStyle w:val="af0"/>
        <w:spacing w:line="480" w:lineRule="auto"/>
        <w:rPr>
          <w:lang w:eastAsia="zh-CN"/>
        </w:rPr>
      </w:pPr>
    </w:p>
    <w:p w14:paraId="5A27C7F7" w14:textId="77777777" w:rsidR="00576870" w:rsidRPr="00AB48F2" w:rsidRDefault="00576870" w:rsidP="00576870">
      <w:pPr>
        <w:pStyle w:val="af0"/>
        <w:spacing w:line="480" w:lineRule="auto"/>
        <w:rPr>
          <w:lang w:eastAsia="zh-CN"/>
        </w:rPr>
      </w:pPr>
      <w:r>
        <w:rPr>
          <w:noProof/>
        </w:rPr>
        <w:lastRenderedPageBreak/>
        <w:drawing>
          <wp:inline distT="0" distB="0" distL="0" distR="0" wp14:anchorId="0DBB8355" wp14:editId="3F9EF9C4">
            <wp:extent cx="6201602" cy="8613140"/>
            <wp:effectExtent l="0" t="0" r="8890" b="0"/>
            <wp:docPr id="19075344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34468" name="图片 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201602" cy="8613140"/>
                    </a:xfrm>
                    <a:prstGeom prst="rect">
                      <a:avLst/>
                    </a:prstGeom>
                    <a:noFill/>
                    <a:ln>
                      <a:noFill/>
                    </a:ln>
                  </pic:spPr>
                </pic:pic>
              </a:graphicData>
            </a:graphic>
          </wp:inline>
        </w:drawing>
      </w:r>
    </w:p>
    <w:p w14:paraId="432F3502" w14:textId="77777777" w:rsidR="00576870" w:rsidRPr="00AB48F2" w:rsidRDefault="00576870" w:rsidP="00576870">
      <w:pPr>
        <w:pStyle w:val="af0"/>
        <w:spacing w:line="480" w:lineRule="auto"/>
        <w:rPr>
          <w:lang w:eastAsia="zh-CN"/>
        </w:rPr>
      </w:pPr>
      <w:r w:rsidRPr="00AB48F2">
        <w:rPr>
          <w:b/>
          <w:lang w:eastAsia="zh-CN"/>
        </w:rPr>
        <w:lastRenderedPageBreak/>
        <w:t xml:space="preserve">Supplementary Figure </w:t>
      </w:r>
      <w:r>
        <w:rPr>
          <w:rFonts w:hint="eastAsia"/>
          <w:b/>
          <w:lang w:eastAsia="zh-CN"/>
        </w:rPr>
        <w:t>6</w:t>
      </w:r>
      <w:r w:rsidRPr="00AB48F2">
        <w:rPr>
          <w:b/>
          <w:lang w:eastAsia="zh-CN"/>
        </w:rPr>
        <w:t xml:space="preserve">. </w:t>
      </w:r>
      <w:r w:rsidRPr="00AB48F2">
        <w:rPr>
          <w:lang w:eastAsia="zh-CN"/>
        </w:rPr>
        <w:t>Landscape of</w:t>
      </w:r>
      <w:r w:rsidRPr="00AB48F2">
        <w:rPr>
          <w:b/>
          <w:bCs/>
          <w:lang w:eastAsia="zh-CN"/>
        </w:rPr>
        <w:t> </w:t>
      </w:r>
      <w:r w:rsidRPr="00AB48F2">
        <w:rPr>
          <w:lang w:eastAsia="zh-CN"/>
        </w:rPr>
        <w:t>Virulence Genes across Sequence Types in </w:t>
      </w:r>
      <w:r w:rsidRPr="00AB48F2">
        <w:rPr>
          <w:i/>
          <w:iCs/>
          <w:lang w:eastAsia="zh-CN"/>
        </w:rPr>
        <w:t>K. pneumoniae</w:t>
      </w:r>
      <w:r w:rsidRPr="00AB48F2">
        <w:rPr>
          <w:lang w:eastAsia="zh-CN"/>
        </w:rPr>
        <w:t xml:space="preserve">. Clinical assessment scores including: Sequential Organ Failure Assessment (SOFA) score, Acute Physiology and Chronic Health Evaluation II (APACHE II) score, and Charlson Comorbidity Index (CCI). Genes highlighted in </w:t>
      </w:r>
      <w:r w:rsidRPr="00AB48F2">
        <w:rPr>
          <w:b/>
          <w:bCs/>
          <w:lang w:eastAsia="zh-CN"/>
        </w:rPr>
        <w:t>red</w:t>
      </w:r>
      <w:r w:rsidRPr="00AB48F2">
        <w:rPr>
          <w:lang w:eastAsia="zh-CN"/>
        </w:rPr>
        <w:t> indicate virulence genes that are present in ≥70% of ST11 isolates while being found in fewer than 5 isolates of non-ST11 strains. Genes highlighted in purple indicate those present in ST23 isolate and in fewer than 5 isolates of non-ST23 strains.</w:t>
      </w:r>
    </w:p>
    <w:p w14:paraId="0511653F" w14:textId="77777777" w:rsidR="00576870" w:rsidRPr="00AB48F2" w:rsidRDefault="00576870" w:rsidP="00576870">
      <w:pPr>
        <w:pStyle w:val="af0"/>
        <w:spacing w:line="480" w:lineRule="auto"/>
        <w:rPr>
          <w:lang w:eastAsia="zh-CN"/>
        </w:rPr>
      </w:pPr>
    </w:p>
    <w:p w14:paraId="0765DB5C" w14:textId="77777777" w:rsidR="00576870" w:rsidRPr="00AB48F2" w:rsidRDefault="00576870" w:rsidP="00576870">
      <w:pPr>
        <w:pStyle w:val="af0"/>
        <w:spacing w:line="480" w:lineRule="auto"/>
        <w:rPr>
          <w:lang w:eastAsia="zh-CN"/>
        </w:rPr>
      </w:pPr>
    </w:p>
    <w:p w14:paraId="699D181C" w14:textId="77777777" w:rsidR="00576870" w:rsidRPr="00AB48F2" w:rsidRDefault="00576870" w:rsidP="00576870">
      <w:pPr>
        <w:pStyle w:val="af0"/>
        <w:spacing w:line="480" w:lineRule="auto"/>
        <w:rPr>
          <w:lang w:eastAsia="zh-CN"/>
        </w:rPr>
      </w:pPr>
      <w:r>
        <w:rPr>
          <w:noProof/>
        </w:rPr>
        <w:lastRenderedPageBreak/>
        <w:drawing>
          <wp:inline distT="0" distB="0" distL="0" distR="0" wp14:anchorId="316CE2C3" wp14:editId="35D96515">
            <wp:extent cx="6208395" cy="5173662"/>
            <wp:effectExtent l="0" t="0" r="1905" b="8255"/>
            <wp:docPr id="13534962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96216" name="图片 1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208395" cy="5173662"/>
                    </a:xfrm>
                    <a:prstGeom prst="rect">
                      <a:avLst/>
                    </a:prstGeom>
                    <a:noFill/>
                    <a:ln>
                      <a:noFill/>
                    </a:ln>
                  </pic:spPr>
                </pic:pic>
              </a:graphicData>
            </a:graphic>
          </wp:inline>
        </w:drawing>
      </w:r>
    </w:p>
    <w:p w14:paraId="4AB2D325" w14:textId="77777777" w:rsidR="00576870" w:rsidRPr="00AB48F2" w:rsidRDefault="00576870" w:rsidP="00576870">
      <w:pPr>
        <w:pStyle w:val="af0"/>
        <w:spacing w:line="480" w:lineRule="auto"/>
        <w:rPr>
          <w:lang w:eastAsia="zh-CN"/>
        </w:rPr>
      </w:pPr>
      <w:r w:rsidRPr="00AB48F2">
        <w:rPr>
          <w:b/>
          <w:lang w:eastAsia="zh-CN"/>
        </w:rPr>
        <w:t xml:space="preserve">Supplementary Figure </w:t>
      </w:r>
      <w:r>
        <w:rPr>
          <w:rFonts w:hint="eastAsia"/>
          <w:b/>
          <w:lang w:eastAsia="zh-CN"/>
        </w:rPr>
        <w:t>7</w:t>
      </w:r>
      <w:r w:rsidRPr="00AB48F2">
        <w:rPr>
          <w:b/>
          <w:lang w:eastAsia="zh-CN"/>
        </w:rPr>
        <w:t xml:space="preserve">. </w:t>
      </w:r>
      <w:r w:rsidRPr="00AB48F2">
        <w:rPr>
          <w:lang w:eastAsia="zh-CN"/>
        </w:rPr>
        <w:t>Landscape of</w:t>
      </w:r>
      <w:r w:rsidRPr="00AB48F2">
        <w:rPr>
          <w:b/>
          <w:bCs/>
          <w:lang w:eastAsia="zh-CN"/>
        </w:rPr>
        <w:t> </w:t>
      </w:r>
      <w:r w:rsidRPr="00AB48F2">
        <w:rPr>
          <w:lang w:eastAsia="zh-CN"/>
        </w:rPr>
        <w:t>Antibiotic Resistance Genes across Sequence Types in </w:t>
      </w:r>
      <w:r w:rsidRPr="00AB48F2">
        <w:rPr>
          <w:i/>
          <w:iCs/>
          <w:lang w:eastAsia="zh-CN"/>
        </w:rPr>
        <w:t>K. pneumoniae</w:t>
      </w:r>
      <w:r w:rsidRPr="00AB48F2">
        <w:rPr>
          <w:lang w:eastAsia="zh-CN"/>
        </w:rPr>
        <w:t>. Clinical assessment scores including: Sequential Organ Failure Assessment (SOFA) score, Acute Physiology and Chronic Health Evaluation II (APACHE II) score, and Charlson Comorbidity Index (CCI). Genes highlighted in red indicate genes that are present in ≥70% of ST11 isolates while being found in fewer than 5 isolates of non-ST11 strains. Genes highlighted in blue denotes genes found in only one isolate.</w:t>
      </w:r>
    </w:p>
    <w:p w14:paraId="495B1EA3" w14:textId="77777777" w:rsidR="00576870" w:rsidRPr="00AB48F2" w:rsidRDefault="00576870" w:rsidP="00576870">
      <w:pPr>
        <w:pStyle w:val="af0"/>
        <w:spacing w:line="480" w:lineRule="auto"/>
        <w:rPr>
          <w:lang w:eastAsia="zh-CN"/>
        </w:rPr>
      </w:pPr>
    </w:p>
    <w:p w14:paraId="47B33825" w14:textId="77777777" w:rsidR="00576870" w:rsidRPr="00AB48F2" w:rsidRDefault="00576870" w:rsidP="00576870">
      <w:pPr>
        <w:pStyle w:val="af0"/>
        <w:spacing w:line="480" w:lineRule="auto"/>
        <w:rPr>
          <w:lang w:eastAsia="zh-CN"/>
        </w:rPr>
      </w:pPr>
    </w:p>
    <w:p w14:paraId="474B3151" w14:textId="77777777" w:rsidR="00D0633F" w:rsidRPr="00576870" w:rsidRDefault="00D0633F" w:rsidP="00D0633F">
      <w:pPr>
        <w:spacing w:line="480" w:lineRule="auto"/>
        <w:rPr>
          <w:rFonts w:cs="Times New Roman" w:hint="eastAsia"/>
          <w:color w:val="000000" w:themeColor="text1"/>
        </w:rPr>
      </w:pPr>
    </w:p>
    <w:p w14:paraId="2AAFCF96" w14:textId="77777777" w:rsidR="00D0633F" w:rsidRPr="008D0B67" w:rsidRDefault="00D0633F" w:rsidP="00D0633F">
      <w:pPr>
        <w:pStyle w:val="af0"/>
        <w:spacing w:line="480" w:lineRule="auto"/>
        <w:rPr>
          <w:lang w:eastAsia="zh-CN"/>
        </w:rPr>
      </w:pPr>
      <w:r w:rsidRPr="0083626F">
        <w:rPr>
          <w:b/>
          <w:bCs/>
          <w:lang w:eastAsia="zh-CN"/>
        </w:rPr>
        <w:t xml:space="preserve">Supplementary Table 1. </w:t>
      </w:r>
      <w:r w:rsidRPr="0083626F">
        <w:rPr>
          <w:lang w:eastAsia="zh-CN"/>
        </w:rPr>
        <w:t>Publicly Available ST23 and ST11 Klebsiella pneumoniae Genomes Used for SSF Comparative Mapping Analysis</w:t>
      </w:r>
      <w:r>
        <w:rPr>
          <w:rFonts w:hint="eastAsia"/>
          <w:lang w:eastAsia="zh-CN"/>
        </w:rPr>
        <w:t xml:space="preserve">. </w:t>
      </w:r>
      <w:r w:rsidRPr="008D0B67">
        <w:rPr>
          <w:b/>
          <w:bCs/>
          <w:lang w:eastAsia="zh-CN"/>
        </w:rPr>
        <w:t xml:space="preserve">Supplementary Table </w:t>
      </w:r>
      <w:r>
        <w:rPr>
          <w:rFonts w:hint="eastAsia"/>
          <w:b/>
          <w:bCs/>
          <w:lang w:eastAsia="zh-CN"/>
        </w:rPr>
        <w:t>2</w:t>
      </w:r>
      <w:r w:rsidRPr="008D0B67">
        <w:rPr>
          <w:b/>
          <w:bCs/>
          <w:lang w:eastAsia="zh-CN"/>
        </w:rPr>
        <w:t xml:space="preserve">. </w:t>
      </w:r>
      <w:r w:rsidRPr="000B3520">
        <w:rPr>
          <w:lang w:eastAsia="zh-CN"/>
        </w:rPr>
        <w:t>Virulence profiles</w:t>
      </w:r>
      <w:r w:rsidRPr="008D0B67">
        <w:rPr>
          <w:lang w:eastAsia="zh-CN"/>
        </w:rPr>
        <w:t xml:space="preserve"> of hv-CRKP and CRKP among 44 </w:t>
      </w:r>
      <w:r w:rsidRPr="008D0B67">
        <w:rPr>
          <w:i/>
          <w:iCs/>
          <w:lang w:eastAsia="zh-CN"/>
        </w:rPr>
        <w:t>Klebsiella pneumoniae</w:t>
      </w:r>
      <w:r w:rsidRPr="008D0B67">
        <w:rPr>
          <w:lang w:eastAsia="zh-CN"/>
        </w:rPr>
        <w:t xml:space="preserve"> Isolates</w:t>
      </w:r>
      <w:r w:rsidRPr="008D0B67">
        <w:rPr>
          <w:rFonts w:hint="eastAsia"/>
          <w:lang w:eastAsia="zh-CN"/>
        </w:rPr>
        <w:t xml:space="preserve">. </w:t>
      </w:r>
      <w:r w:rsidRPr="008D0B67">
        <w:rPr>
          <w:b/>
          <w:bCs/>
          <w:lang w:eastAsia="zh-CN"/>
        </w:rPr>
        <w:t xml:space="preserve">Supplementary Table </w:t>
      </w:r>
      <w:r>
        <w:rPr>
          <w:rFonts w:hint="eastAsia"/>
          <w:b/>
          <w:bCs/>
          <w:lang w:eastAsia="zh-CN"/>
        </w:rPr>
        <w:t>3</w:t>
      </w:r>
      <w:r w:rsidRPr="008D0B67">
        <w:rPr>
          <w:b/>
          <w:bCs/>
          <w:lang w:eastAsia="zh-CN"/>
        </w:rPr>
        <w:t>.</w:t>
      </w:r>
      <w:r w:rsidRPr="008D0B67">
        <w:rPr>
          <w:lang w:eastAsia="zh-CN"/>
        </w:rPr>
        <w:t xml:space="preserve"> Clinical Characteristics of the 44 Patients</w:t>
      </w:r>
      <w:r w:rsidRPr="008D0B67">
        <w:rPr>
          <w:rFonts w:hint="eastAsia"/>
          <w:lang w:eastAsia="zh-CN"/>
        </w:rPr>
        <w:t xml:space="preserve">. </w:t>
      </w:r>
      <w:r w:rsidRPr="008D0B67">
        <w:rPr>
          <w:b/>
          <w:bCs/>
          <w:lang w:eastAsia="zh-CN"/>
        </w:rPr>
        <w:t xml:space="preserve">Supplementary Table </w:t>
      </w:r>
      <w:r>
        <w:rPr>
          <w:rFonts w:hint="eastAsia"/>
          <w:b/>
          <w:bCs/>
          <w:lang w:eastAsia="zh-CN"/>
        </w:rPr>
        <w:t>4</w:t>
      </w:r>
      <w:r w:rsidRPr="008D0B67">
        <w:rPr>
          <w:b/>
          <w:bCs/>
          <w:lang w:eastAsia="zh-CN"/>
        </w:rPr>
        <w:t>.</w:t>
      </w:r>
      <w:r w:rsidRPr="008D0B67">
        <w:rPr>
          <w:lang w:eastAsia="zh-CN"/>
        </w:rPr>
        <w:t xml:space="preserve"> Lineage-specific Virulence Genes in ST11-hv-CRKP Isolates</w:t>
      </w:r>
      <w:r w:rsidRPr="008D0B67">
        <w:rPr>
          <w:rFonts w:hint="eastAsia"/>
          <w:lang w:eastAsia="zh-CN"/>
        </w:rPr>
        <w:t xml:space="preserve">. </w:t>
      </w:r>
      <w:r w:rsidRPr="008D0B67">
        <w:rPr>
          <w:b/>
          <w:bCs/>
          <w:lang w:eastAsia="zh-CN"/>
        </w:rPr>
        <w:t xml:space="preserve">Supplementary Table </w:t>
      </w:r>
      <w:r>
        <w:rPr>
          <w:rFonts w:hint="eastAsia"/>
          <w:b/>
          <w:bCs/>
          <w:lang w:eastAsia="zh-CN"/>
        </w:rPr>
        <w:t>5</w:t>
      </w:r>
      <w:r w:rsidRPr="008D0B67">
        <w:rPr>
          <w:b/>
          <w:bCs/>
          <w:lang w:eastAsia="zh-CN"/>
        </w:rPr>
        <w:t xml:space="preserve">. </w:t>
      </w:r>
      <w:r w:rsidRPr="008D0B67">
        <w:rPr>
          <w:lang w:eastAsia="zh-CN"/>
        </w:rPr>
        <w:t>Lineage-specific Genes Underlying the Four-Patient Mortality-Associated Subclade in Clade 2.subC</w:t>
      </w:r>
      <w:r w:rsidRPr="008D0B67">
        <w:rPr>
          <w:rFonts w:hint="eastAsia"/>
          <w:lang w:eastAsia="zh-CN"/>
        </w:rPr>
        <w:t xml:space="preserve">. </w:t>
      </w:r>
      <w:r w:rsidRPr="008D0B67">
        <w:rPr>
          <w:b/>
          <w:bCs/>
          <w:lang w:eastAsia="zh-CN"/>
        </w:rPr>
        <w:t xml:space="preserve">Supplementary Table </w:t>
      </w:r>
      <w:r>
        <w:rPr>
          <w:rFonts w:hint="eastAsia"/>
          <w:b/>
          <w:bCs/>
          <w:lang w:eastAsia="zh-CN"/>
        </w:rPr>
        <w:t>6</w:t>
      </w:r>
      <w:r w:rsidRPr="008D0B67">
        <w:rPr>
          <w:b/>
          <w:bCs/>
          <w:lang w:eastAsia="zh-CN"/>
        </w:rPr>
        <w:t xml:space="preserve">. </w:t>
      </w:r>
      <w:r w:rsidRPr="008D0B67">
        <w:rPr>
          <w:lang w:eastAsia="zh-CN"/>
        </w:rPr>
        <w:t>Lineage-specific Nonsynonymous SNPs and Associated Genes in ST11-hv-CRKP</w:t>
      </w:r>
      <w:r w:rsidRPr="008D0B67">
        <w:rPr>
          <w:rFonts w:hint="eastAsia"/>
          <w:lang w:eastAsia="zh-CN"/>
        </w:rPr>
        <w:t xml:space="preserve">. </w:t>
      </w:r>
      <w:r w:rsidRPr="008D0B67">
        <w:rPr>
          <w:rFonts w:hint="eastAsia"/>
          <w:b/>
          <w:bCs/>
          <w:lang w:eastAsia="zh-CN"/>
        </w:rPr>
        <w:t xml:space="preserve">Supplementary Table </w:t>
      </w:r>
      <w:r>
        <w:rPr>
          <w:rFonts w:hint="eastAsia"/>
          <w:b/>
          <w:bCs/>
          <w:lang w:eastAsia="zh-CN"/>
        </w:rPr>
        <w:t>7</w:t>
      </w:r>
      <w:r w:rsidRPr="008D0B67">
        <w:rPr>
          <w:rFonts w:hint="eastAsia"/>
          <w:lang w:eastAsia="zh-CN"/>
        </w:rPr>
        <w:t xml:space="preserve">. Characterization of SNPs in virulence genes across </w:t>
      </w:r>
      <w:r w:rsidRPr="008D0B67">
        <w:rPr>
          <w:rFonts w:hint="eastAsia"/>
          <w:i/>
          <w:iCs/>
          <w:lang w:eastAsia="zh-CN"/>
        </w:rPr>
        <w:t>K. pneumoniae</w:t>
      </w:r>
      <w:r w:rsidRPr="008D0B67">
        <w:rPr>
          <w:rFonts w:hint="eastAsia"/>
          <w:lang w:eastAsia="zh-CN"/>
        </w:rPr>
        <w:t xml:space="preserve"> sequence types.</w:t>
      </w:r>
      <w:r w:rsidRPr="008D0B67">
        <w:rPr>
          <w:rFonts w:hint="eastAsia"/>
          <w:b/>
          <w:bCs/>
          <w:lang w:eastAsia="zh-CN"/>
        </w:rPr>
        <w:t xml:space="preserve"> Supplementary Table </w:t>
      </w:r>
      <w:r>
        <w:rPr>
          <w:rFonts w:hint="eastAsia"/>
          <w:b/>
          <w:bCs/>
          <w:lang w:eastAsia="zh-CN"/>
        </w:rPr>
        <w:t>8</w:t>
      </w:r>
      <w:r w:rsidRPr="008D0B67">
        <w:rPr>
          <w:rFonts w:hint="eastAsia"/>
          <w:lang w:eastAsia="zh-CN"/>
        </w:rPr>
        <w:t xml:space="preserve">. Virulence Gene Profiles across Sequence Types of </w:t>
      </w:r>
      <w:r w:rsidRPr="008D0B67">
        <w:rPr>
          <w:rFonts w:hint="eastAsia"/>
          <w:i/>
          <w:iCs/>
          <w:lang w:eastAsia="zh-CN"/>
        </w:rPr>
        <w:t xml:space="preserve">K. pneumoniae. </w:t>
      </w:r>
      <w:r w:rsidRPr="008D0B67">
        <w:rPr>
          <w:rFonts w:hint="eastAsia"/>
          <w:b/>
          <w:bCs/>
          <w:lang w:eastAsia="zh-CN"/>
        </w:rPr>
        <w:t xml:space="preserve">Supplementary Table </w:t>
      </w:r>
      <w:r>
        <w:rPr>
          <w:rFonts w:hint="eastAsia"/>
          <w:b/>
          <w:bCs/>
          <w:lang w:eastAsia="zh-CN"/>
        </w:rPr>
        <w:t>9</w:t>
      </w:r>
      <w:r w:rsidRPr="008D0B67">
        <w:rPr>
          <w:rFonts w:hint="eastAsia"/>
          <w:b/>
          <w:bCs/>
          <w:lang w:eastAsia="zh-CN"/>
        </w:rPr>
        <w:t>.</w:t>
      </w:r>
      <w:r w:rsidRPr="008D0B67">
        <w:rPr>
          <w:rFonts w:hint="eastAsia"/>
          <w:lang w:eastAsia="zh-CN"/>
        </w:rPr>
        <w:t xml:space="preserve"> Antibiotic Resistance Gene Profiles across Sequence Types of </w:t>
      </w:r>
      <w:r w:rsidRPr="008D0B67">
        <w:rPr>
          <w:rFonts w:hint="eastAsia"/>
          <w:i/>
          <w:iCs/>
          <w:lang w:eastAsia="zh-CN"/>
        </w:rPr>
        <w:t>K. pneumoniae</w:t>
      </w:r>
      <w:r w:rsidRPr="008D0B67">
        <w:rPr>
          <w:rFonts w:hint="eastAsia"/>
          <w:lang w:eastAsia="zh-CN"/>
        </w:rPr>
        <w:t>.</w:t>
      </w:r>
    </w:p>
    <w:p w14:paraId="35BB7B32" w14:textId="77777777" w:rsidR="00D0633F" w:rsidRPr="00C154DC" w:rsidRDefault="00D0633F" w:rsidP="00D0633F">
      <w:pPr>
        <w:spacing w:line="480" w:lineRule="auto"/>
        <w:rPr>
          <w:rFonts w:cs="Times New Roman" w:hint="eastAsia"/>
          <w:color w:val="000000" w:themeColor="text1"/>
        </w:rPr>
      </w:pPr>
    </w:p>
    <w:p w14:paraId="7471EE80" w14:textId="77777777" w:rsidR="00D0633F" w:rsidRDefault="00D0633F" w:rsidP="00D0633F">
      <w:pPr>
        <w:spacing w:line="480" w:lineRule="auto"/>
        <w:rPr>
          <w:rFonts w:cs="Times New Roman" w:hint="eastAsia"/>
          <w:color w:val="000000" w:themeColor="text1"/>
        </w:rPr>
      </w:pPr>
    </w:p>
    <w:p w14:paraId="51D78D53" w14:textId="77777777" w:rsidR="00D0633F" w:rsidRDefault="00D0633F" w:rsidP="00D0633F">
      <w:pPr>
        <w:spacing w:line="480" w:lineRule="auto"/>
        <w:rPr>
          <w:rFonts w:cs="Times New Roman" w:hint="eastAsia"/>
          <w:color w:val="000000" w:themeColor="text1"/>
        </w:rPr>
      </w:pPr>
    </w:p>
    <w:p w14:paraId="5555877C" w14:textId="77777777" w:rsidR="00D0633F" w:rsidRDefault="00D0633F" w:rsidP="00D0633F">
      <w:pPr>
        <w:spacing w:line="480" w:lineRule="auto"/>
        <w:rPr>
          <w:rFonts w:cs="Times New Roman" w:hint="eastAsia"/>
          <w:color w:val="000000" w:themeColor="text1"/>
        </w:rPr>
      </w:pPr>
    </w:p>
    <w:p w14:paraId="6FD22DA4" w14:textId="77777777" w:rsidR="00D0633F" w:rsidRPr="00D0633F" w:rsidRDefault="00D0633F">
      <w:pPr>
        <w:rPr>
          <w:rFonts w:ascii="Times New Roman" w:hAnsi="Times New Roman" w:cs="Times New Roman"/>
        </w:rPr>
      </w:pPr>
    </w:p>
    <w:sectPr w:rsidR="00D0633F" w:rsidRPr="00D063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75256" w14:textId="77777777" w:rsidR="001853DD" w:rsidRDefault="001853DD" w:rsidP="00576870">
      <w:pPr>
        <w:spacing w:after="0" w:line="240" w:lineRule="auto"/>
        <w:rPr>
          <w:rFonts w:hint="eastAsia"/>
        </w:rPr>
      </w:pPr>
      <w:r>
        <w:separator/>
      </w:r>
    </w:p>
  </w:endnote>
  <w:endnote w:type="continuationSeparator" w:id="0">
    <w:p w14:paraId="321FA81F" w14:textId="77777777" w:rsidR="001853DD" w:rsidRDefault="001853DD" w:rsidP="0057687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2D67" w14:textId="77777777" w:rsidR="001853DD" w:rsidRDefault="001853DD" w:rsidP="00576870">
      <w:pPr>
        <w:spacing w:after="0" w:line="240" w:lineRule="auto"/>
        <w:rPr>
          <w:rFonts w:hint="eastAsia"/>
        </w:rPr>
      </w:pPr>
      <w:r>
        <w:separator/>
      </w:r>
    </w:p>
  </w:footnote>
  <w:footnote w:type="continuationSeparator" w:id="0">
    <w:p w14:paraId="0EAAE595" w14:textId="77777777" w:rsidR="001853DD" w:rsidRDefault="001853DD" w:rsidP="00576870">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3F"/>
    <w:rsid w:val="001853DD"/>
    <w:rsid w:val="00211A34"/>
    <w:rsid w:val="002259A1"/>
    <w:rsid w:val="00263C35"/>
    <w:rsid w:val="003413BE"/>
    <w:rsid w:val="00576870"/>
    <w:rsid w:val="006B4502"/>
    <w:rsid w:val="00703CEC"/>
    <w:rsid w:val="00842C7A"/>
    <w:rsid w:val="00A6370D"/>
    <w:rsid w:val="00AE184A"/>
    <w:rsid w:val="00C006D3"/>
    <w:rsid w:val="00D0633F"/>
    <w:rsid w:val="00D46818"/>
    <w:rsid w:val="00DF16CA"/>
    <w:rsid w:val="00F82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0FF2A"/>
  <w14:defaultImageDpi w14:val="32767"/>
  <w15:chartTrackingRefBased/>
  <w15:docId w15:val="{46DA7EA4-E1D5-4891-896A-19D65D07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0633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0633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0633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0633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0633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0633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0633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0633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0633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0633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0633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0633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0633F"/>
    <w:rPr>
      <w:rFonts w:cstheme="majorBidi"/>
      <w:color w:val="2F5496" w:themeColor="accent1" w:themeShade="BF"/>
      <w:sz w:val="28"/>
      <w:szCs w:val="28"/>
    </w:rPr>
  </w:style>
  <w:style w:type="character" w:customStyle="1" w:styleId="50">
    <w:name w:val="标题 5 字符"/>
    <w:basedOn w:val="a0"/>
    <w:link w:val="5"/>
    <w:uiPriority w:val="9"/>
    <w:semiHidden/>
    <w:rsid w:val="00D0633F"/>
    <w:rPr>
      <w:rFonts w:cstheme="majorBidi"/>
      <w:color w:val="2F5496" w:themeColor="accent1" w:themeShade="BF"/>
      <w:sz w:val="24"/>
    </w:rPr>
  </w:style>
  <w:style w:type="character" w:customStyle="1" w:styleId="60">
    <w:name w:val="标题 6 字符"/>
    <w:basedOn w:val="a0"/>
    <w:link w:val="6"/>
    <w:uiPriority w:val="9"/>
    <w:semiHidden/>
    <w:rsid w:val="00D0633F"/>
    <w:rPr>
      <w:rFonts w:cstheme="majorBidi"/>
      <w:b/>
      <w:bCs/>
      <w:color w:val="2F5496" w:themeColor="accent1" w:themeShade="BF"/>
    </w:rPr>
  </w:style>
  <w:style w:type="character" w:customStyle="1" w:styleId="70">
    <w:name w:val="标题 7 字符"/>
    <w:basedOn w:val="a0"/>
    <w:link w:val="7"/>
    <w:uiPriority w:val="9"/>
    <w:semiHidden/>
    <w:rsid w:val="00D0633F"/>
    <w:rPr>
      <w:rFonts w:cstheme="majorBidi"/>
      <w:b/>
      <w:bCs/>
      <w:color w:val="595959" w:themeColor="text1" w:themeTint="A6"/>
    </w:rPr>
  </w:style>
  <w:style w:type="character" w:customStyle="1" w:styleId="80">
    <w:name w:val="标题 8 字符"/>
    <w:basedOn w:val="a0"/>
    <w:link w:val="8"/>
    <w:uiPriority w:val="9"/>
    <w:semiHidden/>
    <w:rsid w:val="00D0633F"/>
    <w:rPr>
      <w:rFonts w:cstheme="majorBidi"/>
      <w:color w:val="595959" w:themeColor="text1" w:themeTint="A6"/>
    </w:rPr>
  </w:style>
  <w:style w:type="character" w:customStyle="1" w:styleId="90">
    <w:name w:val="标题 9 字符"/>
    <w:basedOn w:val="a0"/>
    <w:link w:val="9"/>
    <w:uiPriority w:val="9"/>
    <w:semiHidden/>
    <w:rsid w:val="00D0633F"/>
    <w:rPr>
      <w:rFonts w:eastAsiaTheme="majorEastAsia" w:cstheme="majorBidi"/>
      <w:color w:val="595959" w:themeColor="text1" w:themeTint="A6"/>
    </w:rPr>
  </w:style>
  <w:style w:type="paragraph" w:styleId="a3">
    <w:name w:val="Title"/>
    <w:basedOn w:val="a"/>
    <w:next w:val="a"/>
    <w:link w:val="a4"/>
    <w:uiPriority w:val="10"/>
    <w:qFormat/>
    <w:rsid w:val="00D063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063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63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063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633F"/>
    <w:pPr>
      <w:spacing w:before="160"/>
      <w:jc w:val="center"/>
    </w:pPr>
    <w:rPr>
      <w:i/>
      <w:iCs/>
      <w:color w:val="404040" w:themeColor="text1" w:themeTint="BF"/>
    </w:rPr>
  </w:style>
  <w:style w:type="character" w:customStyle="1" w:styleId="a8">
    <w:name w:val="引用 字符"/>
    <w:basedOn w:val="a0"/>
    <w:link w:val="a7"/>
    <w:uiPriority w:val="29"/>
    <w:rsid w:val="00D0633F"/>
    <w:rPr>
      <w:i/>
      <w:iCs/>
      <w:color w:val="404040" w:themeColor="text1" w:themeTint="BF"/>
    </w:rPr>
  </w:style>
  <w:style w:type="paragraph" w:styleId="a9">
    <w:name w:val="List Paragraph"/>
    <w:basedOn w:val="a"/>
    <w:uiPriority w:val="34"/>
    <w:qFormat/>
    <w:rsid w:val="00D0633F"/>
    <w:pPr>
      <w:ind w:left="720"/>
      <w:contextualSpacing/>
    </w:pPr>
  </w:style>
  <w:style w:type="character" w:styleId="aa">
    <w:name w:val="Intense Emphasis"/>
    <w:basedOn w:val="a0"/>
    <w:uiPriority w:val="21"/>
    <w:qFormat/>
    <w:rsid w:val="00D0633F"/>
    <w:rPr>
      <w:i/>
      <w:iCs/>
      <w:color w:val="2F5496" w:themeColor="accent1" w:themeShade="BF"/>
    </w:rPr>
  </w:style>
  <w:style w:type="paragraph" w:styleId="ab">
    <w:name w:val="Intense Quote"/>
    <w:basedOn w:val="a"/>
    <w:next w:val="a"/>
    <w:link w:val="ac"/>
    <w:uiPriority w:val="30"/>
    <w:qFormat/>
    <w:rsid w:val="00D06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0633F"/>
    <w:rPr>
      <w:i/>
      <w:iCs/>
      <w:color w:val="2F5496" w:themeColor="accent1" w:themeShade="BF"/>
    </w:rPr>
  </w:style>
  <w:style w:type="character" w:styleId="ad">
    <w:name w:val="Intense Reference"/>
    <w:basedOn w:val="a0"/>
    <w:uiPriority w:val="32"/>
    <w:qFormat/>
    <w:rsid w:val="00D0633F"/>
    <w:rPr>
      <w:b/>
      <w:bCs/>
      <w:smallCaps/>
      <w:color w:val="2F5496" w:themeColor="accent1" w:themeShade="BF"/>
      <w:spacing w:val="5"/>
    </w:rPr>
  </w:style>
  <w:style w:type="character" w:styleId="ae">
    <w:name w:val="Hyperlink"/>
    <w:basedOn w:val="a0"/>
    <w:uiPriority w:val="99"/>
    <w:unhideWhenUsed/>
    <w:rsid w:val="00D0633F"/>
    <w:rPr>
      <w:color w:val="0563C1" w:themeColor="hyperlink"/>
      <w:u w:val="single"/>
    </w:rPr>
  </w:style>
  <w:style w:type="character" w:styleId="af">
    <w:name w:val="Unresolved Mention"/>
    <w:basedOn w:val="a0"/>
    <w:uiPriority w:val="99"/>
    <w:semiHidden/>
    <w:unhideWhenUsed/>
    <w:rsid w:val="00D0633F"/>
    <w:rPr>
      <w:color w:val="605E5C"/>
      <w:shd w:val="clear" w:color="auto" w:fill="E1DFDD"/>
    </w:rPr>
  </w:style>
  <w:style w:type="paragraph" w:styleId="af0">
    <w:name w:val="No Spacing"/>
    <w:uiPriority w:val="99"/>
    <w:unhideWhenUsed/>
    <w:qFormat/>
    <w:rsid w:val="00D0633F"/>
    <w:pPr>
      <w:spacing w:after="0" w:line="240" w:lineRule="auto"/>
    </w:pPr>
    <w:rPr>
      <w:rFonts w:ascii="Times New Roman" w:hAnsi="Times New Roman"/>
      <w:kern w:val="0"/>
      <w:sz w:val="24"/>
      <w:szCs w:val="22"/>
      <w:lang w:eastAsia="en-US"/>
      <w14:ligatures w14:val="none"/>
    </w:rPr>
  </w:style>
  <w:style w:type="paragraph" w:styleId="af1">
    <w:name w:val="header"/>
    <w:basedOn w:val="a"/>
    <w:link w:val="af2"/>
    <w:uiPriority w:val="99"/>
    <w:unhideWhenUsed/>
    <w:rsid w:val="00576870"/>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576870"/>
    <w:rPr>
      <w:sz w:val="18"/>
      <w:szCs w:val="18"/>
    </w:rPr>
  </w:style>
  <w:style w:type="paragraph" w:styleId="af3">
    <w:name w:val="footer"/>
    <w:basedOn w:val="a"/>
    <w:link w:val="af4"/>
    <w:uiPriority w:val="99"/>
    <w:unhideWhenUsed/>
    <w:rsid w:val="00576870"/>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576870"/>
    <w:rPr>
      <w:sz w:val="18"/>
      <w:szCs w:val="18"/>
    </w:rPr>
  </w:style>
  <w:style w:type="paragraph" w:styleId="af5">
    <w:name w:val="caption"/>
    <w:basedOn w:val="a"/>
    <w:next w:val="af0"/>
    <w:uiPriority w:val="35"/>
    <w:unhideWhenUsed/>
    <w:qFormat/>
    <w:rsid w:val="00576870"/>
    <w:pPr>
      <w:keepNext/>
      <w:widowControl/>
      <w:spacing w:before="120" w:after="240" w:line="240" w:lineRule="auto"/>
    </w:pPr>
    <w:rPr>
      <w:rFonts w:ascii="Times New Roman" w:hAnsi="Times New Roman" w:cs="Times New Roman"/>
      <w:b/>
      <w:bCs/>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单 高</dc:creator>
  <cp:keywords/>
  <dc:description/>
  <cp:lastModifiedBy>单 高</cp:lastModifiedBy>
  <cp:revision>5</cp:revision>
  <dcterms:created xsi:type="dcterms:W3CDTF">2026-01-11T17:42:00Z</dcterms:created>
  <dcterms:modified xsi:type="dcterms:W3CDTF">2026-02-06T10:15:00Z</dcterms:modified>
</cp:coreProperties>
</file>