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4F7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Supplementary data</w:t>
      </w:r>
    </w:p>
    <w:bookmarkEnd w:id="0"/>
    <w:p w14:paraId="0F106F1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B7D271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270500" cy="2582545"/>
            <wp:effectExtent l="0" t="0" r="0" b="8255"/>
            <wp:docPr id="2" name="图片 2" descr="图S1A-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S1A-A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5F3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Figure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: BBR demonstrated notable neuroprotective benefits within the SH-SY5Y culture simulate caused by OGD/R. (A) Result from the CCK-8 assay demonstrating how BBR affects SH-SY5Y cells' capacity to survive at various doses in the normal group. (B) The findings of the CCK-8 assay demonstrating the cell survival of several SH-SY5Y cell groups using the chosen BBR testing circumstances. (C) LDH release from different groups of SH-SY5Y cells after BBR treatment. (D) Features about SH-SY5Y cells' morphology as seen via a microscope using a 100 μm scale bar.compared with C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ontrol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group ####p&lt;0.0001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compared with OGD/R group, *p&lt;0.05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****p&lt;0.0001.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ns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represents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&gt; 0.05.</w:t>
      </w:r>
    </w:p>
    <w:p w14:paraId="59B8E8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431F"/>
    <w:rsid w:val="279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2025-09-22T14:05:00Z</dcterms:created>
  <dc:creator>早睡早起身体好</dc:creator>
  <cp:lastModifiedBy>早睡早起身体好</cp:lastModifiedBy>
  <dcterms:modified xsi:type="dcterms:W3CDTF">2025-09-22T14:06:43Z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9FFADBE25A81450D8F018733F4B39B06_11</vt:lpwstr>
  </property>
  <property fmtid="{D5CDD505-2E9C-101B-9397-08002B2CF9AE}" pid="4" name="KSOTemplateDocerSaveRecord">
    <vt:lpwstr>eyJoZGlkIjoiNTA1ODQwZTE5MTUyYWI5YjYzMTM1MjllNjlkMTU4YjciLCJ1c2VySWQiOiIzMDI4NDUzMzgifQ==</vt:lpwstr>
  </property>
</Properties>
</file>