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2453F" w14:textId="77777777" w:rsidR="00A26CC4" w:rsidRDefault="00A26CC4" w:rsidP="00A26CC4">
      <w:pPr>
        <w:widowControl w:val="0"/>
        <w:spacing w:after="0" w:line="360" w:lineRule="auto"/>
        <w:jc w:val="both"/>
        <w:outlineLvl w:val="0"/>
        <w:rPr>
          <w:rFonts w:ascii="Times New Roman" w:eastAsia="MS Mincho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MS Mincho" w:hAnsi="Times New Roman" w:cs="Times New Roman"/>
          <w:b/>
          <w:sz w:val="24"/>
          <w:szCs w:val="24"/>
        </w:rPr>
        <w:t>Supplementary Information</w:t>
      </w:r>
    </w:p>
    <w:p w14:paraId="26A75223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Fig. S1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Schoenfeld residual plot assess the proportional hazards assumption in a Cox regression model for the 6 SRGs related to prognosis. Removing NEU2 and ST3GAL4 based on PH hypothesis testing.</w:t>
      </w:r>
    </w:p>
    <w:p w14:paraId="7C06D0CB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Fig. S2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Mutation sites of 7 prognostic genes in NSCLC patients.</w:t>
      </w:r>
    </w:p>
    <w:p w14:paraId="2C84F1E9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Table S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1.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GO enrichment analysis of 1,497 candidate genes.</w:t>
      </w:r>
    </w:p>
    <w:p w14:paraId="03413C5C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Table S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2.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KEGG pathway enrichment analysis of 1,497 candidate genes.</w:t>
      </w:r>
    </w:p>
    <w:p w14:paraId="78B5382F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Table S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3.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GSEA results between HRG and LRG.</w:t>
      </w:r>
    </w:p>
    <w:p w14:paraId="5B396E11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Table S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4.</w:t>
      </w: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>SRGs information.</w:t>
      </w:r>
    </w:p>
    <w:p w14:paraId="454070D8" w14:textId="77777777" w:rsidR="00A26CC4" w:rsidRDefault="00A26CC4" w:rsidP="00A26CC4">
      <w:pPr>
        <w:widowControl w:val="0"/>
        <w:spacing w:after="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Supplementary Table S</w:t>
      </w:r>
      <w:r>
        <w:rPr>
          <w:rFonts w:ascii="Times New Roman" w:hAnsi="Times New Roman" w:cs="Times New Roman" w:hint="eastAsia"/>
          <w:b/>
          <w:bCs/>
          <w:kern w:val="2"/>
          <w:sz w:val="24"/>
          <w:szCs w:val="24"/>
          <w:lang w:eastAsia="zh-CN"/>
        </w:rPr>
        <w:t>5.</w:t>
      </w:r>
      <w:r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RT-qPCR conditions</w:t>
      </w:r>
      <w:r>
        <w:rPr>
          <w:rFonts w:ascii="Times New Roman" w:hAnsi="Times New Roman" w:cs="Times New Roman" w:hint="eastAsia"/>
          <w:kern w:val="2"/>
          <w:sz w:val="24"/>
          <w:szCs w:val="24"/>
          <w:lang w:eastAsia="zh-CN"/>
        </w:rPr>
        <w:t xml:space="preserve"> and primer sequence.</w:t>
      </w:r>
    </w:p>
    <w:p w14:paraId="711EBD4C" w14:textId="77777777" w:rsidR="00DE6AE2" w:rsidRDefault="00DE6AE2"/>
    <w:sectPr w:rsidR="00DE6AE2" w:rsidSect="00A26CC4">
      <w:headerReference w:type="default" r:id="rId4"/>
      <w:footerReference w:type="default" r:id="rId5"/>
      <w:pgSz w:w="11906" w:h="16838"/>
      <w:pgMar w:top="1440" w:right="1803" w:bottom="1440" w:left="1803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BEF93" w14:textId="77777777" w:rsidR="00A26CC4" w:rsidRDefault="00A26CC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706E9C" wp14:editId="6F5018A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0EEA8C" w14:textId="77777777" w:rsidR="00A26CC4" w:rsidRDefault="00A26CC4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706E9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40EEA8C" w14:textId="77777777" w:rsidR="00A26CC4" w:rsidRDefault="00A26CC4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8880091"/>
    </w:sdtPr>
    <w:sdtContent>
      <w:p w14:paraId="5435F32C" w14:textId="77777777" w:rsidR="00A26CC4" w:rsidRDefault="00A26CC4">
        <w:pPr>
          <w:pStyle w:val="Header"/>
          <w:jc w:val="right"/>
        </w:pPr>
      </w:p>
    </w:sdtContent>
  </w:sdt>
  <w:p w14:paraId="34BEBD9F" w14:textId="77777777" w:rsidR="00A26CC4" w:rsidRDefault="00A26C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C4"/>
    <w:rsid w:val="0014416D"/>
    <w:rsid w:val="00195413"/>
    <w:rsid w:val="003D0186"/>
    <w:rsid w:val="007278E4"/>
    <w:rsid w:val="00A26CC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EA61A"/>
  <w15:chartTrackingRefBased/>
  <w15:docId w15:val="{F4D08D89-C478-4C73-89AF-81EC5ABBF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CC4"/>
    <w:pPr>
      <w:spacing w:after="200" w:line="276" w:lineRule="auto"/>
    </w:pPr>
    <w:rPr>
      <w:rFonts w:ascii="Calibri" w:eastAsiaTheme="minorEastAsia" w:hAnsi="Calibri"/>
      <w:kern w:val="0"/>
      <w:sz w:val="22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CC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CC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CC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CC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CC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CC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CC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CC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CC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C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C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C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C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C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C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C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C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C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C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6C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CC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6C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CC4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6C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CC4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6C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C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C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CC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A26C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26CC4"/>
    <w:rPr>
      <w:rFonts w:ascii="Calibri" w:eastAsiaTheme="minorEastAsia" w:hAnsi="Calibri"/>
      <w:kern w:val="0"/>
      <w:sz w:val="18"/>
      <w:szCs w:val="18"/>
      <w:lang w:eastAsia="ja-JP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A26C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26CC4"/>
    <w:rPr>
      <w:rFonts w:ascii="Calibri" w:eastAsiaTheme="minorEastAsia" w:hAnsi="Calibri"/>
      <w:kern w:val="0"/>
      <w:sz w:val="18"/>
      <w:szCs w:val="18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26C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545</Characters>
  <Application>Microsoft Office Word</Application>
  <DocSecurity>0</DocSecurity>
  <Lines>9</Lines>
  <Paragraphs>3</Paragraphs>
  <ScaleCrop>false</ScaleCrop>
  <Company>Springer Nature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2026-02-19T12:05:00Z</dcterms:created>
  <dcterms:modified xsi:type="dcterms:W3CDTF">2026-02-19T12:05:00Z</dcterms:modified>
</cp:coreProperties>
</file>