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C9770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drawing>
          <wp:inline distT="0" distB="0" distL="114300" distR="114300">
            <wp:extent cx="5266690" cy="1607185"/>
            <wp:effectExtent l="0" t="0" r="10160" b="12065"/>
            <wp:docPr id="3" name="图片 3" descr="SU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P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>Supplementary Figure 1. Determinants of signed errors for VNCa images and T3D. (A) VNCa imaging model. (B) T3D model.</w:t>
      </w:r>
    </w:p>
    <w:p w14:paraId="1E3D16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1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2026-01-02T21:14:15Z</dcterms:created>
  <dc:creator>admin</dc:creator>
  <cp:lastModifiedBy>Wen-Tian Tang</cp:lastModifiedBy>
  <dcterms:modified xsi:type="dcterms:W3CDTF">2026-01-02T21:14:31Z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eyJoZGlkIjoiMDFlYTA1NDdhNTFmZWQ4NmVmM2M2MmM1NGEyMWU5ZjUiLCJ1c2VySWQiOiIzMjM0NjUzMjEifQ==</vt:lpwstr>
  </property>
  <property fmtid="{D5CDD505-2E9C-101B-9397-08002B2CF9AE}" pid="4" name="ICV">
    <vt:lpwstr>044FCA1DAE4245AAA06FE92DCAFF674C_12</vt:lpwstr>
  </property>
</Properties>
</file>