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8788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22"/>
          <w:szCs w:val="22"/>
          <w:lang w:val="en-US" w:eastAsia="zh-CN"/>
        </w:rPr>
      </w:pPr>
      <w:bookmarkStart w:id="0" w:name="_GoBack"/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Supplementary Information for</w:t>
      </w:r>
    </w:p>
    <w:p w14:paraId="04FC8C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2"/>
          <w:szCs w:val="22"/>
        </w:rPr>
      </w:pPr>
    </w:p>
    <w:p w14:paraId="3A15B4E6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bCs/>
          <w:sz w:val="22"/>
          <w:szCs w:val="22"/>
          <w:highlight w:val="none"/>
          <w:lang w:eastAsia="zh"/>
        </w:rPr>
      </w:pPr>
      <w:r>
        <w:rPr>
          <w:rFonts w:ascii="Times New Roman" w:hAnsi="Times New Roman" w:cs="Times New Roman"/>
          <w:bCs/>
          <w:sz w:val="22"/>
          <w:szCs w:val="22"/>
          <w:highlight w:val="none"/>
        </w:rPr>
        <w:t xml:space="preserve">Rapid </w:t>
      </w:r>
      <w:r>
        <w:rPr>
          <w:rFonts w:hint="default" w:ascii="Times New Roman" w:hAnsi="Times New Roman" w:cs="Times New Roman"/>
          <w:bCs/>
          <w:sz w:val="22"/>
          <w:szCs w:val="22"/>
          <w:highlight w:val="none"/>
          <w:lang w:eastAsia="zh"/>
        </w:rPr>
        <w:t xml:space="preserve">and </w:t>
      </w:r>
      <w:r>
        <w:rPr>
          <w:rFonts w:ascii="Times New Roman" w:hAnsi="Times New Roman" w:cs="Times New Roman"/>
          <w:bCs/>
          <w:sz w:val="22"/>
          <w:szCs w:val="22"/>
          <w:highlight w:val="none"/>
        </w:rPr>
        <w:t>quanti</w:t>
      </w:r>
      <w:r>
        <w:rPr>
          <w:rFonts w:hint="default" w:ascii="Times New Roman" w:hAnsi="Times New Roman" w:cs="Times New Roman"/>
          <w:bCs/>
          <w:sz w:val="22"/>
          <w:szCs w:val="22"/>
          <w:highlight w:val="none"/>
          <w:lang w:eastAsia="zh"/>
        </w:rPr>
        <w:t xml:space="preserve">tative analysis </w:t>
      </w:r>
      <w:r>
        <w:rPr>
          <w:rFonts w:ascii="Times New Roman" w:hAnsi="Times New Roman" w:cs="Times New Roman"/>
          <w:bCs/>
          <w:sz w:val="22"/>
          <w:szCs w:val="22"/>
          <w:highlight w:val="none"/>
        </w:rPr>
        <w:t xml:space="preserve">of bacteriophage infectivity via </w:t>
      </w:r>
      <w:r>
        <w:rPr>
          <w:rFonts w:hint="default" w:ascii="Times New Roman" w:hAnsi="Times New Roman" w:cs="Times New Roman"/>
          <w:bCs/>
          <w:sz w:val="22"/>
          <w:szCs w:val="22"/>
          <w:highlight w:val="none"/>
          <w:lang w:eastAsia="zh"/>
        </w:rPr>
        <w:t>fully-automated droplet digital PCR</w:t>
      </w:r>
    </w:p>
    <w:p w14:paraId="2AFD695E">
      <w:pPr>
        <w:pStyle w:val="2"/>
        <w:spacing w:before="0" w:after="0" w:line="360" w:lineRule="auto"/>
        <w:jc w:val="both"/>
        <w:rPr>
          <w:rFonts w:ascii="Times New Roman" w:hAnsi="Times New Roman" w:cs="Times New Roman"/>
          <w:bCs/>
          <w:kern w:val="0"/>
          <w:sz w:val="22"/>
          <w:szCs w:val="22"/>
          <w:highlight w:val="none"/>
          <w:lang w:bidi="ar"/>
        </w:rPr>
      </w:pPr>
    </w:p>
    <w:p w14:paraId="6DAE1BF5">
      <w:pPr>
        <w:pStyle w:val="2"/>
        <w:spacing w:before="0" w:after="0" w:line="360" w:lineRule="auto"/>
        <w:jc w:val="both"/>
        <w:rPr>
          <w:rFonts w:ascii="Times New Roman" w:hAnsi="Times New Roman" w:cs="Times New Roman"/>
          <w:b w:val="0"/>
          <w:sz w:val="22"/>
          <w:szCs w:val="22"/>
          <w:highlight w:val="none"/>
        </w:rPr>
      </w:pPr>
      <w:r>
        <w:rPr>
          <w:rFonts w:ascii="Times New Roman" w:hAnsi="Times New Roman" w:cs="Times New Roman"/>
          <w:b w:val="0"/>
          <w:kern w:val="0"/>
          <w:sz w:val="22"/>
          <w:szCs w:val="22"/>
          <w:highlight w:val="none"/>
          <w:lang w:bidi="ar"/>
        </w:rPr>
        <w:t>Yan</w:t>
      </w:r>
      <w:r>
        <w:rPr>
          <w:rFonts w:ascii="Times New Roman" w:hAnsi="Times New Roman" w:cs="Times New Roman"/>
          <w:b w:val="0"/>
          <w:kern w:val="0"/>
          <w:sz w:val="22"/>
          <w:szCs w:val="22"/>
          <w:highlight w:val="none"/>
          <w:lang w:eastAsia="zh" w:bidi="ar"/>
        </w:rPr>
        <w:t>f</w:t>
      </w:r>
      <w:r>
        <w:rPr>
          <w:rFonts w:ascii="Times New Roman" w:hAnsi="Times New Roman" w:cs="Times New Roman"/>
          <w:b w:val="0"/>
          <w:kern w:val="0"/>
          <w:sz w:val="22"/>
          <w:szCs w:val="22"/>
          <w:highlight w:val="none"/>
          <w:lang w:bidi="ar"/>
        </w:rPr>
        <w:t>ei Liu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1,2</w:t>
      </w:r>
      <w:r>
        <w:rPr>
          <w:rFonts w:ascii="Times New Roman" w:hAnsi="Times New Roman" w:cs="Times New Roman"/>
          <w:b w:val="0"/>
          <w:sz w:val="22"/>
          <w:szCs w:val="22"/>
          <w:highlight w:val="none"/>
        </w:rPr>
        <w:t xml:space="preserve">, 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lang w:eastAsia="zh"/>
        </w:rPr>
        <w:t>Huiwei Zhao</w:t>
      </w:r>
      <w:r>
        <w:rPr>
          <w:rFonts w:hint="default"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2,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3</w:t>
      </w:r>
      <w:r>
        <w:rPr>
          <w:rFonts w:hint="default" w:ascii="Times New Roman" w:hAnsi="Times New Roman" w:cs="Times New Roman"/>
          <w:b w:val="0"/>
          <w:sz w:val="22"/>
          <w:szCs w:val="22"/>
          <w:highlight w:val="none"/>
          <w:vertAlign w:val="superscript"/>
          <w:lang w:val="en-US" w:eastAsia="zh-CN"/>
        </w:rPr>
        <w:t>,</w:t>
      </w:r>
      <w:r>
        <w:rPr>
          <w:rFonts w:hint="default" w:ascii="Times New Roman" w:hAnsi="Times New Roman" w:cs="Times New Roman"/>
          <w:b w:val="0"/>
          <w:sz w:val="22"/>
          <w:szCs w:val="22"/>
          <w:highlight w:val="none"/>
          <w:vertAlign w:val="baseline"/>
          <w:lang w:val="en-US" w:eastAsia="zh-CN"/>
        </w:rPr>
        <w:t>*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lang w:eastAsia="zh"/>
        </w:rPr>
        <w:t>, Xi</w:t>
      </w:r>
      <w:r>
        <w:rPr>
          <w:rFonts w:hint="default" w:ascii="Times New Roman" w:hAnsi="Times New Roman" w:cs="Times New Roman"/>
          <w:b w:val="0"/>
          <w:sz w:val="22"/>
          <w:szCs w:val="22"/>
          <w:highlight w:val="none"/>
          <w:lang w:val="en-US" w:eastAsia="zh-CN"/>
        </w:rPr>
        <w:t>n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lang w:eastAsia="zh"/>
        </w:rPr>
        <w:t>yue Cao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3,</w:t>
      </w:r>
      <w:r>
        <w:rPr>
          <w:rFonts w:hint="default" w:ascii="Times New Roman" w:hAnsi="Times New Roman" w:cs="Times New Roman"/>
          <w:b w:val="0"/>
          <w:sz w:val="22"/>
          <w:szCs w:val="22"/>
          <w:highlight w:val="none"/>
          <w:vertAlign w:val="superscript"/>
          <w:lang w:val="en-US" w:eastAsia="zh-CN"/>
        </w:rPr>
        <w:t>6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lang w:eastAsia="zh"/>
        </w:rPr>
        <w:t>, Shize Jiang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2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lang w:eastAsia="zh"/>
        </w:rPr>
        <w:t xml:space="preserve">, </w:t>
      </w:r>
      <w:r>
        <w:rPr>
          <w:rFonts w:ascii="Times New Roman" w:hAnsi="Times New Roman" w:cs="Times New Roman"/>
          <w:b w:val="0"/>
          <w:sz w:val="22"/>
          <w:szCs w:val="22"/>
          <w:highlight w:val="none"/>
        </w:rPr>
        <w:t>Jun Fu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</w:rPr>
        <w:t>5</w:t>
      </w:r>
      <w:r>
        <w:rPr>
          <w:rFonts w:ascii="Times New Roman" w:hAnsi="Times New Roman" w:cs="Times New Roman"/>
          <w:b w:val="0"/>
          <w:sz w:val="22"/>
          <w:szCs w:val="22"/>
          <w:highlight w:val="none"/>
        </w:rPr>
        <w:t xml:space="preserve">, 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lang w:eastAsia="zh"/>
        </w:rPr>
        <w:t>Junjing Xue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2,</w:t>
      </w:r>
      <w:r>
        <w:rPr>
          <w:rFonts w:hint="default" w:ascii="Times New Roman" w:hAnsi="Times New Roman" w:cs="Times New Roman"/>
          <w:b w:val="0"/>
          <w:sz w:val="22"/>
          <w:szCs w:val="22"/>
          <w:highlight w:val="none"/>
          <w:vertAlign w:val="superscript"/>
          <w:lang w:val="en-US" w:eastAsia="zh-CN"/>
        </w:rPr>
        <w:t>6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lang w:eastAsia="zh"/>
        </w:rPr>
        <w:t>, Caiming Li</w:t>
      </w:r>
      <w:r>
        <w:rPr>
          <w:rFonts w:hint="default" w:ascii="Times New Roman" w:hAnsi="Times New Roman" w:cs="Times New Roman"/>
          <w:b w:val="0"/>
          <w:color w:val="000000"/>
          <w:sz w:val="22"/>
          <w:szCs w:val="22"/>
          <w:highlight w:val="none"/>
          <w:vertAlign w:val="superscript"/>
          <w:lang w:val="en-US" w:eastAsia="zh-CN"/>
        </w:rPr>
        <w:t>7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lang w:eastAsia="zh"/>
        </w:rPr>
        <w:t xml:space="preserve">, </w:t>
      </w:r>
      <w:r>
        <w:rPr>
          <w:rFonts w:ascii="Times New Roman" w:hAnsi="Times New Roman" w:cs="Times New Roman"/>
          <w:b w:val="0"/>
          <w:sz w:val="22"/>
          <w:szCs w:val="22"/>
          <w:highlight w:val="none"/>
        </w:rPr>
        <w:t>Zhangrun Xu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1,</w:t>
      </w:r>
      <w:r>
        <w:rPr>
          <w:rFonts w:ascii="Times New Roman" w:hAnsi="Times New Roman" w:cs="Times New Roman"/>
          <w:b w:val="0"/>
          <w:sz w:val="22"/>
          <w:szCs w:val="22"/>
          <w:highlight w:val="none"/>
        </w:rPr>
        <w:t>*, Ming Li</w:t>
      </w:r>
      <w:r>
        <w:rPr>
          <w:rFonts w:hint="default"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2,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3,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</w:rPr>
        <w:t>6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,</w:t>
      </w:r>
      <w:r>
        <w:rPr>
          <w:rFonts w:ascii="Times New Roman" w:hAnsi="Times New Roman" w:cs="Times New Roman"/>
          <w:b w:val="0"/>
          <w:sz w:val="22"/>
          <w:szCs w:val="22"/>
          <w:highlight w:val="none"/>
        </w:rPr>
        <w:t>*, Wenbin Du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  <w:lang w:eastAsia="zh"/>
        </w:rPr>
        <w:t>2,4,</w:t>
      </w:r>
      <w:r>
        <w:rPr>
          <w:rFonts w:ascii="Times New Roman" w:hAnsi="Times New Roman" w:cs="Times New Roman"/>
          <w:b w:val="0"/>
          <w:sz w:val="22"/>
          <w:szCs w:val="22"/>
          <w:highlight w:val="none"/>
          <w:vertAlign w:val="superscript"/>
        </w:rPr>
        <w:t>6</w:t>
      </w:r>
      <w:r>
        <w:rPr>
          <w:rFonts w:hint="default" w:ascii="Times New Roman" w:hAnsi="Times New Roman" w:cs="Times New Roman"/>
          <w:b w:val="0"/>
          <w:sz w:val="22"/>
          <w:szCs w:val="22"/>
          <w:highlight w:val="none"/>
          <w:vertAlign w:val="superscript"/>
          <w:lang w:val="en-US" w:eastAsia="zh-CN"/>
        </w:rPr>
        <w:t>,</w:t>
      </w:r>
      <w:r>
        <w:rPr>
          <w:rFonts w:ascii="Times New Roman" w:hAnsi="Times New Roman" w:cs="Times New Roman"/>
          <w:b w:val="0"/>
          <w:sz w:val="22"/>
          <w:szCs w:val="22"/>
          <w:highlight w:val="none"/>
        </w:rPr>
        <w:t>*</w:t>
      </w:r>
    </w:p>
    <w:p w14:paraId="4B7371D3">
      <w:pPr>
        <w:spacing w:line="360" w:lineRule="auto"/>
        <w:rPr>
          <w:rFonts w:ascii="Times New Roman" w:hAnsi="Times New Roman" w:cs="Times New Roman"/>
          <w:sz w:val="22"/>
          <w:szCs w:val="22"/>
          <w:highlight w:val="none"/>
          <w:lang w:eastAsia="zh"/>
        </w:rPr>
      </w:pPr>
    </w:p>
    <w:p w14:paraId="26E2942E">
      <w:pPr>
        <w:spacing w:line="360" w:lineRule="auto"/>
        <w:rPr>
          <w:rFonts w:ascii="Times New Roman" w:hAnsi="Times New Roman" w:cs="Times New Roman"/>
          <w:sz w:val="22"/>
          <w:szCs w:val="22"/>
          <w:highlight w:val="none"/>
        </w:rPr>
      </w:pPr>
      <w:r>
        <w:rPr>
          <w:rFonts w:ascii="Times New Roman" w:hAnsi="Times New Roman" w:cs="Times New Roman"/>
          <w:sz w:val="22"/>
          <w:szCs w:val="22"/>
          <w:highlight w:val="none"/>
          <w:vertAlign w:val="superscript"/>
        </w:rPr>
        <w:t xml:space="preserve">1 </w:t>
      </w:r>
      <w:r>
        <w:rPr>
          <w:rFonts w:ascii="Times New Roman" w:hAnsi="Times New Roman" w:cs="Times New Roman"/>
          <w:sz w:val="22"/>
          <w:szCs w:val="22"/>
          <w:highlight w:val="none"/>
        </w:rPr>
        <w:t>Research Center for Analytical Sciences, Department of Chemistry, College of Sciences, Northeastern University, Shenyang, Liaoning 110819, China</w:t>
      </w:r>
    </w:p>
    <w:p w14:paraId="5D5B6B19">
      <w:pPr>
        <w:spacing w:line="360" w:lineRule="auto"/>
        <w:rPr>
          <w:rFonts w:ascii="Times New Roman" w:hAnsi="Times New Roman" w:cs="Times New Roman"/>
          <w:color w:val="000000"/>
          <w:sz w:val="22"/>
          <w:szCs w:val="22"/>
          <w:highlight w:val="none"/>
          <w:lang w:eastAsia="zh"/>
        </w:rPr>
      </w:pPr>
      <w:r>
        <w:rPr>
          <w:rFonts w:ascii="Times New Roman" w:hAnsi="Times New Roman" w:cs="Times New Roman"/>
          <w:sz w:val="22"/>
          <w:szCs w:val="22"/>
          <w:highlight w:val="none"/>
          <w:vertAlign w:val="superscript"/>
        </w:rPr>
        <w:t xml:space="preserve">2 </w:t>
      </w:r>
      <w:r>
        <w:rPr>
          <w:rFonts w:ascii="Times New Roman" w:hAnsi="Times New Roman" w:cs="Times New Roman"/>
          <w:sz w:val="22"/>
          <w:szCs w:val="22"/>
          <w:highlight w:val="none"/>
        </w:rPr>
        <w:t>State Key Laboratory of Microbial Diversity and Innovative Utilization, Institute of Microbiology, Chinese Academy of Sciences, Beijing</w:t>
      </w:r>
      <w:r>
        <w:rPr>
          <w:rFonts w:ascii="Times New Roman" w:hAnsi="Times New Roman" w:cs="Times New Roman"/>
          <w:sz w:val="22"/>
          <w:szCs w:val="22"/>
          <w:highlight w:val="none"/>
          <w:lang w:eastAsia="zh"/>
        </w:rPr>
        <w:t xml:space="preserve"> </w:t>
      </w:r>
      <w:r>
        <w:rPr>
          <w:rFonts w:ascii="Times New Roman" w:hAnsi="Times New Roman" w:cs="Times New Roman"/>
          <w:sz w:val="22"/>
          <w:szCs w:val="22"/>
          <w:highlight w:val="none"/>
        </w:rPr>
        <w:t>100101, China</w:t>
      </w:r>
    </w:p>
    <w:p w14:paraId="17287560">
      <w:pPr>
        <w:spacing w:line="360" w:lineRule="auto"/>
        <w:rPr>
          <w:rFonts w:ascii="Times New Roman" w:hAnsi="Times New Roman" w:cs="Times New Roman"/>
          <w:color w:val="000000"/>
          <w:sz w:val="22"/>
          <w:szCs w:val="22"/>
          <w:highlight w:val="none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none"/>
          <w:vertAlign w:val="superscript"/>
          <w:lang w:eastAsia="zh"/>
        </w:rPr>
        <w:t xml:space="preserve">3 </w:t>
      </w:r>
      <w:r>
        <w:rPr>
          <w:rFonts w:ascii="Times New Roman" w:hAnsi="Times New Roman" w:cs="Times New Roman"/>
          <w:color w:val="000000"/>
          <w:sz w:val="22"/>
          <w:szCs w:val="22"/>
          <w:highlight w:val="none"/>
        </w:rPr>
        <w:t>Department of Microbial Physiological &amp; Metabolic Engineering, Institute of Microbiology, Chinese Academy of Sciences, Beijing</w:t>
      </w:r>
      <w:r>
        <w:rPr>
          <w:rFonts w:ascii="Times New Roman" w:hAnsi="Times New Roman" w:cs="Times New Roman"/>
          <w:color w:val="000000"/>
          <w:sz w:val="22"/>
          <w:szCs w:val="22"/>
          <w:highlight w:val="none"/>
          <w:lang w:eastAsia="zh"/>
        </w:rPr>
        <w:t xml:space="preserve"> 100101, </w:t>
      </w:r>
      <w:r>
        <w:rPr>
          <w:rFonts w:ascii="Times New Roman" w:hAnsi="Times New Roman" w:cs="Times New Roman"/>
          <w:color w:val="000000"/>
          <w:sz w:val="22"/>
          <w:szCs w:val="22"/>
          <w:highlight w:val="none"/>
        </w:rPr>
        <w:t>China</w:t>
      </w:r>
    </w:p>
    <w:p w14:paraId="062BAECF">
      <w:pPr>
        <w:spacing w:line="360" w:lineRule="auto"/>
        <w:rPr>
          <w:rFonts w:ascii="Times New Roman" w:hAnsi="Times New Roman" w:cs="Times New Roman"/>
          <w:color w:val="000000"/>
          <w:sz w:val="22"/>
          <w:szCs w:val="22"/>
          <w:highlight w:val="none"/>
          <w:lang w:eastAsia="zh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none"/>
          <w:vertAlign w:val="superscript"/>
          <w:lang w:eastAsia="zh"/>
        </w:rPr>
        <w:t xml:space="preserve">4 </w:t>
      </w:r>
      <w:r>
        <w:rPr>
          <w:rFonts w:ascii="Times New Roman" w:hAnsi="Times New Roman" w:cs="Times New Roman"/>
          <w:color w:val="000000"/>
          <w:sz w:val="22"/>
          <w:szCs w:val="22"/>
          <w:highlight w:val="none"/>
          <w:lang w:eastAsia="zh"/>
        </w:rPr>
        <w:t>China General Microbiological Culture Collection Center, Institute of Microbiology, Chinese Academy of Sciences, Beijing 100101, China</w:t>
      </w:r>
    </w:p>
    <w:p w14:paraId="54DDE0E3">
      <w:pPr>
        <w:spacing w:line="360" w:lineRule="auto"/>
        <w:rPr>
          <w:rFonts w:ascii="Times New Roman" w:hAnsi="Times New Roman" w:cs="Times New Roman"/>
          <w:color w:val="000000"/>
          <w:sz w:val="22"/>
          <w:szCs w:val="22"/>
          <w:highlight w:val="none"/>
          <w:lang w:eastAsia="zh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none"/>
          <w:vertAlign w:val="superscript"/>
        </w:rPr>
        <w:t xml:space="preserve">5 </w:t>
      </w:r>
      <w:r>
        <w:rPr>
          <w:rFonts w:ascii="Times New Roman" w:hAnsi="Times New Roman" w:cs="Times New Roman"/>
          <w:color w:val="000000"/>
          <w:sz w:val="22"/>
          <w:szCs w:val="22"/>
          <w:highlight w:val="none"/>
          <w:lang w:eastAsia="zh"/>
        </w:rPr>
        <w:t>Maccura Biotechnology Co., Ltd Chengdu 611730, China</w:t>
      </w:r>
    </w:p>
    <w:p w14:paraId="5F094C50">
      <w:pPr>
        <w:widowControl/>
        <w:spacing w:line="360" w:lineRule="auto"/>
        <w:rPr>
          <w:rFonts w:ascii="Times New Roman" w:hAnsi="Times New Roman" w:cs="Times New Roman"/>
          <w:kern w:val="0"/>
          <w:sz w:val="22"/>
          <w:szCs w:val="22"/>
          <w:highlight w:val="none"/>
          <w:lang w:bidi="ar"/>
          <w14:ligatures w14:val="standardContextual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none"/>
          <w:vertAlign w:val="superscript"/>
          <w:lang w:bidi="ar"/>
          <w14:ligatures w14:val="standardContextual"/>
        </w:rPr>
        <w:t xml:space="preserve">6 </w:t>
      </w:r>
      <w:r>
        <w:rPr>
          <w:rFonts w:ascii="Times New Roman" w:hAnsi="Times New Roman" w:cs="Times New Roman"/>
          <w:kern w:val="0"/>
          <w:sz w:val="22"/>
          <w:szCs w:val="22"/>
          <w:highlight w:val="none"/>
          <w:lang w:bidi="ar"/>
          <w14:ligatures w14:val="standardContextual"/>
        </w:rPr>
        <w:t>College of Life Sciences and Medical School, University of Chinese Academy of Sciences, Beijing</w:t>
      </w:r>
      <w:r>
        <w:rPr>
          <w:rFonts w:ascii="Times New Roman" w:hAnsi="Times New Roman" w:cs="Times New Roman"/>
          <w:kern w:val="0"/>
          <w:sz w:val="22"/>
          <w:szCs w:val="22"/>
          <w:highlight w:val="none"/>
          <w:lang w:eastAsia="zh" w:bidi="ar"/>
          <w14:ligatures w14:val="standardContextual"/>
        </w:rPr>
        <w:t xml:space="preserve"> </w:t>
      </w:r>
      <w:r>
        <w:rPr>
          <w:rFonts w:ascii="Times New Roman" w:hAnsi="Times New Roman" w:cs="Times New Roman"/>
          <w:kern w:val="0"/>
          <w:sz w:val="22"/>
          <w:szCs w:val="22"/>
          <w:highlight w:val="none"/>
          <w:lang w:bidi="ar"/>
          <w14:ligatures w14:val="standardContextual"/>
        </w:rPr>
        <w:t>100049, China</w:t>
      </w:r>
    </w:p>
    <w:p w14:paraId="7098AF3F">
      <w:pPr>
        <w:widowControl/>
        <w:spacing w:line="360" w:lineRule="auto"/>
        <w:rPr>
          <w:rFonts w:ascii="Times New Roman" w:hAnsi="Times New Roman" w:cs="Times New Roman"/>
          <w:kern w:val="0"/>
          <w:sz w:val="22"/>
          <w:szCs w:val="22"/>
          <w:highlight w:val="none"/>
          <w:lang w:bidi="ar"/>
          <w14:ligatures w14:val="standardContextual"/>
        </w:rPr>
      </w:pPr>
      <w:r>
        <w:rPr>
          <w:rFonts w:hint="default" w:ascii="Times New Roman" w:hAnsi="Times New Roman" w:cs="Times New Roman"/>
          <w:color w:val="000000"/>
          <w:sz w:val="22"/>
          <w:szCs w:val="22"/>
          <w:highlight w:val="none"/>
          <w:vertAlign w:val="superscript"/>
          <w:lang w:val="en-US" w:eastAsia="zh-CN" w:bidi="ar"/>
        </w:rPr>
        <w:t xml:space="preserve">7 </w:t>
      </w:r>
      <w:r>
        <w:rPr>
          <w:rFonts w:ascii="Times New Roman" w:hAnsi="Times New Roman" w:cs="Times New Roman"/>
          <w:color w:val="000000"/>
          <w:sz w:val="22"/>
          <w:szCs w:val="22"/>
          <w:highlight w:val="none"/>
          <w:lang w:bidi="ar"/>
        </w:rPr>
        <w:t>Institute for Health Innovation and Technology (iHealthtech), National University of Singapore, Singapore 117599, Singapore</w:t>
      </w:r>
    </w:p>
    <w:p w14:paraId="02C18FD4">
      <w:pPr>
        <w:widowControl/>
        <w:spacing w:line="360" w:lineRule="auto"/>
        <w:rPr>
          <w:rFonts w:ascii="Times New Roman" w:hAnsi="Times New Roman" w:cs="Times New Roman"/>
          <w:kern w:val="0"/>
          <w:sz w:val="22"/>
          <w:szCs w:val="22"/>
          <w:highlight w:val="none"/>
          <w:lang w:bidi="ar"/>
          <w14:ligatures w14:val="standardContextual"/>
        </w:rPr>
      </w:pPr>
    </w:p>
    <w:p w14:paraId="56B767AB">
      <w:pPr>
        <w:widowControl/>
        <w:spacing w:line="360" w:lineRule="auto"/>
        <w:rPr>
          <w:rFonts w:ascii="Times New Roman" w:hAnsi="Times New Roman" w:cs="Times New Roman"/>
          <w:sz w:val="22"/>
          <w:szCs w:val="22"/>
          <w:highlight w:val="none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  <w:highlight w:val="none"/>
          <w:lang w:bidi="ar"/>
          <w14:ligatures w14:val="standardContextual"/>
        </w:rPr>
        <w:t>*</w:t>
      </w:r>
      <w:r>
        <w:rPr>
          <w:rFonts w:hint="default" w:ascii="Times New Roman" w:hAnsi="Times New Roman" w:cs="Times New Roman"/>
          <w:b/>
          <w:bCs/>
          <w:color w:val="000000"/>
          <w:sz w:val="22"/>
          <w:szCs w:val="22"/>
          <w:highlight w:val="none"/>
          <w:lang w:val="en-US" w:eastAsia="zh-CN" w:bidi="ar"/>
        </w:rPr>
        <w:t>e-mail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  <w:highlight w:val="none"/>
          <w:lang w:bidi="ar"/>
          <w14:ligatures w14:val="standardContextual"/>
        </w:rPr>
        <w:t>:</w:t>
      </w:r>
      <w:r>
        <w:rPr>
          <w:rFonts w:ascii="Times New Roman" w:hAnsi="Times New Roman" w:cs="Times New Roman"/>
          <w:b w:val="0"/>
          <w:bCs w:val="0"/>
          <w:color w:val="000000"/>
          <w:sz w:val="22"/>
          <w:szCs w:val="22"/>
          <w:highlight w:val="none"/>
          <w:lang w:bidi="ar"/>
          <w14:ligatures w14:val="standardContextual"/>
        </w:rPr>
        <w:t xml:space="preserve"> </w:t>
      </w:r>
      <w:r>
        <w:rPr>
          <w:rStyle w:val="15"/>
          <w:rFonts w:hint="default" w:ascii="Times New Roman" w:hAnsi="Times New Roman" w:cs="Times New Roman"/>
          <w:b w:val="0"/>
          <w:bCs w:val="0"/>
          <w:color w:val="0000FF"/>
          <w:sz w:val="22"/>
          <w:szCs w:val="22"/>
          <w:highlight w:val="none"/>
          <w:u w:val="none"/>
          <w:lang w:bidi="ar"/>
          <w14:ligatures w14:val="standardContextual"/>
        </w:rPr>
        <w:t>zhaohw@im.ac.cn</w:t>
      </w:r>
      <w:r>
        <w:rPr>
          <w:rFonts w:hint="default" w:ascii="Times New Roman" w:hAnsi="Times New Roman" w:cs="Times New Roman"/>
          <w:b w:val="0"/>
          <w:bCs w:val="0"/>
          <w:color w:val="000000"/>
          <w:sz w:val="22"/>
          <w:szCs w:val="22"/>
          <w:highlight w:val="none"/>
          <w:lang w:val="en-US" w:eastAsia="zh-CN" w:bidi="ar"/>
          <w14:ligatures w14:val="standardContextual"/>
        </w:rPr>
        <w:t xml:space="preserve">; </w:t>
      </w:r>
      <w:r>
        <w:rPr>
          <w:rFonts w:ascii="Times New Roman" w:hAnsi="Times New Roman" w:eastAsia="微软雅黑" w:cs="Times New Roman"/>
          <w:sz w:val="22"/>
          <w:szCs w:val="22"/>
          <w:highlight w:val="none"/>
          <w:u w:val="single"/>
          <w:lang w:bidi="ar"/>
          <w14:ligatures w14:val="standardContextual"/>
        </w:rPr>
        <w:fldChar w:fldCharType="begin"/>
      </w:r>
      <w:r>
        <w:rPr>
          <w:rFonts w:ascii="Times New Roman" w:hAnsi="Times New Roman" w:eastAsia="微软雅黑" w:cs="Times New Roman"/>
          <w:sz w:val="22"/>
          <w:szCs w:val="22"/>
          <w:highlight w:val="none"/>
          <w:u w:val="single"/>
          <w:lang w:bidi="ar"/>
          <w14:ligatures w14:val="standardContextual"/>
        </w:rPr>
        <w:instrText xml:space="preserve"> HYPERLINK "mailto:xuzr@mail.neu.edu.cn" </w:instrText>
      </w:r>
      <w:r>
        <w:rPr>
          <w:rFonts w:ascii="Times New Roman" w:hAnsi="Times New Roman" w:eastAsia="微软雅黑" w:cs="Times New Roman"/>
          <w:sz w:val="22"/>
          <w:szCs w:val="22"/>
          <w:highlight w:val="none"/>
          <w:u w:val="single"/>
          <w:lang w:bidi="ar"/>
          <w14:ligatures w14:val="standardContextual"/>
        </w:rPr>
        <w:fldChar w:fldCharType="separate"/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</w:rPr>
        <w:t>xuzr@mail.neu.edu.cn</w:t>
      </w:r>
      <w:r>
        <w:rPr>
          <w:rFonts w:ascii="Times New Roman" w:hAnsi="Times New Roman" w:eastAsia="微软雅黑" w:cs="Times New Roman"/>
          <w:sz w:val="22"/>
          <w:szCs w:val="22"/>
          <w:highlight w:val="none"/>
          <w:u w:val="single"/>
          <w:lang w:bidi="ar"/>
          <w14:ligatures w14:val="standardContextual"/>
        </w:rPr>
        <w:fldChar w:fldCharType="end"/>
      </w:r>
      <w:r>
        <w:rPr>
          <w:rFonts w:hint="default" w:ascii="Times New Roman" w:hAnsi="Times New Roman" w:cs="Times New Roman"/>
          <w:color w:val="000000"/>
          <w:sz w:val="22"/>
          <w:szCs w:val="22"/>
          <w:highlight w:val="none"/>
          <w:lang w:eastAsia="zh" w:bidi="ar"/>
          <w14:ligatures w14:val="standardContextual"/>
        </w:rPr>
        <w:t xml:space="preserve">; </w:t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u w:val="none"/>
          <w:lang w:bidi="ar"/>
          <w14:ligatures w14:val="standardContextual"/>
        </w:rPr>
        <w:fldChar w:fldCharType="begin"/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u w:val="none"/>
          <w:lang w:bidi="ar"/>
          <w14:ligatures w14:val="standardContextual"/>
        </w:rPr>
        <w:instrText xml:space="preserve">HYPERLINK "C:\\Users\\Administrator\\xwechat_files\\wxid_ukrk6ceklax821_0f3c\\msg\\file\\2025-12\\lim_im@im.ac.cn"</w:instrText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u w:val="none"/>
          <w:lang w:bidi="ar"/>
          <w14:ligatures w14:val="standardContextual"/>
        </w:rPr>
        <w:fldChar w:fldCharType="separate"/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lang w:bidi="ar"/>
          <w14:ligatures w14:val="standardContextual"/>
        </w:rPr>
        <w:t>lim_im@im.ac.cn</w:t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u w:val="none"/>
          <w:lang w:bidi="ar"/>
          <w14:ligatures w14:val="standardContextual"/>
        </w:rPr>
        <w:fldChar w:fldCharType="end"/>
      </w:r>
      <w:r>
        <w:rPr>
          <w:rFonts w:ascii="Times New Roman" w:hAnsi="Times New Roman" w:cs="Times New Roman"/>
          <w:color w:val="000000"/>
          <w:sz w:val="22"/>
          <w:szCs w:val="22"/>
          <w:highlight w:val="none"/>
          <w:lang w:eastAsia="zh" w:bidi="ar"/>
          <w14:ligatures w14:val="standardContextual"/>
        </w:rPr>
        <w:t xml:space="preserve">; </w:t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u w:val="none"/>
          <w:lang w:bidi="ar"/>
          <w14:ligatures w14:val="standardContextual"/>
        </w:rPr>
        <w:fldChar w:fldCharType="begin"/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u w:val="none"/>
          <w:lang w:bidi="ar"/>
          <w14:ligatures w14:val="standardContextual"/>
        </w:rPr>
        <w:instrText xml:space="preserve">HYPERLINK "C:\\Users\\Administrator\\xwechat_files\\wxid_ukrk6ceklax821_0f3c\\msg\\file\\2025-12\\wenbin@im.ac.cn"</w:instrText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u w:val="none"/>
          <w:lang w:bidi="ar"/>
          <w14:ligatures w14:val="standardContextual"/>
        </w:rPr>
        <w:fldChar w:fldCharType="separate"/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lang w:bidi="ar"/>
          <w14:ligatures w14:val="standardContextual"/>
        </w:rPr>
        <w:t>wenbin@im.ac.cn</w:t>
      </w:r>
      <w:r>
        <w:rPr>
          <w:rStyle w:val="15"/>
          <w:rFonts w:ascii="Times New Roman" w:hAnsi="Times New Roman" w:cs="Times New Roman"/>
          <w:color w:val="0000FF"/>
          <w:sz w:val="22"/>
          <w:szCs w:val="22"/>
          <w:highlight w:val="none"/>
          <w:u w:val="none"/>
          <w:lang w:bidi="ar"/>
          <w14:ligatures w14:val="standardContextual"/>
        </w:rPr>
        <w:fldChar w:fldCharType="end"/>
      </w:r>
    </w:p>
    <w:p w14:paraId="072EF763">
      <w:pPr>
        <w:spacing w:line="360" w:lineRule="auto"/>
        <w:rPr>
          <w:rFonts w:ascii="Times New Roman" w:hAnsi="Times New Roman" w:cs="Times New Roman"/>
          <w:color w:val="000000"/>
          <w:sz w:val="22"/>
          <w:szCs w:val="22"/>
          <w:highlight w:val="none"/>
          <w:lang w:eastAsia="zh"/>
        </w:rPr>
      </w:pPr>
    </w:p>
    <w:p w14:paraId="2FD54305">
      <w:pPr>
        <w:spacing w:line="360" w:lineRule="auto"/>
        <w:rPr>
          <w:rFonts w:ascii="Times New Roman" w:hAnsi="Times New Roman" w:cs="Times New Roman"/>
          <w:sz w:val="22"/>
          <w:szCs w:val="22"/>
          <w:highlight w:val="none"/>
        </w:rPr>
      </w:pPr>
    </w:p>
    <w:p w14:paraId="7884306E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微软雅黑" w:cs="Times New Roman"/>
          <w:b/>
          <w:bCs/>
          <w:kern w:val="2"/>
          <w:sz w:val="22"/>
          <w:szCs w:val="22"/>
        </w:rPr>
      </w:pPr>
      <w:r>
        <w:rPr>
          <w:rFonts w:hint="default" w:ascii="Times New Roman" w:hAnsi="Times New Roman" w:eastAsia="微软雅黑" w:cs="Times New Roman"/>
          <w:b/>
          <w:bCs/>
          <w:kern w:val="2"/>
          <w:sz w:val="22"/>
          <w:szCs w:val="22"/>
          <w:lang w:val="en-US" w:eastAsia="zh-CN" w:bidi="ar"/>
        </w:rPr>
        <w:t>Table</w:t>
      </w:r>
      <w:r>
        <w:rPr>
          <w:rFonts w:hint="eastAsia" w:ascii="Times New Roman" w:hAnsi="Times New Roman" w:eastAsia="微软雅黑" w:cs="Times New Roman"/>
          <w:b/>
          <w:bCs/>
          <w:kern w:val="2"/>
          <w:sz w:val="22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kern w:val="2"/>
          <w:sz w:val="22"/>
          <w:szCs w:val="22"/>
          <w:lang w:val="en-US" w:eastAsia="zh-CN" w:bidi="ar"/>
        </w:rPr>
        <w:t>of Contents</w:t>
      </w:r>
    </w:p>
    <w:p w14:paraId="505521C1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210" w:leftChars="100" w:right="0"/>
        <w:jc w:val="left"/>
        <w:rPr>
          <w:rFonts w:hint="default" w:ascii="Times New Roman" w:hAnsi="Times New Roman" w:eastAsia="微软雅黑" w:cs="Times New Roman"/>
          <w:b/>
          <w:bCs/>
          <w:kern w:val="2"/>
          <w:sz w:val="22"/>
          <w:szCs w:val="22"/>
          <w:lang w:bidi="ar"/>
        </w:rPr>
      </w:pPr>
      <w:r>
        <w:rPr>
          <w:rFonts w:hint="default" w:ascii="Times New Roman" w:hAnsi="Times New Roman" w:eastAsia="微软雅黑" w:cs="Times New Roman"/>
          <w:b/>
          <w:bCs/>
          <w:kern w:val="2"/>
          <w:sz w:val="22"/>
          <w:szCs w:val="22"/>
          <w:lang w:val="en-US" w:eastAsia="zh-CN" w:bidi="ar"/>
        </w:rPr>
        <w:t>Supplementary Figures S1-S16.</w:t>
      </w:r>
    </w:p>
    <w:p w14:paraId="2FCF2C7E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210" w:leftChars="100" w:right="0"/>
        <w:jc w:val="left"/>
        <w:rPr>
          <w:rFonts w:hint="default" w:ascii="Times New Roman" w:hAnsi="Times New Roman" w:eastAsia="微软雅黑" w:cs="Times New Roman"/>
          <w:b/>
          <w:bCs/>
          <w:kern w:val="2"/>
          <w:sz w:val="22"/>
          <w:szCs w:val="22"/>
          <w:lang w:bidi="ar"/>
        </w:rPr>
      </w:pPr>
      <w:r>
        <w:rPr>
          <w:rFonts w:hint="default" w:ascii="Times New Roman" w:hAnsi="Times New Roman" w:eastAsia="微软雅黑" w:cs="Times New Roman"/>
          <w:b/>
          <w:bCs/>
          <w:kern w:val="2"/>
          <w:sz w:val="22"/>
          <w:szCs w:val="22"/>
          <w:lang w:val="en-US" w:eastAsia="zh-CN" w:bidi="ar"/>
        </w:rPr>
        <w:t>Supplementary Tables S1-S2.</w:t>
      </w:r>
    </w:p>
    <w:p w14:paraId="0A9EE6B9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67B6CFDF">
      <w:pPr>
        <w:widowControl/>
        <w:spacing w:line="360" w:lineRule="auto"/>
        <w:jc w:val="center"/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</w:pPr>
      <w:r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  <w:drawing>
          <wp:inline distT="0" distB="0" distL="114300" distR="114300">
            <wp:extent cx="6123305" cy="3194050"/>
            <wp:effectExtent l="0" t="0" r="1270" b="6350"/>
            <wp:docPr id="30" name="图片 30" descr="Fig_S1_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ig_S1_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121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lang w:eastAsia="zh-CN"/>
        </w:rPr>
        <w:t xml:space="preserve">Supplementary Fig. 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lang w:eastAsia="zh"/>
        </w:rPr>
        <w:t>1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lang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lang w:eastAsia="zh"/>
        </w:rPr>
        <w:t xml:space="preserve">Linearity of the universal 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d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lang w:eastAsia="zh"/>
        </w:rPr>
        <w:t>dPCR assay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lang w:eastAsia="zh"/>
        </w:rPr>
        <w:t xml:space="preserve"> across ESKAPE reference strains.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 xml:space="preserve"> a,</w:t>
      </w:r>
      <w:r>
        <w:rPr>
          <w:rFonts w:hint="default" w:ascii="Times New Roman" w:hAnsi="Times New Roman" w:cs="Times New Roman"/>
          <w:b w:val="0"/>
          <w:bCs w:val="0"/>
          <w:kern w:val="0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Noto Sans" w:cs="Times New Roman"/>
          <w:b w:val="0"/>
          <w:color w:val="000000"/>
          <w:kern w:val="2"/>
          <w:sz w:val="22"/>
          <w:szCs w:val="22"/>
          <w:shd w:val="clear" w:fill="FFFFFF"/>
          <w:lang w:val="en-US" w:eastAsia="zh-CN" w:bidi="ar"/>
        </w:rPr>
        <w:t xml:space="preserve">Representative 1D fluorescence amplitude plot of </w:t>
      </w:r>
      <w:r>
        <w:rPr>
          <w:rFonts w:hint="default" w:ascii="Times New Roman" w:hAnsi="Times New Roman" w:eastAsia="Noto Sans" w:cs="Times New Roman"/>
          <w:b w:val="0"/>
          <w:i/>
          <w:iCs/>
          <w:color w:val="000000"/>
          <w:kern w:val="2"/>
          <w:sz w:val="22"/>
          <w:szCs w:val="22"/>
          <w:shd w:val="clear" w:fill="FFFFFF"/>
          <w:lang w:val="en-US" w:eastAsia="zh-CN" w:bidi="ar"/>
        </w:rPr>
        <w:t>E. coli</w:t>
      </w:r>
      <w:r>
        <w:rPr>
          <w:rFonts w:hint="default" w:ascii="Times New Roman" w:hAnsi="Times New Roman" w:eastAsia="Noto Sans" w:cs="Times New Roman"/>
          <w:b w:val="0"/>
          <w:color w:val="000000"/>
          <w:kern w:val="2"/>
          <w:sz w:val="22"/>
          <w:szCs w:val="22"/>
          <w:shd w:val="clear" w:fill="FFFFFF"/>
          <w:lang w:val="en-US" w:eastAsia="zh-CN" w:bidi="ar"/>
        </w:rPr>
        <w:t xml:space="preserve"> MG1655 genomic DNA serially diluted 10-fold, demonstrating clear separation between positive (yellow) and negative (grey) droplets</w:t>
      </w:r>
      <w:r>
        <w:rPr>
          <w:rFonts w:hint="eastAsia" w:ascii="Times New Roman" w:hAnsi="Times New Roman" w:eastAsia="Noto Sans" w:cs="Times New Roman"/>
          <w:color w:val="000000"/>
          <w:kern w:val="2"/>
          <w:sz w:val="22"/>
          <w:szCs w:val="22"/>
          <w:shd w:val="clear" w:fill="FFFFFF"/>
          <w:lang w:val="en-US" w:eastAsia="zh-CN" w:bidi="ar"/>
        </w:rPr>
        <w:t>.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b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–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g,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 Linear regression analyses comparing dilution factors against measured 16</w:t>
      </w:r>
      <w:r>
        <w:rPr>
          <w:rFonts w:hint="eastAsia" w:ascii="Times New Roman" w:hAnsi="Times New Roman" w:cs="Times New Roman"/>
          <w:i/>
          <w:iCs/>
          <w:kern w:val="0"/>
          <w:sz w:val="22"/>
          <w:szCs w:val="22"/>
          <w:lang w:val="en-US" w:eastAsia="zh-CN"/>
        </w:rPr>
        <w:t>S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 rRNA gene copy numbers for representative ESKAPE pathogens: </w:t>
      </w:r>
      <w:r>
        <w:rPr>
          <w:rFonts w:hint="eastAsia" w:ascii="Times New Roman" w:hAnsi="Times New Roman" w:cs="Times New Roman"/>
          <w:i/>
          <w:iCs/>
          <w:kern w:val="0"/>
          <w:sz w:val="22"/>
          <w:szCs w:val="22"/>
          <w:lang w:val="en-US" w:eastAsia="zh-CN"/>
        </w:rPr>
        <w:t>S. aureus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 ATCC29213 (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b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), </w:t>
      </w:r>
      <w:r>
        <w:rPr>
          <w:rFonts w:hint="eastAsia" w:ascii="Times New Roman" w:hAnsi="Times New Roman" w:cs="Times New Roman"/>
          <w:i/>
          <w:iCs/>
          <w:kern w:val="0"/>
          <w:sz w:val="22"/>
          <w:szCs w:val="22"/>
          <w:lang w:val="en-US" w:eastAsia="zh-CN"/>
        </w:rPr>
        <w:t>K. pneumoniae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 ATCC10031 (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c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), </w:t>
      </w:r>
      <w:r>
        <w:rPr>
          <w:rFonts w:hint="eastAsia" w:ascii="Times New Roman" w:hAnsi="Times New Roman" w:cs="Times New Roman"/>
          <w:i/>
          <w:iCs/>
          <w:kern w:val="0"/>
          <w:sz w:val="22"/>
          <w:szCs w:val="22"/>
          <w:lang w:val="en-US" w:eastAsia="zh-CN"/>
        </w:rPr>
        <w:t>A. baumannii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 ATCC19606 (</w:t>
      </w:r>
      <w:r>
        <w:rPr>
          <w:rFonts w:hint="eastAsia" w:ascii="Times New Roman" w:hAnsi="Times New Roman" w:cs="Times New Roman"/>
          <w:b/>
          <w:bCs/>
          <w:i w:val="0"/>
          <w:iCs w:val="0"/>
          <w:kern w:val="0"/>
          <w:sz w:val="22"/>
          <w:szCs w:val="22"/>
          <w:lang w:val="en-US" w:eastAsia="zh-CN"/>
        </w:rPr>
        <w:t>d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), </w:t>
      </w:r>
      <w:r>
        <w:rPr>
          <w:rFonts w:hint="eastAsia" w:ascii="Times New Roman" w:hAnsi="Times New Roman" w:cs="Times New Roman"/>
          <w:i/>
          <w:iCs/>
          <w:kern w:val="0"/>
          <w:sz w:val="22"/>
          <w:szCs w:val="22"/>
          <w:lang w:val="en-US" w:eastAsia="zh-CN"/>
        </w:rPr>
        <w:t>P. aeruginosa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 PAO1 (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e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), </w:t>
      </w:r>
      <w:r>
        <w:rPr>
          <w:rFonts w:hint="eastAsia" w:ascii="Times New Roman" w:hAnsi="Times New Roman" w:cs="Times New Roman"/>
          <w:i/>
          <w:iCs/>
          <w:kern w:val="0"/>
          <w:sz w:val="22"/>
          <w:szCs w:val="22"/>
          <w:lang w:val="en-US" w:eastAsia="zh-CN"/>
        </w:rPr>
        <w:t>E. cloacae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 CGMCC1.2022 (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f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), and </w:t>
      </w:r>
      <w:r>
        <w:rPr>
          <w:rFonts w:hint="eastAsia" w:ascii="Times New Roman" w:hAnsi="Times New Roman" w:cs="Times New Roman"/>
          <w:i/>
          <w:iCs/>
          <w:kern w:val="0"/>
          <w:sz w:val="22"/>
          <w:szCs w:val="22"/>
          <w:lang w:val="en-US" w:eastAsia="zh-CN"/>
        </w:rPr>
        <w:t>E. aerogenes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 xml:space="preserve"> CGMCC1.10716 (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g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>). The high coefficient of determination (R</w:t>
      </w:r>
      <w:r>
        <w:rPr>
          <w:rFonts w:hint="eastAsia" w:ascii="Times New Roman" w:hAnsi="Times New Roman" w:cs="Times New Roman"/>
          <w:kern w:val="0"/>
          <w:sz w:val="22"/>
          <w:szCs w:val="22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>) values displayed in each panel confirm the assay</w:t>
      </w:r>
      <w:r>
        <w:rPr>
          <w:rFonts w:hint="default" w:ascii="Times New Roman" w:hAnsi="Times New Roman" w:cs="Times New Roman"/>
          <w:kern w:val="0"/>
          <w:sz w:val="22"/>
          <w:szCs w:val="22"/>
          <w:lang w:val="en-US" w:eastAsia="zh-CN"/>
        </w:rPr>
        <w:t>’</w:t>
      </w:r>
      <w:r>
        <w:rPr>
          <w:rFonts w:hint="eastAsia" w:ascii="Times New Roman" w:hAnsi="Times New Roman" w:cs="Times New Roman"/>
          <w:kern w:val="0"/>
          <w:sz w:val="22"/>
          <w:szCs w:val="22"/>
          <w:lang w:val="en-US" w:eastAsia="zh-CN"/>
        </w:rPr>
        <w:t>s robust linearity and consistent performance across diverse bacterial species.</w:t>
      </w:r>
    </w:p>
    <w:p w14:paraId="30BB0710">
      <w:pPr>
        <w:widowControl/>
        <w:spacing w:line="360" w:lineRule="auto"/>
        <w:jc w:val="both"/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</w:pPr>
      <w:r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  <w:br w:type="page"/>
      </w:r>
    </w:p>
    <w:p w14:paraId="1DA37833">
      <w:pPr>
        <w:widowControl/>
        <w:spacing w:line="360" w:lineRule="auto"/>
        <w:jc w:val="center"/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eastAsia="zh"/>
        </w:rPr>
      </w:pPr>
      <w:r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  <w:drawing>
          <wp:inline distT="0" distB="0" distL="114300" distR="114300">
            <wp:extent cx="4142105" cy="1984375"/>
            <wp:effectExtent l="0" t="0" r="1270" b="6350"/>
            <wp:docPr id="6" name="图片 6" descr="Fig_S3_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_S3_S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AD49">
      <w:pPr>
        <w:widowControl/>
        <w:spacing w:line="360" w:lineRule="auto"/>
        <w:jc w:val="both"/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</w:pP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shd w:val="clear"/>
          <w:lang w:eastAsia="zh"/>
        </w:rPr>
        <w:t>Supplementary Fig. 2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shd w:val="clear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shd w:val="clear"/>
          <w:lang w:eastAsia="zh"/>
        </w:rPr>
        <w:t xml:space="preserve"> Optimization of Multiplicity of Infection (MOI) for dPST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shd w:val="clear"/>
          <w:lang w:val="en-US" w:eastAsia="zh-CN"/>
        </w:rPr>
        <w:t xml:space="preserve"> of </w:t>
      </w:r>
      <w:r>
        <w:rPr>
          <w:rFonts w:hint="default" w:ascii="Times New Roman" w:hAnsi="Times New Roman" w:cs="Times New Roman"/>
          <w:b/>
          <w:bCs/>
          <w:i/>
          <w:iCs/>
          <w:kern w:val="0"/>
          <w:sz w:val="22"/>
          <w:szCs w:val="22"/>
          <w:shd w:val="clear"/>
          <w:lang w:val="en-US" w:eastAsia="zh"/>
        </w:rPr>
        <w:t>Acinetobacter baumannii</w:t>
      </w:r>
      <w:r>
        <w:rPr>
          <w:rFonts w:hint="eastAsia" w:ascii="Times New Roman" w:hAnsi="Times New Roman" w:cs="Times New Roman"/>
          <w:b/>
          <w:bCs/>
          <w:i w:val="0"/>
          <w:iCs w:val="0"/>
          <w:kern w:val="0"/>
          <w:sz w:val="22"/>
          <w:szCs w:val="22"/>
          <w:shd w:val="clear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b/>
          <w:bCs/>
          <w:i/>
          <w:iCs/>
          <w:kern w:val="0"/>
          <w:sz w:val="22"/>
          <w:szCs w:val="22"/>
          <w:shd w:val="clear"/>
          <w:lang w:val="en-US" w:eastAsia="zh"/>
        </w:rPr>
        <w:t>Klebsiella pneumoniae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shd w:val="clear"/>
          <w:lang w:eastAsia="zh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kern w:val="0"/>
          <w:sz w:val="22"/>
          <w:szCs w:val="22"/>
          <w:shd w:val="clear"/>
          <w:lang w:eastAsia="zh"/>
        </w:rPr>
        <w:t>Quantification of phage-induced 16</w:t>
      </w:r>
      <w:r>
        <w:rPr>
          <w:rFonts w:hint="default" w:ascii="Times New Roman" w:hAnsi="Times New Roman" w:cs="Times New Roman"/>
          <w:b w:val="0"/>
          <w:bCs w:val="0"/>
          <w:i/>
          <w:iCs/>
          <w:kern w:val="0"/>
          <w:sz w:val="22"/>
          <w:szCs w:val="22"/>
          <w:shd w:val="clear"/>
          <w:lang w:eastAsia="zh"/>
        </w:rPr>
        <w:t>S</w:t>
      </w:r>
      <w:r>
        <w:rPr>
          <w:rFonts w:hint="default" w:ascii="Times New Roman" w:hAnsi="Times New Roman" w:cs="Times New Roman"/>
          <w:b w:val="0"/>
          <w:bCs w:val="0"/>
          <w:kern w:val="0"/>
          <w:sz w:val="22"/>
          <w:szCs w:val="22"/>
          <w:shd w:val="clear"/>
          <w:lang w:eastAsia="zh"/>
        </w:rPr>
        <w:t xml:space="preserve"> rRNA release across varying MOIs to determine optimal infection conditions. 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shd w:val="clear"/>
          <w:lang w:eastAsia="zh"/>
        </w:rPr>
        <w:t>a,</w:t>
      </w:r>
      <w:r>
        <w:rPr>
          <w:rFonts w:hint="default" w:ascii="Times New Roman" w:hAnsi="Times New Roman" w:cs="Times New Roman"/>
          <w:b w:val="0"/>
          <w:bCs w:val="0"/>
          <w:kern w:val="0"/>
          <w:sz w:val="22"/>
          <w:szCs w:val="22"/>
          <w:shd w:val="clear"/>
          <w:lang w:eastAsia="zh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/>
          <w:iCs/>
          <w:kern w:val="0"/>
          <w:sz w:val="22"/>
          <w:szCs w:val="22"/>
          <w:shd w:val="clear"/>
          <w:lang w:eastAsia="zh"/>
        </w:rPr>
        <w:t>A. baumannii</w:t>
      </w:r>
      <w:r>
        <w:rPr>
          <w:rFonts w:hint="default" w:ascii="Times New Roman" w:hAnsi="Times New Roman" w:cs="Times New Roman"/>
          <w:b w:val="0"/>
          <w:bCs w:val="0"/>
          <w:kern w:val="0"/>
          <w:sz w:val="22"/>
          <w:szCs w:val="22"/>
          <w:shd w:val="clear"/>
          <w:lang w:eastAsia="zh"/>
        </w:rPr>
        <w:t xml:space="preserve"> challenged with phage pAb22W22 at MOIs of 0.1, 1, and 10. </w:t>
      </w:r>
      <w:r>
        <w:rPr>
          <w:rFonts w:hint="default" w:ascii="Times New Roman" w:hAnsi="Times New Roman" w:cs="Times New Roman"/>
          <w:b/>
          <w:bCs/>
          <w:kern w:val="0"/>
          <w:sz w:val="22"/>
          <w:szCs w:val="22"/>
          <w:shd w:val="clear"/>
          <w:lang w:eastAsia="zh"/>
        </w:rPr>
        <w:t>b,</w:t>
      </w:r>
      <w:r>
        <w:rPr>
          <w:rFonts w:hint="default" w:ascii="Times New Roman" w:hAnsi="Times New Roman" w:cs="Times New Roman"/>
          <w:b w:val="0"/>
          <w:bCs w:val="0"/>
          <w:kern w:val="0"/>
          <w:sz w:val="22"/>
          <w:szCs w:val="22"/>
          <w:shd w:val="clear"/>
          <w:lang w:eastAsia="zh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/>
          <w:iCs/>
          <w:kern w:val="0"/>
          <w:sz w:val="22"/>
          <w:szCs w:val="22"/>
          <w:shd w:val="clear"/>
          <w:lang w:eastAsia="zh"/>
        </w:rPr>
        <w:t>K. pneumoniae</w:t>
      </w:r>
      <w:r>
        <w:rPr>
          <w:rFonts w:hint="default" w:ascii="Times New Roman" w:hAnsi="Times New Roman" w:cs="Times New Roman"/>
          <w:b w:val="0"/>
          <w:bCs w:val="0"/>
          <w:kern w:val="0"/>
          <w:sz w:val="22"/>
          <w:szCs w:val="22"/>
          <w:shd w:val="clear"/>
          <w:lang w:eastAsia="zh"/>
        </w:rPr>
        <w:t xml:space="preserve"> challenged with phage pKp04W8-1 at MOIs ranging from 0.1 to 100. In both phage–host models, an MOI of 1 yielded the maximal genomic DNA release, establishing it as the standard condition for subsequent assays. Error bars represent the standard deviation of replicates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shd w:val="clear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i/>
          <w:iCs/>
          <w:kern w:val="0"/>
          <w:sz w:val="22"/>
          <w:szCs w:val="22"/>
          <w:shd w:val="clear"/>
          <w:lang w:val="en-US" w:eastAsia="zh-CN"/>
        </w:rPr>
        <w:t>n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shd w:val="clear"/>
          <w:lang w:val="en-US" w:eastAsia="zh-CN"/>
        </w:rPr>
        <w:t xml:space="preserve"> </w:t>
      </w:r>
      <w:r>
        <w:rPr>
          <w:rStyle w:val="12"/>
          <w:rFonts w:ascii="Times New Roman" w:hAnsi="Times New Roman" w:eastAsia="Noto Sans" w:cs="Times New Roman"/>
          <w:b w:val="0"/>
          <w:color w:val="000000"/>
          <w:sz w:val="22"/>
          <w:szCs w:val="22"/>
          <w:highlight w:val="none"/>
          <w:shd w:val="clear" w:color="auto" w:fill="FFFFFF"/>
          <w:lang w:eastAsia="zh"/>
        </w:rPr>
        <w:t>≥</w:t>
      </w:r>
      <w:r>
        <w:rPr>
          <w:rStyle w:val="12"/>
          <w:rFonts w:hint="eastAsia" w:ascii="Times New Roman" w:hAnsi="Times New Roman" w:eastAsia="Noto Sans" w:cs="Times New Roman"/>
          <w:b w:val="0"/>
          <w:color w:val="000000"/>
          <w:sz w:val="22"/>
          <w:szCs w:val="22"/>
          <w:highlight w:val="none"/>
          <w:shd w:val="clear" w:color="auto" w:fill="FFFFFF"/>
          <w:lang w:val="en-US" w:eastAsia="zh-CN"/>
        </w:rPr>
        <w:t xml:space="preserve"> </w:t>
      </w:r>
      <w:r>
        <w:rPr>
          <w:rStyle w:val="12"/>
          <w:rFonts w:ascii="Times New Roman" w:hAnsi="Times New Roman" w:eastAsia="Noto Sans" w:cs="Times New Roman"/>
          <w:b w:val="0"/>
          <w:color w:val="000000"/>
          <w:sz w:val="22"/>
          <w:szCs w:val="22"/>
          <w:highlight w:val="none"/>
          <w:shd w:val="clear" w:color="auto" w:fill="FFFFFF"/>
          <w:lang w:eastAsia="zh"/>
        </w:rPr>
        <w:t>3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shd w:val="clear"/>
          <w:lang w:val="en-US" w:eastAsia="zh-CN"/>
        </w:rPr>
        <w:t>)</w:t>
      </w:r>
      <w:r>
        <w:rPr>
          <w:rFonts w:hint="default" w:ascii="Times New Roman" w:hAnsi="Times New Roman" w:cs="Times New Roman"/>
          <w:b w:val="0"/>
          <w:bCs w:val="0"/>
          <w:kern w:val="0"/>
          <w:sz w:val="22"/>
          <w:szCs w:val="22"/>
          <w:shd w:val="clear"/>
          <w:lang w:eastAsia="zh"/>
        </w:rPr>
        <w:t>.</w:t>
      </w:r>
      <w:r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  <w:br w:type="page"/>
      </w:r>
    </w:p>
    <w:p w14:paraId="120AD080">
      <w:pPr>
        <w:widowControl/>
        <w:spacing w:line="360" w:lineRule="auto"/>
        <w:jc w:val="center"/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</w:pPr>
      <w:r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  <w:drawing>
          <wp:inline distT="0" distB="0" distL="114300" distR="114300">
            <wp:extent cx="5563870" cy="1743710"/>
            <wp:effectExtent l="0" t="0" r="11430" b="8890"/>
            <wp:docPr id="1" name="图片 1" descr="Fig_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_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A202">
      <w:pPr>
        <w:spacing w:line="360" w:lineRule="auto"/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kern w:val="0"/>
          <w:sz w:val="22"/>
          <w:szCs w:val="22"/>
          <w:lang w:val="en-US" w:eastAsia="zh-CN" w:bidi="ar-SA"/>
        </w:rPr>
        <w:t>Supplementary Fig. 3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 w:bidi="ar-SA"/>
        </w:rPr>
        <w:t>.</w:t>
      </w:r>
      <w:r>
        <w:rPr>
          <w:rFonts w:hint="default" w:ascii="Times New Roman" w:hAnsi="Times New Roman" w:eastAsia="宋体" w:cs="Times New Roman"/>
          <w:b/>
          <w:bCs/>
          <w:kern w:val="0"/>
          <w:sz w:val="22"/>
          <w:szCs w:val="22"/>
          <w:lang w:val="en-US" w:eastAsia="zh-CN" w:bidi="ar-SA"/>
        </w:rPr>
        <w:t xml:space="preserve"> Linearity of 16S rRNA quantification across representative clinical isolates.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Linear regression analysis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" w:bidi="ar-SA"/>
        </w:rPr>
        <w:t xml:space="preserve">comparing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serial dilution factors against ddPCR-measured 16S rRNA copy numbers for clinical isolates of </w:t>
      </w:r>
      <w:r>
        <w:rPr>
          <w:rFonts w:hint="default" w:ascii="Times New Roman" w:hAnsi="Times New Roman" w:eastAsia="宋体" w:cs="Times New Roman"/>
          <w:b/>
          <w:bCs/>
          <w:kern w:val="0"/>
          <w:sz w:val="22"/>
          <w:szCs w:val="22"/>
          <w:lang w:val="en-US" w:eastAsia="zh-CN" w:bidi="ar-SA"/>
        </w:rPr>
        <w:t>a,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i/>
          <w:iCs/>
          <w:kern w:val="0"/>
          <w:sz w:val="22"/>
          <w:szCs w:val="22"/>
          <w:lang w:val="en-US" w:eastAsia="zh-CN" w:bidi="ar-SA"/>
        </w:rPr>
        <w:t>E. coli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(</w:t>
      </w:r>
      <w:r>
        <w:rPr>
          <w:rFonts w:hint="default" w:ascii="Times New Roman" w:hAnsi="Times New Roman" w:eastAsia="宋体" w:cs="Times New Roman"/>
          <w:b w:val="0"/>
          <w:bCs w:val="0"/>
          <w:i/>
          <w:iCs/>
          <w:kern w:val="0"/>
          <w:sz w:val="22"/>
          <w:szCs w:val="22"/>
          <w:lang w:val="en-US" w:eastAsia="zh-CN" w:bidi="ar-SA"/>
        </w:rPr>
        <w:t>n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>=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3), </w:t>
      </w:r>
      <w:r>
        <w:rPr>
          <w:rFonts w:hint="default" w:ascii="Times New Roman" w:hAnsi="Times New Roman" w:eastAsia="宋体" w:cs="Times New Roman"/>
          <w:b/>
          <w:bCs/>
          <w:kern w:val="0"/>
          <w:sz w:val="22"/>
          <w:szCs w:val="22"/>
          <w:lang w:val="en-US" w:eastAsia="zh-CN" w:bidi="ar-SA"/>
        </w:rPr>
        <w:t>b,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i/>
          <w:iCs/>
          <w:kern w:val="0"/>
          <w:sz w:val="22"/>
          <w:szCs w:val="22"/>
          <w:lang w:val="en-US" w:eastAsia="zh-CN" w:bidi="ar-SA"/>
        </w:rPr>
        <w:t>A. baumannii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(</w:t>
      </w:r>
      <w:r>
        <w:rPr>
          <w:rFonts w:hint="default" w:ascii="Times New Roman" w:hAnsi="Times New Roman" w:eastAsia="宋体" w:cs="Times New Roman"/>
          <w:b w:val="0"/>
          <w:bCs w:val="0"/>
          <w:i/>
          <w:iCs/>
          <w:kern w:val="0"/>
          <w:sz w:val="22"/>
          <w:szCs w:val="22"/>
          <w:lang w:val="en-US" w:eastAsia="zh-CN" w:bidi="ar-SA"/>
        </w:rPr>
        <w:t>n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>=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2), and </w:t>
      </w:r>
      <w:r>
        <w:rPr>
          <w:rFonts w:hint="default" w:ascii="Times New Roman" w:hAnsi="Times New Roman" w:eastAsia="宋体" w:cs="Times New Roman"/>
          <w:b/>
          <w:bCs/>
          <w:kern w:val="0"/>
          <w:sz w:val="22"/>
          <w:szCs w:val="22"/>
          <w:lang w:val="en-US" w:eastAsia="zh-CN" w:bidi="ar-SA"/>
        </w:rPr>
        <w:t>c,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i/>
          <w:iCs/>
          <w:kern w:val="0"/>
          <w:sz w:val="22"/>
          <w:szCs w:val="22"/>
          <w:lang w:val="en-US" w:eastAsia="zh-CN" w:bidi="ar-SA"/>
        </w:rPr>
        <w:t>K. pneumoniae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(</w:t>
      </w:r>
      <w:r>
        <w:rPr>
          <w:rFonts w:hint="default" w:ascii="Times New Roman" w:hAnsi="Times New Roman" w:eastAsia="宋体" w:cs="Times New Roman"/>
          <w:b w:val="0"/>
          <w:bCs w:val="0"/>
          <w:i/>
          <w:iCs/>
          <w:kern w:val="0"/>
          <w:sz w:val="22"/>
          <w:szCs w:val="22"/>
          <w:lang w:val="en-US" w:eastAsia="zh-CN" w:bidi="ar-SA"/>
        </w:rPr>
        <w:t>n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>=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>2). The high coefficient of determination (</w:t>
      </w:r>
      <w:r>
        <w:rPr>
          <w:rFonts w:hint="eastAsia" w:ascii="Times New Roman" w:hAnsi="Times New Roman" w:cs="Times New Roman"/>
          <w:b w:val="0"/>
          <w:bCs w:val="0"/>
          <w:i/>
          <w:iCs/>
          <w:kern w:val="0"/>
          <w:sz w:val="22"/>
          <w:szCs w:val="22"/>
          <w:lang w:val="en-US" w:eastAsia="zh-CN" w:bidi="ar-SA"/>
        </w:rPr>
        <w:t>r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>) and statistical significance (</w:t>
      </w:r>
      <w:r>
        <w:rPr>
          <w:rFonts w:hint="eastAsia" w:ascii="Times New Roman" w:hAnsi="Times New Roman" w:cs="Times New Roman"/>
          <w:b w:val="0"/>
          <w:bCs w:val="0"/>
          <w:i/>
          <w:iCs/>
          <w:kern w:val="0"/>
          <w:sz w:val="22"/>
          <w:szCs w:val="22"/>
          <w:lang w:val="en-US" w:eastAsia="zh-CN" w:bidi="ar-SA"/>
        </w:rPr>
        <w:t>p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 xml:space="preserve"> &lt; 0.001) displayed in each panel confirm the assay’s robust linear performance across diverse clinical </w:t>
      </w:r>
      <w:r>
        <w:rPr>
          <w:rFonts w:hint="eastAsia" w:ascii="Times New Roman" w:hAnsi="Times New Roman" w:cs="Times New Roman"/>
          <w:b w:val="0"/>
          <w:bCs w:val="0"/>
          <w:kern w:val="0"/>
          <w:sz w:val="22"/>
          <w:szCs w:val="22"/>
          <w:lang w:val="en-US" w:eastAsia="zh-CN" w:bidi="ar-SA"/>
        </w:rPr>
        <w:t>isolates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2"/>
          <w:szCs w:val="22"/>
          <w:lang w:val="en-US" w:eastAsia="zh-CN" w:bidi="ar-SA"/>
        </w:rPr>
        <w:t>.</w:t>
      </w:r>
    </w:p>
    <w:p w14:paraId="3E9AABB6">
      <w:pPr>
        <w:widowControl/>
        <w:spacing w:line="360" w:lineRule="auto"/>
        <w:jc w:val="left"/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</w:pPr>
      <w:r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  <w:br w:type="page"/>
      </w:r>
    </w:p>
    <w:p w14:paraId="34BE6302">
      <w:pPr>
        <w:widowControl/>
        <w:spacing w:line="360" w:lineRule="auto"/>
        <w:jc w:val="center"/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</w:pPr>
      <w:r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  <w:drawing>
          <wp:inline distT="0" distB="0" distL="114300" distR="114300">
            <wp:extent cx="5361305" cy="2922905"/>
            <wp:effectExtent l="0" t="0" r="10795" b="10795"/>
            <wp:docPr id="20" name="图片 20" descr="Fig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ig_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940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kern w:val="0"/>
          <w:sz w:val="22"/>
          <w:szCs w:val="22"/>
          <w:lang w:eastAsia="zh-CN"/>
        </w:rPr>
        <w:t xml:space="preserve">Supplementary Fig. 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22"/>
          <w:szCs w:val="22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22"/>
          <w:szCs w:val="22"/>
          <w:lang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Evaluation of phage susceptibility via conventional phenotypic assays.</w:t>
      </w:r>
    </w:p>
    <w:p w14:paraId="45A1E89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a, 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 xml:space="preserve">Representative images of double-layer agar plaque assays performed with 10-fold serial dilutions. While high titers produce visible lysis, lower titers often yield indistinct plaques that complicate manual enumeration. 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 xml:space="preserve">b, 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 xml:space="preserve">Time-resolved growth kinetics (OD600) monitored over 5 h. Although the assay effectively separates lytic from non-lytic groups, it fails to resolve kinetic nuances among productive phages, which cluster indistinguishably near the baseline. Data represent 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 xml:space="preserve">± 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s.d. (</w:t>
      </w:r>
      <w:r>
        <w:rPr>
          <w:rFonts w:hint="default" w:ascii="Times New Roman" w:hAnsi="Times New Roman" w:cs="Times New Roman"/>
          <w:i/>
          <w:iCs/>
          <w:sz w:val="22"/>
          <w:szCs w:val="22"/>
          <w:lang w:val="en-US" w:eastAsia="zh-CN"/>
        </w:rPr>
        <w:t>n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=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3).</w:t>
      </w:r>
    </w:p>
    <w:p w14:paraId="071D91CE">
      <w:pPr>
        <w:widowControl/>
        <w:spacing w:line="360" w:lineRule="auto"/>
        <w:jc w:val="center"/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</w:pPr>
    </w:p>
    <w:p w14:paraId="67A2F3A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default" w:ascii="Times New Roman" w:hAnsi="Times New Roman" w:eastAsia="Noto Sans" w:cs="Times New Roman"/>
          <w:b/>
          <w:bCs/>
          <w:color w:val="000000"/>
          <w:sz w:val="22"/>
          <w:szCs w:val="22"/>
          <w:shd w:val="clear" w:color="auto" w:fill="FFFFFF"/>
          <w:lang w:eastAsia="zh"/>
        </w:rPr>
      </w:pPr>
    </w:p>
    <w:p w14:paraId="3EA05DF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2"/>
          <w:rFonts w:hint="default" w:ascii="Times New Roman" w:hAnsi="Times New Roman" w:eastAsia="Noto Sans" w:cs="Times New Roman"/>
          <w:b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/>
          <w:bCs/>
          <w:color w:val="000000"/>
          <w:sz w:val="22"/>
          <w:szCs w:val="22"/>
          <w:shd w:val="clear" w:color="auto" w:fill="FFFFFF"/>
          <w:lang w:eastAsia="zh-CN"/>
        </w:rPr>
        <w:br w:type="page"/>
      </w:r>
    </w:p>
    <w:p w14:paraId="25022D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12"/>
          <w:rFonts w:hint="default" w:ascii="Times New Roman" w:hAnsi="Times New Roman" w:eastAsia="Noto Sans" w:cs="Times New Roman"/>
          <w:b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949825" cy="3931920"/>
            <wp:effectExtent l="0" t="0" r="3175" b="1905"/>
            <wp:docPr id="14" name="图片 14" descr="25.12.11-wd1_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.12.11-wd1_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028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>Supplementary Fig. 5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  <w:lang w:eastAsia="zh-CN"/>
        </w:rPr>
        <w:t>.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Comparative profiling of phage</w:t>
      </w:r>
      <w:r>
        <w:rPr>
          <w:rStyle w:val="12"/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–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E. coli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isolate Ec9-1.</w:t>
      </w:r>
    </w:p>
    <w:p w14:paraId="016143B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ascii="Times New Roman" w:hAnsi="Times New Roman" w:cs="Times New Roman"/>
          <w:b w:val="0"/>
          <w:bCs/>
          <w:color w:val="000000"/>
          <w:shd w:val="clear" w:color="auto" w:fill="FFFFFF"/>
        </w:rPr>
      </w:pP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a,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dPST quantification of released genomic DNA (blue bars) and corresponding fold-change values (red line) following 1 h of phage co-incubation.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b,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c,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Representative spot test images validating lytic phenotypes.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d,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Consistency matrix demonstrating complete concordance between dPST classifications and spot test results. Data represent 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eastAsia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3).</w:t>
      </w:r>
    </w:p>
    <w:p w14:paraId="791F026E">
      <w:pPr>
        <w:widowControl/>
        <w:spacing w:line="360" w:lineRule="auto"/>
        <w:jc w:val="center"/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</w:pPr>
      <w:r>
        <w:rPr>
          <w:rFonts w:hint="default" w:ascii="Times New Roman" w:hAnsi="Times New Roman" w:eastAsia="宋体" w:cs="Times New Roman"/>
          <w:kern w:val="0"/>
          <w:sz w:val="22"/>
          <w:szCs w:val="22"/>
          <w:lang w:eastAsia="zh-CN"/>
        </w:rPr>
        <w:drawing>
          <wp:inline distT="0" distB="0" distL="114300" distR="114300">
            <wp:extent cx="4751705" cy="3931920"/>
            <wp:effectExtent l="0" t="0" r="1270" b="1905"/>
            <wp:docPr id="2" name="图片 2" descr="25.12.11-wd1_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.12.11-wd1_S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B4C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Supplementary Fig. 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  <w:lang w:val="en-US" w:eastAsia="zh-CN"/>
        </w:rPr>
        <w:t>6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  <w:lang w:eastAsia="zh-CN"/>
        </w:rPr>
        <w:t>.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Comparative profiling of phage</w:t>
      </w:r>
      <w:r>
        <w:rPr>
          <w:rStyle w:val="12"/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–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E. coli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isolate 25005.</w:t>
      </w:r>
    </w:p>
    <w:p w14:paraId="7F0E05D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default" w:ascii="Times New Roman" w:hAnsi="Times New Roman" w:eastAsia="Noto Sans" w:cs="Times New Roman"/>
          <w:b w:val="0"/>
          <w:bCs/>
          <w:color w:val="000000"/>
          <w:kern w:val="0"/>
          <w:sz w:val="22"/>
          <w:szCs w:val="22"/>
          <w:shd w:val="clear" w:color="auto" w:fill="FFFFFF"/>
          <w:lang w:val="en-US" w:eastAsia="zh-CN"/>
        </w:rPr>
      </w:pP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a,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dPST quantification of released genomic DNA (blue bars) and corresponding fold-change values (red line) following 1 h of phage co-incubation.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b,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c,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Representative spot test images validating lytic phenotypes.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d,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Consistency matrix demonstrating complete concordance between dPST classifications and spot test results. Data represent 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eastAsia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3).</w:t>
      </w:r>
    </w:p>
    <w:p w14:paraId="3ABC94AC">
      <w:pPr>
        <w:widowControl/>
        <w:spacing w:line="360" w:lineRule="auto"/>
        <w:rPr>
          <w:rFonts w:ascii="Times New Roman" w:hAnsi="Times New Roman" w:cs="Times New Roman"/>
          <w:kern w:val="0"/>
          <w:sz w:val="22"/>
          <w:szCs w:val="22"/>
          <w:lang w:eastAsia="zh"/>
        </w:rPr>
      </w:pPr>
      <w:r>
        <w:rPr>
          <w:rFonts w:ascii="Times New Roman" w:hAnsi="Times New Roman" w:cs="Times New Roman"/>
          <w:kern w:val="0"/>
          <w:sz w:val="22"/>
          <w:szCs w:val="22"/>
        </w:rPr>
        <w:br w:type="page"/>
      </w:r>
    </w:p>
    <w:p w14:paraId="4E3C4676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971415" cy="3931920"/>
            <wp:effectExtent l="0" t="0" r="635" b="1905"/>
            <wp:docPr id="3" name="图片 3" descr="25.12.11-wd1_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.12.11-wd1_S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6D8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Supplementary Fig. 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  <w:lang w:val="en-US" w:eastAsia="zh-CN"/>
        </w:rPr>
        <w:t>7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  <w:lang w:eastAsia="zh-CN"/>
        </w:rPr>
        <w:t>.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Comparative profiling of phage</w:t>
      </w:r>
      <w:r>
        <w:rPr>
          <w:rStyle w:val="12"/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–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E. coli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  <w:lang w:val="en-US" w:eastAsia="zh-CN"/>
        </w:rPr>
        <w:t>strai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  <w:lang w:val="en-US" w:eastAsia="zh-CN"/>
        </w:rPr>
        <w:t>n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12"/>
          <w:rFonts w:hint="default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  <w:lang w:val="en-US" w:eastAsia="zh-CN"/>
        </w:rPr>
        <w:t>D</w:t>
      </w:r>
      <w:r>
        <w:rPr>
          <w:rStyle w:val="12"/>
          <w:rFonts w:hint="default" w:ascii="Times New Roman" w:hAnsi="Times New Roman" w:eastAsia="Noto Sans" w:cs="Times New Roman"/>
          <w:b/>
          <w:bCs w:val="0"/>
          <w:color w:val="auto"/>
          <w:sz w:val="22"/>
          <w:szCs w:val="22"/>
          <w:highlight w:val="none"/>
          <w:shd w:val="clear" w:color="auto" w:fill="FFFFFF"/>
          <w:lang w:val="en-US" w:eastAsia="zh"/>
          <w:woUserID w:val="1"/>
        </w:rPr>
        <w:t>S</w:t>
      </w:r>
      <w:r>
        <w:rPr>
          <w:rStyle w:val="12"/>
          <w:rFonts w:hint="default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  <w:lang w:val="en-US" w:eastAsia="zh-CN"/>
        </w:rPr>
        <w:t>M 13127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14:paraId="0460ACC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default" w:ascii="Times New Roman" w:hAnsi="Times New Roman" w:eastAsia="Noto Sans" w:cs="Times New Roman"/>
          <w:b w:val="0"/>
          <w:bCs/>
          <w:color w:val="000000"/>
          <w:kern w:val="0"/>
          <w:sz w:val="22"/>
          <w:szCs w:val="22"/>
          <w:shd w:val="clear" w:color="auto" w:fill="FFFFFF"/>
          <w:lang w:val="en-US" w:eastAsia="zh-CN"/>
        </w:rPr>
      </w:pP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a,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dPST quantification of released genomic DNA (blue bars) and corresponding fold-change values (red line) following 1 h of phage co-incubation.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b,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c,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Representative spot test images validating lytic phenotypes.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d,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Consistency matrix demonstrating complete concordance between dPST classifications and spot test results. Data represent 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eastAsia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3).</w:t>
      </w:r>
    </w:p>
    <w:p w14:paraId="0CAE0B9A">
      <w:pPr>
        <w:widowControl/>
        <w:spacing w:line="360" w:lineRule="auto"/>
        <w:jc w:val="left"/>
        <w:rPr>
          <w:rStyle w:val="12"/>
          <w:rFonts w:hint="default" w:ascii="Times New Roman" w:hAnsi="Times New Roman" w:eastAsia="Noto Sans" w:cs="Times New Roman"/>
          <w:b w:val="0"/>
          <w:bCs w:val="0"/>
          <w:color w:val="000000"/>
          <w:sz w:val="22"/>
          <w:szCs w:val="22"/>
          <w:shd w:val="clear" w:color="auto" w:fill="FFFFFF"/>
          <w:lang w:eastAsia="zh"/>
        </w:rPr>
      </w:pPr>
    </w:p>
    <w:p w14:paraId="0362FB53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809490" cy="3935095"/>
            <wp:effectExtent l="0" t="0" r="635" b="8255"/>
            <wp:docPr id="4" name="图片 4" descr="25.12.11-wd1_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.12.11-wd1_S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ED6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Supplementary Fig. 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  <w:lang w:val="en-US" w:eastAsia="zh-CN"/>
        </w:rPr>
        <w:t>8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  <w:lang w:eastAsia="zh-CN"/>
        </w:rPr>
        <w:t>.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Comparative profiling of phage</w:t>
      </w:r>
      <w:r>
        <w:rPr>
          <w:rStyle w:val="12"/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–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E. coli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  <w:lang w:val="en-US" w:eastAsia="zh-CN"/>
        </w:rPr>
        <w:t xml:space="preserve">isolate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  <w:lang w:val="en-US" w:eastAsia="zh-CN"/>
        </w:rPr>
        <w:t>64</w:t>
      </w:r>
      <w:r>
        <w:rPr>
          <w:rStyle w:val="12"/>
          <w:rFonts w:hint="eastAsia"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14:paraId="296CDB3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default" w:ascii="Times New Roman" w:hAnsi="Times New Roman" w:eastAsia="Noto Sans" w:cs="Times New Roman"/>
          <w:b w:val="0"/>
          <w:bCs/>
          <w:color w:val="000000"/>
          <w:kern w:val="0"/>
          <w:sz w:val="22"/>
          <w:szCs w:val="22"/>
          <w:shd w:val="clear" w:color="auto" w:fill="FFFFFF"/>
          <w:lang w:val="en-US" w:eastAsia="zh-CN"/>
        </w:rPr>
      </w:pP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a,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dPST quantification of released genomic DNA (blue bars) and corresponding fold-change values (red line) following 1 h of phage co-incubation.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b,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c,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Representative spot test images validating lytic phenotypes. </w:t>
      </w:r>
      <w:r>
        <w:rPr>
          <w:rStyle w:val="12"/>
          <w:rFonts w:hint="eastAsia" w:ascii="Times New Roman" w:hAnsi="Times New Roman" w:cs="Times New Roman"/>
          <w:b/>
          <w:bCs w:val="0"/>
          <w:color w:val="000000"/>
          <w:sz w:val="22"/>
          <w:szCs w:val="22"/>
          <w:shd w:val="clear" w:color="auto" w:fill="FFFFFF"/>
        </w:rPr>
        <w:t>d,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Consistency matrix demonstrating complete concordance between dPST classifications and spot test results. Data represent 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eastAsia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eastAsia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3).</w:t>
      </w:r>
    </w:p>
    <w:p w14:paraId="3A5E012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default" w:ascii="Times New Roman" w:hAnsi="Times New Roman" w:eastAsia="Noto Sans" w:cs="Times New Roman"/>
          <w:b/>
          <w:bCs/>
          <w:color w:val="000000"/>
          <w:sz w:val="22"/>
          <w:szCs w:val="22"/>
          <w:shd w:val="clear" w:color="auto" w:fill="FFFFFF"/>
          <w:lang w:eastAsia="zh-CN"/>
        </w:rPr>
      </w:pPr>
    </w:p>
    <w:p w14:paraId="14BED0BF">
      <w:pPr>
        <w:widowControl/>
        <w:spacing w:line="360" w:lineRule="auto"/>
        <w:jc w:val="both"/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</w:rPr>
      </w:pPr>
    </w:p>
    <w:p w14:paraId="425EF166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751705" cy="3931920"/>
            <wp:effectExtent l="0" t="0" r="1270" b="1905"/>
            <wp:docPr id="5" name="图片 5" descr="25.12.11-wd1_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.12.11-wd1_S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9B79">
      <w:pPr>
        <w:widowControl/>
        <w:spacing w:line="360" w:lineRule="auto"/>
        <w:jc w:val="both"/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</w:pP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Supplementary Fig. 9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  <w:t xml:space="preserve">.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Comparative profiling of phage</w:t>
      </w:r>
      <w:r>
        <w:rPr>
          <w:rStyle w:val="12"/>
          <w:rFonts w:hint="default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–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eastAsia="Noto Sans" w:cs="Times New Roman"/>
          <w:i/>
          <w:iCs/>
          <w:color w:val="000000"/>
          <w:sz w:val="22"/>
          <w:szCs w:val="22"/>
          <w:shd w:val="clear" w:color="auto" w:fill="FFFFFF"/>
        </w:rPr>
        <w:t>A. baumannii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 isolate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  <w:t>Aba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03.</w:t>
      </w:r>
    </w:p>
    <w:p w14:paraId="1DC9D0AD">
      <w:pPr>
        <w:widowControl/>
        <w:spacing w:line="360" w:lineRule="auto"/>
        <w:jc w:val="both"/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a,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dPST quantification of released genomic DNA (blue bars) and corresponding fold-change values (red line) following 1.5 h of phage co-incubation.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>b,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c,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Representative spot test images validating lytic phenotypes.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d,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Consistency matrix comparing dPST classifications with spot test outcomes. Data represent 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default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>.</w:t>
      </w:r>
    </w:p>
    <w:p w14:paraId="495E8109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748530" cy="3935095"/>
            <wp:effectExtent l="0" t="0" r="4445" b="8255"/>
            <wp:docPr id="7" name="图片 7" descr="25.12.11-wd1_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.12.11-wd1_S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87B6">
      <w:pPr>
        <w:widowControl/>
        <w:spacing w:line="360" w:lineRule="auto"/>
        <w:jc w:val="both"/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</w:pP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Supplementary Fig.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  <w:t xml:space="preserve">10.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Comparative profiling of phage</w:t>
      </w:r>
      <w:r>
        <w:rPr>
          <w:rStyle w:val="12"/>
          <w:rFonts w:hint="default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–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eastAsia="Noto Sans" w:cs="Times New Roman"/>
          <w:i/>
          <w:iCs/>
          <w:color w:val="000000"/>
          <w:sz w:val="22"/>
          <w:szCs w:val="22"/>
          <w:shd w:val="clear" w:color="auto" w:fill="FFFFFF"/>
        </w:rPr>
        <w:t>A. baumannii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 isolate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  <w:t>Aba33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.</w:t>
      </w:r>
    </w:p>
    <w:p w14:paraId="50958114">
      <w:pPr>
        <w:widowControl/>
        <w:spacing w:line="360" w:lineRule="auto"/>
        <w:jc w:val="both"/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a,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dPST quantification of released genomic DNA (blue bars) and corresponding fold-change values (red line) following 1.5 h of phage co-incubation.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>b,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c,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Representative spot test images validating lytic phenotypes.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d,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Consistency matrix comparing dPST classifications with spot test outcomes. Data represent 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default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>.</w:t>
      </w:r>
    </w:p>
    <w:p w14:paraId="6805EC52">
      <w:pPr>
        <w:widowControl/>
        <w:spacing w:line="360" w:lineRule="auto"/>
        <w:jc w:val="both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br w:type="page"/>
      </w:r>
    </w:p>
    <w:p w14:paraId="25D389CA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751705" cy="3935095"/>
            <wp:effectExtent l="0" t="0" r="1270" b="8255"/>
            <wp:docPr id="8" name="图片 8" descr="25.12.11-wd1_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.12.11-wd1_S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FA03">
      <w:pPr>
        <w:widowControl/>
        <w:spacing w:line="360" w:lineRule="auto"/>
        <w:jc w:val="both"/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</w:pP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Supplementary Fig.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  <w:t xml:space="preserve">11.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Comparative profiling of phage</w:t>
      </w:r>
      <w:r>
        <w:rPr>
          <w:rStyle w:val="12"/>
          <w:rFonts w:hint="default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–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eastAsia="Noto Sans" w:cs="Times New Roman"/>
          <w:i/>
          <w:iCs/>
          <w:color w:val="000000"/>
          <w:sz w:val="22"/>
          <w:szCs w:val="22"/>
          <w:shd w:val="clear" w:color="auto" w:fill="FFFFFF"/>
        </w:rPr>
        <w:t>A. baumannii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 isolate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  <w:t>Aba60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.</w:t>
      </w:r>
    </w:p>
    <w:p w14:paraId="350D0DEE">
      <w:pPr>
        <w:widowControl/>
        <w:spacing w:line="360" w:lineRule="auto"/>
        <w:jc w:val="both"/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a,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dPST quantification of released genomic DNA (blue bars) and corresponding fold-change values (red line) following 1.5 h of phage co-incubation.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>b,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c,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Representative spot test images validating lytic phenotypes.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d,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Consistency matrix comparing dPST classifications with spot test outcomes. Data represent 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default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>.</w:t>
      </w:r>
    </w:p>
    <w:p w14:paraId="1A316F68">
      <w:pPr>
        <w:widowControl/>
        <w:spacing w:line="360" w:lineRule="auto"/>
        <w:jc w:val="left"/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</w:rPr>
      </w:pPr>
      <w:r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</w:rPr>
        <w:br w:type="page"/>
      </w:r>
    </w:p>
    <w:p w14:paraId="52AB647D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751705" cy="3935095"/>
            <wp:effectExtent l="0" t="0" r="1270" b="8255"/>
            <wp:docPr id="9" name="图片 9" descr="25.12.11-wd1_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.12.11-wd1_S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B970">
      <w:pPr>
        <w:widowControl/>
        <w:spacing w:line="360" w:lineRule="auto"/>
        <w:jc w:val="both"/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</w:pP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Supplementary Fig.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  <w:t xml:space="preserve">12.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Comparative profiling of phage</w:t>
      </w:r>
      <w:r>
        <w:rPr>
          <w:rStyle w:val="12"/>
          <w:rFonts w:hint="default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–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eastAsia="Noto Sans" w:cs="Times New Roman"/>
          <w:i/>
          <w:iCs/>
          <w:color w:val="000000"/>
          <w:sz w:val="22"/>
          <w:szCs w:val="22"/>
          <w:shd w:val="clear" w:color="auto" w:fill="FFFFFF"/>
        </w:rPr>
        <w:t>A. baumannii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 xml:space="preserve"> isolate 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  <w:lang w:val="en-US" w:eastAsia="zh-CN"/>
        </w:rPr>
        <w:t>Aba111</w:t>
      </w:r>
      <w:r>
        <w:rPr>
          <w:rStyle w:val="12"/>
          <w:rFonts w:hint="eastAsia" w:ascii="Times New Roman" w:hAnsi="Times New Roman" w:eastAsia="Noto Sans" w:cs="Times New Roman"/>
          <w:color w:val="000000"/>
          <w:sz w:val="22"/>
          <w:szCs w:val="22"/>
          <w:shd w:val="clear" w:color="auto" w:fill="FFFFFF"/>
        </w:rPr>
        <w:t>.</w:t>
      </w:r>
    </w:p>
    <w:p w14:paraId="36F89E5B">
      <w:pPr>
        <w:widowControl/>
        <w:spacing w:line="360" w:lineRule="auto"/>
        <w:jc w:val="both"/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a,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dPST quantification of released genomic DNA (blue bars) and corresponding fold-change values (red line) following 1.5 h of phage co-incubation.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>b,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c,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Representative spot test images validating lytic phenotypes.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z w:val="22"/>
          <w:szCs w:val="22"/>
          <w:shd w:val="clear" w:color="auto" w:fill="FFFFFF"/>
        </w:rPr>
        <w:t xml:space="preserve">d,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Consistency matrix comparing dPST classifications with spot test outcomes. Data represent 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default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>.</w:t>
      </w:r>
    </w:p>
    <w:p w14:paraId="1A5042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ascii="Times New Roman" w:hAnsi="Times New Roman" w:eastAsia="Noto Sans" w:cs="Times New Roman"/>
          <w:color w:val="000000"/>
          <w:shd w:val="clear" w:color="auto" w:fill="FFFFFF"/>
        </w:rPr>
      </w:pPr>
    </w:p>
    <w:p w14:paraId="56644300">
      <w:pPr>
        <w:widowControl/>
        <w:spacing w:line="360" w:lineRule="auto"/>
        <w:jc w:val="center"/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"/>
        </w:rPr>
      </w:pPr>
      <w:r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</w:rPr>
        <w:br w:type="page"/>
      </w:r>
    </w:p>
    <w:p w14:paraId="2E1BFDB3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751705" cy="3931920"/>
            <wp:effectExtent l="0" t="0" r="1270" b="1905"/>
            <wp:docPr id="10" name="图片 10" descr="25.12.11-wd1_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5.12.11-wd1_S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315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Supplementary Fig. 13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.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 Comparative profiling of phage</w:t>
      </w:r>
      <w:r>
        <w:rPr>
          <w:rStyle w:val="12"/>
          <w:rFonts w:hint="default" w:ascii="Times New Roman" w:hAnsi="Times New Roman" w:eastAsia="Noto Sans" w:cs="Times New Roman"/>
          <w:color w:val="000000"/>
          <w:shd w:val="clear" w:color="auto" w:fill="FFFFFF"/>
        </w:rPr>
        <w:t>–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eastAsia="Noto Sans" w:cs="Times New Roman"/>
          <w:i/>
          <w:iCs/>
          <w:color w:val="000000"/>
          <w:shd w:val="clear" w:color="auto" w:fill="FFFFFF"/>
        </w:rPr>
        <w:t>K. pneumoniae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 isolate 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Kpn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04.</w:t>
      </w:r>
    </w:p>
    <w:p w14:paraId="2F11E78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ascii="Times New Roman" w:hAnsi="Times New Roman" w:eastAsia="Noto Sans" w:cs="Times New Roman"/>
          <w:b w:val="0"/>
          <w:bCs/>
          <w:color w:val="000000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 xml:space="preserve">a,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dPST quantification of released genomic DNA (blue bars) and corresponding fold-change values (red line) following 30 min of phage co-incubation.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b,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c,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Representative spot test images determining lytic phenotypes.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d,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Consistency matrix comparing dPST classifications with spot test outcomes. Data represent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default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>.</w:t>
      </w:r>
    </w:p>
    <w:p w14:paraId="28FA021D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"/>
        </w:rPr>
      </w:pPr>
    </w:p>
    <w:p w14:paraId="6A9100D7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748530" cy="3931920"/>
            <wp:effectExtent l="0" t="0" r="4445" b="1905"/>
            <wp:docPr id="11" name="图片 11" descr="25.12.11-wd1_S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.12.11-wd1_S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5E1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Supplementary Fig. 1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4.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 Comparative profiling of phage</w:t>
      </w:r>
      <w:r>
        <w:rPr>
          <w:rStyle w:val="12"/>
          <w:rFonts w:hint="default" w:ascii="Times New Roman" w:hAnsi="Times New Roman" w:eastAsia="Noto Sans" w:cs="Times New Roman"/>
          <w:color w:val="000000"/>
          <w:shd w:val="clear" w:color="auto" w:fill="FFFFFF"/>
        </w:rPr>
        <w:t>–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eastAsia="Noto Sans" w:cs="Times New Roman"/>
          <w:i/>
          <w:iCs/>
          <w:color w:val="000000"/>
          <w:shd w:val="clear" w:color="auto" w:fill="FFFFFF"/>
        </w:rPr>
        <w:t>K. pneumoniae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 isolate 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Kpn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0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5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.</w:t>
      </w:r>
    </w:p>
    <w:p w14:paraId="2F91ABE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ascii="Times New Roman" w:hAnsi="Times New Roman" w:eastAsia="Noto Sans" w:cs="Times New Roman"/>
          <w:b w:val="0"/>
          <w:bCs/>
          <w:color w:val="000000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 xml:space="preserve">a,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dPST quantification of released genomic DNA (blue bars) and corresponding fold-change values (red line) following 30 min of phage co-incubation.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b,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c,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Representative spot test images determining lytic phenotypes.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d,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Consistency matrix comparing dPST classifications with spot test outcomes. Data represent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default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>.</w:t>
      </w:r>
    </w:p>
    <w:p w14:paraId="235541D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ascii="Times New Roman" w:hAnsi="Times New Roman" w:eastAsia="Noto Sans" w:cs="Times New Roman"/>
          <w:color w:val="000000"/>
          <w:shd w:val="clear" w:color="auto" w:fill="FFFFFF"/>
        </w:rPr>
      </w:pPr>
    </w:p>
    <w:p w14:paraId="5F6B31BD">
      <w:pPr>
        <w:widowControl/>
        <w:spacing w:line="360" w:lineRule="auto"/>
        <w:jc w:val="center"/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"/>
        </w:rPr>
        <w:br w:type="page"/>
      </w:r>
    </w:p>
    <w:p w14:paraId="2E5FF83A">
      <w:pPr>
        <w:widowControl/>
        <w:spacing w:line="360" w:lineRule="auto"/>
        <w:jc w:val="left"/>
        <w:rPr>
          <w:rStyle w:val="12"/>
          <w:rFonts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"/>
        </w:rPr>
      </w:pPr>
    </w:p>
    <w:p w14:paraId="568AF404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751705" cy="3935095"/>
            <wp:effectExtent l="0" t="0" r="1270" b="8255"/>
            <wp:docPr id="12" name="图片 12" descr="25.12.11-wd1_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5.12.11-wd1_S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D7B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Supplementary Fig. 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15.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 Comparative profiling of phage</w:t>
      </w:r>
      <w:r>
        <w:rPr>
          <w:rStyle w:val="12"/>
          <w:rFonts w:hint="default" w:ascii="Times New Roman" w:hAnsi="Times New Roman" w:eastAsia="Noto Sans" w:cs="Times New Roman"/>
          <w:color w:val="000000"/>
          <w:shd w:val="clear" w:color="auto" w:fill="FFFFFF"/>
        </w:rPr>
        <w:t>–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eastAsia="Noto Sans" w:cs="Times New Roman"/>
          <w:i/>
          <w:iCs/>
          <w:color w:val="000000"/>
          <w:shd w:val="clear" w:color="auto" w:fill="FFFFFF"/>
        </w:rPr>
        <w:t>K. pneumoniae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 isolate 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Kpn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0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8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.</w:t>
      </w:r>
    </w:p>
    <w:p w14:paraId="62F789A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ascii="Times New Roman" w:hAnsi="Times New Roman" w:eastAsia="Noto Sans" w:cs="Times New Roman"/>
          <w:color w:val="000000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 xml:space="preserve">a,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dPST quantification of released genomic DNA (blue bars) and corresponding fold-change values (red line) following 30 min of phage co-incubation.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b,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c,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Representative spot test images determining lytic phenotypes.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d,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Consistency matrix comparing dPST classifications with spot test outcomes. Data represent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default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>.</w:t>
      </w:r>
    </w:p>
    <w:p w14:paraId="1E999EB1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</w:p>
    <w:p w14:paraId="32C2975F">
      <w:pPr>
        <w:widowControl/>
        <w:spacing w:line="360" w:lineRule="auto"/>
        <w:jc w:val="center"/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</w:pPr>
      <w:r>
        <w:rPr>
          <w:rStyle w:val="12"/>
          <w:rFonts w:hint="default" w:ascii="Times New Roman" w:hAnsi="Times New Roman" w:eastAsia="Noto Sans" w:cs="Times New Roman"/>
          <w:bCs/>
          <w:color w:val="000000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751705" cy="3935095"/>
            <wp:effectExtent l="0" t="0" r="1270" b="8255"/>
            <wp:docPr id="13" name="图片 13" descr="25.12.11-wd1_S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5.12.11-wd1_S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ED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Supplementary Fig. 1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6.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 Comparative profiling of phage</w:t>
      </w:r>
      <w:r>
        <w:rPr>
          <w:rStyle w:val="12"/>
          <w:rFonts w:hint="default" w:ascii="Times New Roman" w:hAnsi="Times New Roman" w:eastAsia="Noto Sans" w:cs="Times New Roman"/>
          <w:color w:val="000000"/>
          <w:shd w:val="clear" w:color="auto" w:fill="FFFFFF"/>
        </w:rPr>
        <w:t>–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host interactions for clinical </w:t>
      </w:r>
      <w:r>
        <w:rPr>
          <w:rStyle w:val="12"/>
          <w:rFonts w:hint="eastAsia" w:ascii="Times New Roman" w:hAnsi="Times New Roman" w:eastAsia="Noto Sans" w:cs="Times New Roman"/>
          <w:i/>
          <w:iCs/>
          <w:color w:val="000000"/>
          <w:shd w:val="clear" w:color="auto" w:fill="FFFFFF"/>
        </w:rPr>
        <w:t>K. pneumoniae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 xml:space="preserve"> isolate 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Kpn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0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  <w:lang w:val="en-US" w:eastAsia="zh-CN"/>
        </w:rPr>
        <w:t>9</w:t>
      </w:r>
      <w:r>
        <w:rPr>
          <w:rStyle w:val="12"/>
          <w:rFonts w:hint="eastAsia" w:ascii="Times New Roman" w:hAnsi="Times New Roman" w:eastAsia="Noto Sans" w:cs="Times New Roman"/>
          <w:color w:val="000000"/>
          <w:shd w:val="clear" w:color="auto" w:fill="FFFFFF"/>
        </w:rPr>
        <w:t>.</w:t>
      </w:r>
    </w:p>
    <w:p w14:paraId="1E411D3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12"/>
          <w:rFonts w:ascii="Times New Roman" w:hAnsi="Times New Roman" w:eastAsia="Noto Sans" w:cs="Times New Roman"/>
          <w:b w:val="0"/>
          <w:bCs/>
          <w:color w:val="000000"/>
          <w:shd w:val="clear" w:color="auto" w:fill="FFFFFF"/>
        </w:rPr>
      </w:pP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 xml:space="preserve">a,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dPST quantification of released genomic DNA (blue bars) and corresponding fold-change values (red line) following 30 min of phage co-incubation.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b,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Real-time bacterial growth kinetics (OD600) monitored over 5 h.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c,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Representative spot test images determining lytic phenotypes. </w:t>
      </w:r>
      <w:r>
        <w:rPr>
          <w:rStyle w:val="12"/>
          <w:rFonts w:hint="eastAsia" w:ascii="Times New Roman" w:hAnsi="Times New Roman" w:eastAsia="Noto Sans" w:cs="Times New Roman"/>
          <w:b/>
          <w:bCs w:val="0"/>
          <w:color w:val="000000"/>
          <w:shd w:val="clear" w:color="auto" w:fill="FFFFFF"/>
        </w:rPr>
        <w:t>d,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 xml:space="preserve"> Consistency matrix comparing dPST classifications with spot test outcomes. Data represent 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mean </w:t>
      </w:r>
      <w:r>
        <w:rPr>
          <w:rFonts w:hint="default" w:ascii="Times New Roman" w:hAnsi="Times New Roman" w:cs="Times New Roman"/>
          <w:color w:val="auto"/>
          <w:kern w:val="0"/>
          <w:sz w:val="22"/>
          <w:szCs w:val="22"/>
          <w:lang w:eastAsia="zh"/>
        </w:rPr>
        <w:t>±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 xml:space="preserve"> s.d. (</w:t>
      </w:r>
      <w:r>
        <w:rPr>
          <w:rStyle w:val="12"/>
          <w:rFonts w:hint="default" w:ascii="Times New Roman" w:hAnsi="Times New Roman" w:cs="Times New Roman"/>
          <w:b w:val="0"/>
          <w:bCs/>
          <w:i/>
          <w:iCs/>
          <w:color w:val="000000"/>
          <w:sz w:val="22"/>
          <w:szCs w:val="22"/>
          <w:shd w:val="clear" w:color="auto" w:fill="FFFFFF"/>
        </w:rPr>
        <w:t>n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=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12"/>
          <w:rFonts w:hint="default" w:ascii="Times New Roman" w:hAnsi="Times New Roman" w:cs="Times New Roman"/>
          <w:b w:val="0"/>
          <w:bCs/>
          <w:color w:val="000000"/>
          <w:sz w:val="22"/>
          <w:szCs w:val="22"/>
          <w:shd w:val="clear" w:color="auto" w:fill="FFFFFF"/>
        </w:rPr>
        <w:t>3)</w:t>
      </w:r>
      <w:r>
        <w:rPr>
          <w:rStyle w:val="12"/>
          <w:rFonts w:hint="eastAsia" w:ascii="Times New Roman" w:hAnsi="Times New Roman" w:eastAsia="Noto Sans" w:cs="Times New Roman"/>
          <w:b w:val="0"/>
          <w:bCs/>
          <w:color w:val="000000"/>
          <w:shd w:val="clear" w:color="auto" w:fill="FFFFFF"/>
        </w:rPr>
        <w:t>.</w:t>
      </w:r>
    </w:p>
    <w:p w14:paraId="519FD11E">
      <w:pPr>
        <w:widowControl/>
        <w:spacing w:line="360" w:lineRule="auto"/>
        <w:jc w:val="both"/>
        <w:rPr>
          <w:rStyle w:val="14"/>
          <w:rFonts w:hint="default" w:ascii="Times New Roman" w:hAnsi="Times New Roman" w:cs="Times New Roman"/>
          <w:sz w:val="22"/>
          <w:szCs w:val="22"/>
        </w:rPr>
      </w:pPr>
    </w:p>
    <w:bookmarkEnd w:id="0"/>
    <w:sectPr>
      <w:pgSz w:w="13380" w:h="16905"/>
      <w:pgMar w:top="1440" w:right="1800" w:bottom="1440" w:left="1800" w:header="850" w:footer="991" w:gutter="0"/>
      <w:pgBorders>
        <w:top w:val="none" w:sz="0" w:space="0"/>
        <w:left w:val="none" w:sz="0" w:space="0"/>
        <w:bottom w:val="none" w:sz="0" w:space="0"/>
        <w:right w:val="none" w:sz="0" w:space="0"/>
      </w:pgBorders>
      <w:lnNumType w:countBy="1" w:restart="continuous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Noto Sans">
    <w:altName w:val="Noto Sans SC"/>
    <w:panose1 w:val="020B0502040504020204"/>
    <w:charset w:val="00"/>
    <w:family w:val="swiss"/>
    <w:pitch w:val="default"/>
    <w:sig w:usb0="00000000" w:usb1="00000000" w:usb2="08000029" w:usb3="00100000" w:csb0="00000000" w:csb1="0000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ans-serif">
    <w:altName w:val="SWAstr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WAstro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isplayBackgroundShape w:val="1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A2B52"/>
    <w:rsid w:val="000D7FE2"/>
    <w:rsid w:val="00172A27"/>
    <w:rsid w:val="00544A4F"/>
    <w:rsid w:val="00623FEB"/>
    <w:rsid w:val="006972F3"/>
    <w:rsid w:val="007F03FB"/>
    <w:rsid w:val="008B4F5F"/>
    <w:rsid w:val="009846E8"/>
    <w:rsid w:val="00A66AFE"/>
    <w:rsid w:val="00AF6F66"/>
    <w:rsid w:val="00D13095"/>
    <w:rsid w:val="00D211F2"/>
    <w:rsid w:val="02D9551D"/>
    <w:rsid w:val="034C72DC"/>
    <w:rsid w:val="03BB4EEB"/>
    <w:rsid w:val="03F82FC0"/>
    <w:rsid w:val="0447745E"/>
    <w:rsid w:val="047A5D13"/>
    <w:rsid w:val="04D60F61"/>
    <w:rsid w:val="072B0FB7"/>
    <w:rsid w:val="080A0B4A"/>
    <w:rsid w:val="084D31AF"/>
    <w:rsid w:val="087F008D"/>
    <w:rsid w:val="09B06229"/>
    <w:rsid w:val="0A7415C1"/>
    <w:rsid w:val="0A7C2BA0"/>
    <w:rsid w:val="0AA90B70"/>
    <w:rsid w:val="0ACC0D02"/>
    <w:rsid w:val="0ADE7D0F"/>
    <w:rsid w:val="0B974E6D"/>
    <w:rsid w:val="0C6E60F3"/>
    <w:rsid w:val="0C871CA3"/>
    <w:rsid w:val="0CB71419"/>
    <w:rsid w:val="0CFBE445"/>
    <w:rsid w:val="0CFD41D5"/>
    <w:rsid w:val="0D690A8B"/>
    <w:rsid w:val="0DD9D3A9"/>
    <w:rsid w:val="0DF30981"/>
    <w:rsid w:val="0DFF1429"/>
    <w:rsid w:val="0E2315D2"/>
    <w:rsid w:val="0F1B4006"/>
    <w:rsid w:val="0F3A40D8"/>
    <w:rsid w:val="0F7554C5"/>
    <w:rsid w:val="0FEFCF55"/>
    <w:rsid w:val="11612269"/>
    <w:rsid w:val="126B0E01"/>
    <w:rsid w:val="12BE4CF0"/>
    <w:rsid w:val="13DF3855"/>
    <w:rsid w:val="14636234"/>
    <w:rsid w:val="152534E9"/>
    <w:rsid w:val="15CB2996"/>
    <w:rsid w:val="160C11E0"/>
    <w:rsid w:val="16BA7F2A"/>
    <w:rsid w:val="17435EA8"/>
    <w:rsid w:val="177644D0"/>
    <w:rsid w:val="17BDE9B5"/>
    <w:rsid w:val="17C96F08"/>
    <w:rsid w:val="17DDC18D"/>
    <w:rsid w:val="17E903AD"/>
    <w:rsid w:val="180970F2"/>
    <w:rsid w:val="18AE37F5"/>
    <w:rsid w:val="18BFCCA7"/>
    <w:rsid w:val="190D769B"/>
    <w:rsid w:val="19467ED2"/>
    <w:rsid w:val="1A07072A"/>
    <w:rsid w:val="1A0F5CBD"/>
    <w:rsid w:val="1C766D20"/>
    <w:rsid w:val="1DDF4CD8"/>
    <w:rsid w:val="1DEB7123"/>
    <w:rsid w:val="1DFF3D60"/>
    <w:rsid w:val="1E241183"/>
    <w:rsid w:val="1E5906A7"/>
    <w:rsid w:val="1EDA5405"/>
    <w:rsid w:val="1F053806"/>
    <w:rsid w:val="1F163F21"/>
    <w:rsid w:val="1F2973DE"/>
    <w:rsid w:val="1F30519D"/>
    <w:rsid w:val="1F6FD1DC"/>
    <w:rsid w:val="1FBEEB46"/>
    <w:rsid w:val="1FDEA794"/>
    <w:rsid w:val="1FE7671E"/>
    <w:rsid w:val="1FFAFA3D"/>
    <w:rsid w:val="202D4A74"/>
    <w:rsid w:val="21156B08"/>
    <w:rsid w:val="216929AF"/>
    <w:rsid w:val="218A246D"/>
    <w:rsid w:val="22787170"/>
    <w:rsid w:val="22D14CB0"/>
    <w:rsid w:val="23AD74CB"/>
    <w:rsid w:val="242C1E1B"/>
    <w:rsid w:val="25036F6F"/>
    <w:rsid w:val="25AE7211"/>
    <w:rsid w:val="260D5E04"/>
    <w:rsid w:val="260F621B"/>
    <w:rsid w:val="26232DC7"/>
    <w:rsid w:val="26F15F43"/>
    <w:rsid w:val="271433BD"/>
    <w:rsid w:val="283373FD"/>
    <w:rsid w:val="28AF15F0"/>
    <w:rsid w:val="28E0722F"/>
    <w:rsid w:val="29210F54"/>
    <w:rsid w:val="293935AF"/>
    <w:rsid w:val="29791BFE"/>
    <w:rsid w:val="29F81013"/>
    <w:rsid w:val="2ACFA4F6"/>
    <w:rsid w:val="2BB74579"/>
    <w:rsid w:val="2BD66F2D"/>
    <w:rsid w:val="2BDFD181"/>
    <w:rsid w:val="2CFF241A"/>
    <w:rsid w:val="2DEDB1EF"/>
    <w:rsid w:val="2DFD104F"/>
    <w:rsid w:val="2E104609"/>
    <w:rsid w:val="2E3D31FA"/>
    <w:rsid w:val="2E692649"/>
    <w:rsid w:val="2E6B420B"/>
    <w:rsid w:val="2EAC4558"/>
    <w:rsid w:val="2EFB26B3"/>
    <w:rsid w:val="2F2C6D10"/>
    <w:rsid w:val="2F6F19CE"/>
    <w:rsid w:val="2F7F9DAF"/>
    <w:rsid w:val="2F8B61E7"/>
    <w:rsid w:val="2F9FB270"/>
    <w:rsid w:val="2FCFF3C2"/>
    <w:rsid w:val="2FE60ECB"/>
    <w:rsid w:val="314D409C"/>
    <w:rsid w:val="326C0551"/>
    <w:rsid w:val="32C32302"/>
    <w:rsid w:val="3350E4B8"/>
    <w:rsid w:val="337B426B"/>
    <w:rsid w:val="344468FE"/>
    <w:rsid w:val="35DF0B77"/>
    <w:rsid w:val="36723C5D"/>
    <w:rsid w:val="367D4926"/>
    <w:rsid w:val="37EB5469"/>
    <w:rsid w:val="37FDBD3F"/>
    <w:rsid w:val="37FF0DDD"/>
    <w:rsid w:val="37FFF01A"/>
    <w:rsid w:val="38934A8A"/>
    <w:rsid w:val="39561614"/>
    <w:rsid w:val="3A8D4B1B"/>
    <w:rsid w:val="3AB903B4"/>
    <w:rsid w:val="3AC99F64"/>
    <w:rsid w:val="3B5E2A01"/>
    <w:rsid w:val="3B8622B4"/>
    <w:rsid w:val="3BB93856"/>
    <w:rsid w:val="3BDF1FA1"/>
    <w:rsid w:val="3BF44B92"/>
    <w:rsid w:val="3BF82C75"/>
    <w:rsid w:val="3BFD9413"/>
    <w:rsid w:val="3C630ACA"/>
    <w:rsid w:val="3CF81D16"/>
    <w:rsid w:val="3CFD3609"/>
    <w:rsid w:val="3D3E2C65"/>
    <w:rsid w:val="3D661BDB"/>
    <w:rsid w:val="3DBE0642"/>
    <w:rsid w:val="3DCF687C"/>
    <w:rsid w:val="3DDEAEC1"/>
    <w:rsid w:val="3DFA971D"/>
    <w:rsid w:val="3E016E4C"/>
    <w:rsid w:val="3E3A5819"/>
    <w:rsid w:val="3E607F66"/>
    <w:rsid w:val="3E68075C"/>
    <w:rsid w:val="3E6BDFF5"/>
    <w:rsid w:val="3E971C80"/>
    <w:rsid w:val="3EF5097F"/>
    <w:rsid w:val="3EFFD6BF"/>
    <w:rsid w:val="3F890995"/>
    <w:rsid w:val="3FDD2545"/>
    <w:rsid w:val="3FDF4D75"/>
    <w:rsid w:val="3FF2BF08"/>
    <w:rsid w:val="3FF41E68"/>
    <w:rsid w:val="3FF7DFB0"/>
    <w:rsid w:val="41670862"/>
    <w:rsid w:val="41B43227"/>
    <w:rsid w:val="41FD0D21"/>
    <w:rsid w:val="425A03C6"/>
    <w:rsid w:val="42C47321"/>
    <w:rsid w:val="43616B74"/>
    <w:rsid w:val="43FC14B7"/>
    <w:rsid w:val="4574179F"/>
    <w:rsid w:val="46046235"/>
    <w:rsid w:val="47573126"/>
    <w:rsid w:val="48582D1F"/>
    <w:rsid w:val="48AB1656"/>
    <w:rsid w:val="49B93101"/>
    <w:rsid w:val="49C11C8B"/>
    <w:rsid w:val="4A057ACA"/>
    <w:rsid w:val="4A9621B8"/>
    <w:rsid w:val="4ABD14F2"/>
    <w:rsid w:val="4AC2009F"/>
    <w:rsid w:val="4AFA62A3"/>
    <w:rsid w:val="4C387CBA"/>
    <w:rsid w:val="4D5B7CB2"/>
    <w:rsid w:val="4D622592"/>
    <w:rsid w:val="4D7D491D"/>
    <w:rsid w:val="4DFA480C"/>
    <w:rsid w:val="4DFC4919"/>
    <w:rsid w:val="4E747A56"/>
    <w:rsid w:val="4FE85264"/>
    <w:rsid w:val="4FFF4C6D"/>
    <w:rsid w:val="511931FB"/>
    <w:rsid w:val="52617241"/>
    <w:rsid w:val="531E0F9C"/>
    <w:rsid w:val="532C5467"/>
    <w:rsid w:val="54181E8F"/>
    <w:rsid w:val="54C97CAA"/>
    <w:rsid w:val="54D75805"/>
    <w:rsid w:val="54D7F247"/>
    <w:rsid w:val="54DF2DDF"/>
    <w:rsid w:val="54EA55DA"/>
    <w:rsid w:val="54FBB6AE"/>
    <w:rsid w:val="54FFDAEC"/>
    <w:rsid w:val="554C7D7D"/>
    <w:rsid w:val="55785348"/>
    <w:rsid w:val="55B9EBB1"/>
    <w:rsid w:val="55D325E8"/>
    <w:rsid w:val="55EF48BB"/>
    <w:rsid w:val="55FFDE02"/>
    <w:rsid w:val="56325C16"/>
    <w:rsid w:val="56FAF0C8"/>
    <w:rsid w:val="56FC6FD2"/>
    <w:rsid w:val="5776D182"/>
    <w:rsid w:val="57D040B3"/>
    <w:rsid w:val="57FD9151"/>
    <w:rsid w:val="580E1EEE"/>
    <w:rsid w:val="58134E48"/>
    <w:rsid w:val="58FB4E97"/>
    <w:rsid w:val="59393488"/>
    <w:rsid w:val="5A41059A"/>
    <w:rsid w:val="5B577486"/>
    <w:rsid w:val="5B748025"/>
    <w:rsid w:val="5BDFC401"/>
    <w:rsid w:val="5C3DF7A1"/>
    <w:rsid w:val="5C9F03EC"/>
    <w:rsid w:val="5CC958D1"/>
    <w:rsid w:val="5CE648D9"/>
    <w:rsid w:val="5D6D6DA8"/>
    <w:rsid w:val="5DB60DC2"/>
    <w:rsid w:val="5DCD1BD7"/>
    <w:rsid w:val="5DD7ACA4"/>
    <w:rsid w:val="5DDF424D"/>
    <w:rsid w:val="5EB70A39"/>
    <w:rsid w:val="5EB82463"/>
    <w:rsid w:val="5ECC440B"/>
    <w:rsid w:val="5ED68E24"/>
    <w:rsid w:val="5EDB41E5"/>
    <w:rsid w:val="5F223BC2"/>
    <w:rsid w:val="5F7EAD41"/>
    <w:rsid w:val="5F943345"/>
    <w:rsid w:val="5FA4B995"/>
    <w:rsid w:val="5FBB92D4"/>
    <w:rsid w:val="5FDF8D87"/>
    <w:rsid w:val="5FE5BE31"/>
    <w:rsid w:val="5FEFEBB6"/>
    <w:rsid w:val="5FFDF14D"/>
    <w:rsid w:val="5FFF2766"/>
    <w:rsid w:val="61F784C5"/>
    <w:rsid w:val="62DC5DA8"/>
    <w:rsid w:val="63617C53"/>
    <w:rsid w:val="6369E13F"/>
    <w:rsid w:val="63B20C94"/>
    <w:rsid w:val="63EB5987"/>
    <w:rsid w:val="64CA1E20"/>
    <w:rsid w:val="65DF1A5E"/>
    <w:rsid w:val="65FF7ABD"/>
    <w:rsid w:val="661D3911"/>
    <w:rsid w:val="6629255C"/>
    <w:rsid w:val="67FF1595"/>
    <w:rsid w:val="69036813"/>
    <w:rsid w:val="69273FD9"/>
    <w:rsid w:val="6AC36259"/>
    <w:rsid w:val="6AFB0813"/>
    <w:rsid w:val="6B7707A3"/>
    <w:rsid w:val="6B9D2F4E"/>
    <w:rsid w:val="6BDA8636"/>
    <w:rsid w:val="6BFFDC8D"/>
    <w:rsid w:val="6CD5E0EA"/>
    <w:rsid w:val="6DAB34F7"/>
    <w:rsid w:val="6DFFA70A"/>
    <w:rsid w:val="6E1A3EEF"/>
    <w:rsid w:val="6E7ED22D"/>
    <w:rsid w:val="6E847097"/>
    <w:rsid w:val="6EBC31C7"/>
    <w:rsid w:val="6EBD589C"/>
    <w:rsid w:val="6EDEBBE1"/>
    <w:rsid w:val="6EEDCE22"/>
    <w:rsid w:val="6F764568"/>
    <w:rsid w:val="6FA008A2"/>
    <w:rsid w:val="6FB520F9"/>
    <w:rsid w:val="6FDF3BFE"/>
    <w:rsid w:val="6FEF1D1C"/>
    <w:rsid w:val="6FF91CDA"/>
    <w:rsid w:val="6FFBD700"/>
    <w:rsid w:val="6FFF1EB8"/>
    <w:rsid w:val="6FFF3BCF"/>
    <w:rsid w:val="6FFF5176"/>
    <w:rsid w:val="70DF583F"/>
    <w:rsid w:val="70F01D72"/>
    <w:rsid w:val="71217069"/>
    <w:rsid w:val="71FAA294"/>
    <w:rsid w:val="722E6F8C"/>
    <w:rsid w:val="72577364"/>
    <w:rsid w:val="72C96011"/>
    <w:rsid w:val="72DD4066"/>
    <w:rsid w:val="73319EB9"/>
    <w:rsid w:val="73B4CFC3"/>
    <w:rsid w:val="74170A4E"/>
    <w:rsid w:val="7436379E"/>
    <w:rsid w:val="74497E16"/>
    <w:rsid w:val="74EB792C"/>
    <w:rsid w:val="74F81AD1"/>
    <w:rsid w:val="75BE2A89"/>
    <w:rsid w:val="75E77A72"/>
    <w:rsid w:val="75F6CFA9"/>
    <w:rsid w:val="76A7EECB"/>
    <w:rsid w:val="76FF98D1"/>
    <w:rsid w:val="7727026C"/>
    <w:rsid w:val="773C5F1C"/>
    <w:rsid w:val="774E3214"/>
    <w:rsid w:val="7768203E"/>
    <w:rsid w:val="7768315F"/>
    <w:rsid w:val="77905715"/>
    <w:rsid w:val="77C4ADAB"/>
    <w:rsid w:val="77DDC1BE"/>
    <w:rsid w:val="77DF9C90"/>
    <w:rsid w:val="77FCD16E"/>
    <w:rsid w:val="77FFBBAC"/>
    <w:rsid w:val="787D12AB"/>
    <w:rsid w:val="78A20D5C"/>
    <w:rsid w:val="79D441CE"/>
    <w:rsid w:val="79FE726A"/>
    <w:rsid w:val="7AC9773F"/>
    <w:rsid w:val="7AE2272C"/>
    <w:rsid w:val="7B9C14C0"/>
    <w:rsid w:val="7BA7B5E4"/>
    <w:rsid w:val="7BAF2553"/>
    <w:rsid w:val="7BD78817"/>
    <w:rsid w:val="7BEB7EAC"/>
    <w:rsid w:val="7BEF214D"/>
    <w:rsid w:val="7BF61217"/>
    <w:rsid w:val="7BFAB53A"/>
    <w:rsid w:val="7C3BC3C8"/>
    <w:rsid w:val="7C9CE78E"/>
    <w:rsid w:val="7CB7A388"/>
    <w:rsid w:val="7D6FBDD4"/>
    <w:rsid w:val="7D723F70"/>
    <w:rsid w:val="7DD71BEF"/>
    <w:rsid w:val="7DFB1C9F"/>
    <w:rsid w:val="7DFD910B"/>
    <w:rsid w:val="7E543940"/>
    <w:rsid w:val="7E83DC2E"/>
    <w:rsid w:val="7ECA2841"/>
    <w:rsid w:val="7ED20D09"/>
    <w:rsid w:val="7EF22FE4"/>
    <w:rsid w:val="7EFE19AC"/>
    <w:rsid w:val="7F0F5411"/>
    <w:rsid w:val="7F7FA8DA"/>
    <w:rsid w:val="7F9F579A"/>
    <w:rsid w:val="7FBF17C6"/>
    <w:rsid w:val="7FBF529E"/>
    <w:rsid w:val="7FBFEE23"/>
    <w:rsid w:val="7FD58AFF"/>
    <w:rsid w:val="7FDBDDCB"/>
    <w:rsid w:val="7FEA3FD4"/>
    <w:rsid w:val="7FEE18F4"/>
    <w:rsid w:val="7FEE80F8"/>
    <w:rsid w:val="7FEF8F88"/>
    <w:rsid w:val="7FEFF509"/>
    <w:rsid w:val="7FF330AF"/>
    <w:rsid w:val="7FF55844"/>
    <w:rsid w:val="7FF76E2E"/>
    <w:rsid w:val="7FF76E7F"/>
    <w:rsid w:val="7FFADB03"/>
    <w:rsid w:val="7FFCCAD7"/>
    <w:rsid w:val="7FFE5674"/>
    <w:rsid w:val="7FFE935D"/>
    <w:rsid w:val="7FFF09F8"/>
    <w:rsid w:val="7FFF247C"/>
    <w:rsid w:val="7FFF9998"/>
    <w:rsid w:val="7FFFA4E2"/>
    <w:rsid w:val="7FFFAD0B"/>
    <w:rsid w:val="7FFFEDBE"/>
    <w:rsid w:val="87972245"/>
    <w:rsid w:val="87BB6C38"/>
    <w:rsid w:val="8BEFB054"/>
    <w:rsid w:val="8F7DE5E9"/>
    <w:rsid w:val="95D7A90A"/>
    <w:rsid w:val="97FD4BBC"/>
    <w:rsid w:val="99593ED5"/>
    <w:rsid w:val="99BB1DE2"/>
    <w:rsid w:val="9B732787"/>
    <w:rsid w:val="9EEB821A"/>
    <w:rsid w:val="9F792158"/>
    <w:rsid w:val="9FDFABDC"/>
    <w:rsid w:val="9FFE9BB1"/>
    <w:rsid w:val="A36FAEEB"/>
    <w:rsid w:val="A4BDA262"/>
    <w:rsid w:val="A7BB243B"/>
    <w:rsid w:val="A7CFBCFC"/>
    <w:rsid w:val="A9BDDD56"/>
    <w:rsid w:val="ABEEC482"/>
    <w:rsid w:val="ACDF576F"/>
    <w:rsid w:val="AFD354ED"/>
    <w:rsid w:val="AFFFF9D5"/>
    <w:rsid w:val="B03B5AA5"/>
    <w:rsid w:val="B6F76784"/>
    <w:rsid w:val="B76FC24A"/>
    <w:rsid w:val="BAF21AD2"/>
    <w:rsid w:val="BB9FA717"/>
    <w:rsid w:val="BBE5C3EA"/>
    <w:rsid w:val="BBEF0209"/>
    <w:rsid w:val="BCFE798C"/>
    <w:rsid w:val="BDC67445"/>
    <w:rsid w:val="BDDF4F88"/>
    <w:rsid w:val="BDEDEA65"/>
    <w:rsid w:val="BDFDFF4C"/>
    <w:rsid w:val="BECE2A6B"/>
    <w:rsid w:val="BEEEB46A"/>
    <w:rsid w:val="BEFB9CC7"/>
    <w:rsid w:val="BF754DD4"/>
    <w:rsid w:val="BF7D111F"/>
    <w:rsid w:val="BFBBE87A"/>
    <w:rsid w:val="BFBD1CFE"/>
    <w:rsid w:val="BFBFB758"/>
    <w:rsid w:val="BFBFB9B9"/>
    <w:rsid w:val="BFDF0C60"/>
    <w:rsid w:val="BFF74506"/>
    <w:rsid w:val="BFF74C19"/>
    <w:rsid w:val="BFFD94C8"/>
    <w:rsid w:val="CBBE065B"/>
    <w:rsid w:val="CCD469B0"/>
    <w:rsid w:val="CDF9CA70"/>
    <w:rsid w:val="CEFE4117"/>
    <w:rsid w:val="CF6FF270"/>
    <w:rsid w:val="CF7F0899"/>
    <w:rsid w:val="CFDBE104"/>
    <w:rsid w:val="CFEC95EA"/>
    <w:rsid w:val="CFF490F0"/>
    <w:rsid w:val="CFF7C6E1"/>
    <w:rsid w:val="D27FA476"/>
    <w:rsid w:val="D57F188E"/>
    <w:rsid w:val="D7772220"/>
    <w:rsid w:val="D77B4C48"/>
    <w:rsid w:val="D7D48969"/>
    <w:rsid w:val="D7FF62DC"/>
    <w:rsid w:val="D9DFC2A2"/>
    <w:rsid w:val="DCBCD824"/>
    <w:rsid w:val="DD63C70B"/>
    <w:rsid w:val="DDAF792F"/>
    <w:rsid w:val="DDE54523"/>
    <w:rsid w:val="DDFE1661"/>
    <w:rsid w:val="DDFE886E"/>
    <w:rsid w:val="DEBFB107"/>
    <w:rsid w:val="DF7605F4"/>
    <w:rsid w:val="DFDEB0E2"/>
    <w:rsid w:val="DFE679FC"/>
    <w:rsid w:val="DFF4CFFE"/>
    <w:rsid w:val="DFFFAC41"/>
    <w:rsid w:val="E0FF7116"/>
    <w:rsid w:val="E3CB1F66"/>
    <w:rsid w:val="E58D6CF5"/>
    <w:rsid w:val="E5EBB566"/>
    <w:rsid w:val="E74FCA53"/>
    <w:rsid w:val="E7B9BB78"/>
    <w:rsid w:val="E7D379C4"/>
    <w:rsid w:val="E7F7BC59"/>
    <w:rsid w:val="E7F8301D"/>
    <w:rsid w:val="E9FEE424"/>
    <w:rsid w:val="EB7D08A5"/>
    <w:rsid w:val="EBDFC82C"/>
    <w:rsid w:val="EBEF4E22"/>
    <w:rsid w:val="ECDF2AF6"/>
    <w:rsid w:val="ED8F69E3"/>
    <w:rsid w:val="EDBD8A0A"/>
    <w:rsid w:val="EDED88BA"/>
    <w:rsid w:val="EDF574D4"/>
    <w:rsid w:val="EE5636E2"/>
    <w:rsid w:val="EEADF5C5"/>
    <w:rsid w:val="EF7B7DB5"/>
    <w:rsid w:val="EFCA2C12"/>
    <w:rsid w:val="EFF58A8F"/>
    <w:rsid w:val="EFF7AF2E"/>
    <w:rsid w:val="EFFBE3D9"/>
    <w:rsid w:val="EFFFC2A6"/>
    <w:rsid w:val="F1DFBE5F"/>
    <w:rsid w:val="F1FFAB09"/>
    <w:rsid w:val="F57E4C01"/>
    <w:rsid w:val="F58BB1F1"/>
    <w:rsid w:val="F5DEF8F6"/>
    <w:rsid w:val="F5FFB1D3"/>
    <w:rsid w:val="F6BEA15B"/>
    <w:rsid w:val="F6BFF6D8"/>
    <w:rsid w:val="F6FFC155"/>
    <w:rsid w:val="F7876CFD"/>
    <w:rsid w:val="F79F4F56"/>
    <w:rsid w:val="F7FFABCB"/>
    <w:rsid w:val="F8DF80CB"/>
    <w:rsid w:val="FA5F0FBD"/>
    <w:rsid w:val="FA93C26F"/>
    <w:rsid w:val="FADF7991"/>
    <w:rsid w:val="FAEFF038"/>
    <w:rsid w:val="FB5F772D"/>
    <w:rsid w:val="FB79399D"/>
    <w:rsid w:val="FB9EC4FB"/>
    <w:rsid w:val="FBBFC84E"/>
    <w:rsid w:val="FBFB5888"/>
    <w:rsid w:val="FBFBD209"/>
    <w:rsid w:val="FBFD279D"/>
    <w:rsid w:val="FBFFF929"/>
    <w:rsid w:val="FC7F2C36"/>
    <w:rsid w:val="FC9D3EBE"/>
    <w:rsid w:val="FCA9BAB2"/>
    <w:rsid w:val="FCAB8811"/>
    <w:rsid w:val="FCF8E290"/>
    <w:rsid w:val="FDD81BFB"/>
    <w:rsid w:val="FDDB9937"/>
    <w:rsid w:val="FDDBFD1E"/>
    <w:rsid w:val="FDFF13E0"/>
    <w:rsid w:val="FDFFC0F6"/>
    <w:rsid w:val="FDFFFC38"/>
    <w:rsid w:val="FE671A12"/>
    <w:rsid w:val="FE7FEFFC"/>
    <w:rsid w:val="FE868654"/>
    <w:rsid w:val="FEB3256A"/>
    <w:rsid w:val="FEBBAFAF"/>
    <w:rsid w:val="FEFEACAB"/>
    <w:rsid w:val="FEFF5ACB"/>
    <w:rsid w:val="FF108341"/>
    <w:rsid w:val="FF538DFE"/>
    <w:rsid w:val="FF57D94E"/>
    <w:rsid w:val="FF65CD93"/>
    <w:rsid w:val="FF6FB4DA"/>
    <w:rsid w:val="FF7728E5"/>
    <w:rsid w:val="FF7A1359"/>
    <w:rsid w:val="FF7F1394"/>
    <w:rsid w:val="FF7F38A2"/>
    <w:rsid w:val="FF8F79F3"/>
    <w:rsid w:val="FF9F6E91"/>
    <w:rsid w:val="FF9FC149"/>
    <w:rsid w:val="FFA70E1E"/>
    <w:rsid w:val="FFB6D42D"/>
    <w:rsid w:val="FFBF61D8"/>
    <w:rsid w:val="FFCFDE24"/>
    <w:rsid w:val="FFD6EF1A"/>
    <w:rsid w:val="FFDBEEE4"/>
    <w:rsid w:val="FFDF0EB9"/>
    <w:rsid w:val="FFDF6874"/>
    <w:rsid w:val="FFDF6E82"/>
    <w:rsid w:val="FFDFD069"/>
    <w:rsid w:val="FFEBF7BA"/>
    <w:rsid w:val="FFF7D8BB"/>
    <w:rsid w:val="FFF7E297"/>
    <w:rsid w:val="FFF96BB3"/>
    <w:rsid w:val="FFFB16E0"/>
    <w:rsid w:val="FFFBD500"/>
    <w:rsid w:val="FFFBDA89"/>
    <w:rsid w:val="FFFDEF52"/>
    <w:rsid w:val="FFFE8D70"/>
    <w:rsid w:val="FFFE97DC"/>
    <w:rsid w:val="FFFFB004"/>
    <w:rsid w:val="FFFFE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348" w:after="210"/>
      <w:outlineLvl w:val="0"/>
    </w:pPr>
    <w:rPr>
      <w:rFonts w:ascii="Calibri" w:hAnsi="Calibri" w:eastAsia="宋体" w:cs="宋体"/>
      <w:b/>
      <w:kern w:val="2"/>
      <w:sz w:val="34"/>
      <w:lang w:val="en-US" w:eastAsia="zh-CN" w:bidi="ar-SA"/>
    </w:rPr>
  </w:style>
  <w:style w:type="paragraph" w:styleId="3">
    <w:name w:val="heading 2"/>
    <w:next w:val="1"/>
    <w:qFormat/>
    <w:uiPriority w:val="0"/>
    <w:pPr>
      <w:keepNext/>
      <w:keepLines/>
      <w:spacing w:before="348" w:after="190"/>
      <w:outlineLvl w:val="1"/>
    </w:pPr>
    <w:rPr>
      <w:rFonts w:ascii="Calibri" w:hAnsi="Calibri" w:eastAsia="宋体" w:cs="宋体"/>
      <w:b/>
      <w:kern w:val="2"/>
      <w:sz w:val="28"/>
      <w:lang w:val="en-US" w:eastAsia="zh-CN" w:bidi="ar-SA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cs="Times New Roman"/>
      <w:b/>
      <w:bCs/>
      <w:kern w:val="0"/>
      <w:sz w:val="27"/>
      <w:szCs w:val="27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96607D"/>
      <w:u w:val="single"/>
    </w:rPr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qFormat/>
    <w:uiPriority w:val="0"/>
    <w:rPr>
      <w:color w:val="0563C1"/>
      <w:u w:val="single"/>
    </w:rPr>
  </w:style>
  <w:style w:type="paragraph" w:customStyle="1" w:styleId="16">
    <w:name w:val="dingdocnormal"/>
    <w:qFormat/>
    <w:uiPriority w:val="0"/>
    <w:rPr>
      <w:rFonts w:ascii="Calibri" w:hAnsi="Calibri" w:eastAsia="宋体" w:cs="宋体"/>
      <w:kern w:val="2"/>
      <w:sz w:val="21"/>
      <w:lang w:val="en-US" w:eastAsia="zh-CN" w:bidi="ar-SA"/>
    </w:rPr>
  </w:style>
  <w:style w:type="character" w:customStyle="1" w:styleId="17">
    <w:name w:val="u-visually-hidden"/>
    <w:basedOn w:val="11"/>
    <w:qFormat/>
    <w:uiPriority w:val="0"/>
  </w:style>
  <w:style w:type="paragraph" w:customStyle="1" w:styleId="18">
    <w:name w:val="书目1"/>
    <w:basedOn w:val="1"/>
    <w:next w:val="1"/>
    <w:qFormat/>
    <w:uiPriority w:val="37"/>
    <w:pPr>
      <w:tabs>
        <w:tab w:val="left" w:pos="264"/>
      </w:tabs>
      <w:spacing w:line="480" w:lineRule="auto"/>
      <w:ind w:left="264" w:hanging="264"/>
    </w:pPr>
  </w:style>
  <w:style w:type="paragraph" w:customStyle="1" w:styleId="19">
    <w:name w:val="Bibliography_e2697a1a-0605-4a98-a810-2faee0a57ac5"/>
    <w:basedOn w:val="1"/>
    <w:next w:val="1"/>
    <w:qFormat/>
    <w:uiPriority w:val="37"/>
  </w:style>
  <w:style w:type="character" w:customStyle="1" w:styleId="20">
    <w:name w:val="1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15"/>
    <w:basedOn w:val="11"/>
    <w:qFormat/>
    <w:uiPriority w:val="0"/>
    <w:rPr>
      <w:rFonts w:hint="default" w:ascii="Times New Roman" w:hAnsi="Times New Roman" w:cs="Times New Roman"/>
      <w:b/>
    </w:rPr>
  </w:style>
  <w:style w:type="paragraph" w:customStyle="1" w:styleId="22">
    <w:name w:val="Revision"/>
    <w:hidden/>
    <w:unhideWhenUsed/>
    <w:qFormat/>
    <w:uiPriority w:val="99"/>
    <w:rPr>
      <w:rFonts w:ascii="Calibri" w:hAnsi="Calibri" w:eastAsia="宋体" w:cs="宋体"/>
      <w:kern w:val="2"/>
      <w:sz w:val="21"/>
      <w:lang w:val="en-US" w:eastAsia="zh-CN" w:bidi="ar-SA"/>
    </w:rPr>
  </w:style>
  <w:style w:type="character" w:customStyle="1" w:styleId="23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1301</Words>
  <Characters>6987</Characters>
  <Lines>1105</Lines>
  <Paragraphs>255</Paragraphs>
  <TotalTime>10</TotalTime>
  <ScaleCrop>false</ScaleCrop>
  <LinksUpToDate>false</LinksUpToDate>
  <CharactersWithSpaces>8261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1970-02-03T17:00:00Z</dcterms:created>
  <dc:creator>DingTalk</dc:creator>
  <dc:description>DingTalk Document</dc:description>
  <cp:lastModifiedBy>杜文斌</cp:lastModifiedBy>
  <dcterms:modified xsi:type="dcterms:W3CDTF">2026-01-13T05:27:48Z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562481B25E4D4355AF04BCE55D99D6AE_13</vt:lpwstr>
  </property>
  <property fmtid="{D5CDD505-2E9C-101B-9397-08002B2CF9AE}" pid="4" name="KSOTemplateDocerSaveRecord">
    <vt:lpwstr>eyJoZGlkIjoiYjU4NjRlOTVhYTllOTMxMDk4NDczMjQ5OTZhMTcwNTEiLCJ1c2VySWQiOiIxNjQ2Njk1MzcxIn0=</vt:lpwstr>
  </property>
  <property fmtid="{D5CDD505-2E9C-101B-9397-08002B2CF9AE}" pid="5" name="ZOTERO_PREF_1">
    <vt:lpwstr>&lt;data data-version="3" zotero-version="7.0.24"&gt;&lt;session id="GR81z5qi"/&gt;&lt;style id="http://www.zotero.org/styles/nature-communications" hasBibliography="1" bibliographyStyleHasBeenSet="1"/&gt;&lt;prefs&gt;&lt;pref name="fieldType" value="Field"/&gt;&lt;/prefs&gt;&lt;/data&gt;</vt:lpwstr>
  </property>
</Properties>
</file>