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1FAD50C" w14:textId="77777777" w:rsidR="00162018" w:rsidRDefault="00162018" w:rsidP="00FC477B">
      <w:pPr>
        <w:snapToGrid w:val="0"/>
        <w:spacing w:afterLines="30" w:after="72" w:line="360" w:lineRule="auto"/>
        <w:jc w:val="center"/>
        <w:rPr>
          <w:rFonts w:ascii="Times New Roman" w:hAnsi="Times New Roman" w:cs="Times New Roman"/>
          <w:b/>
          <w:color w:val="000000" w:themeColor="text1"/>
          <w:sz w:val="36"/>
          <w:szCs w:val="48"/>
        </w:rPr>
      </w:pPr>
      <w:r w:rsidRPr="00162018">
        <w:rPr>
          <w:rFonts w:ascii="Times New Roman" w:hAnsi="Times New Roman" w:cs="Times New Roman"/>
          <w:b/>
          <w:color w:val="000000" w:themeColor="text1"/>
          <w:sz w:val="36"/>
          <w:szCs w:val="48"/>
        </w:rPr>
        <w:t>Supporting information</w:t>
      </w:r>
    </w:p>
    <w:p w14:paraId="757A8D7C" w14:textId="77777777" w:rsidR="00FC477B" w:rsidRDefault="00FC477B" w:rsidP="00162018">
      <w:pPr>
        <w:snapToGrid w:val="0"/>
        <w:spacing w:afterLines="30" w:after="72" w:line="360" w:lineRule="auto"/>
        <w:rPr>
          <w:rFonts w:ascii="Times New Roman" w:hAnsi="Times New Roman" w:cs="Times New Roman"/>
          <w:b/>
          <w:color w:val="000000" w:themeColor="text1"/>
          <w:sz w:val="36"/>
          <w:szCs w:val="48"/>
        </w:rPr>
      </w:pPr>
    </w:p>
    <w:p w14:paraId="1E80BCA5" w14:textId="77777777" w:rsidR="00FC477B" w:rsidRPr="0070540C" w:rsidRDefault="00FC477B" w:rsidP="00FC477B">
      <w:pPr>
        <w:jc w:val="center"/>
        <w:rPr>
          <w:rFonts w:ascii="Times New Roman" w:hAnsi="Times New Roman" w:cs="Times New Roman"/>
          <w:b/>
          <w:bCs/>
          <w:color w:val="000000"/>
          <w:sz w:val="36"/>
          <w:szCs w:val="36"/>
        </w:rPr>
      </w:pPr>
      <w:r>
        <w:rPr>
          <w:rFonts w:ascii="Times New Roman" w:hAnsi="Times New Roman" w:cs="Times New Roman"/>
          <w:b/>
          <w:bCs/>
          <w:color w:val="000000"/>
          <w:sz w:val="36"/>
          <w:szCs w:val="36"/>
        </w:rPr>
        <w:t xml:space="preserve">Localized </w:t>
      </w:r>
      <w:r w:rsidRPr="0070540C">
        <w:rPr>
          <w:rFonts w:ascii="Times New Roman" w:hAnsi="Times New Roman" w:cs="Times New Roman"/>
          <w:b/>
          <w:bCs/>
          <w:color w:val="000000"/>
          <w:sz w:val="36"/>
          <w:szCs w:val="36"/>
        </w:rPr>
        <w:t>Heat</w:t>
      </w:r>
      <w:r>
        <w:rPr>
          <w:rFonts w:ascii="Times New Roman" w:hAnsi="Times New Roman" w:cs="Times New Roman"/>
          <w:b/>
          <w:bCs/>
          <w:color w:val="000000"/>
          <w:sz w:val="36"/>
          <w:szCs w:val="36"/>
        </w:rPr>
        <w:t xml:space="preserve"> </w:t>
      </w:r>
      <w:r w:rsidRPr="0070540C">
        <w:rPr>
          <w:rFonts w:ascii="Times New Roman" w:hAnsi="Times New Roman" w:cs="Times New Roman"/>
          <w:b/>
          <w:bCs/>
          <w:color w:val="000000"/>
          <w:sz w:val="36"/>
          <w:szCs w:val="36"/>
        </w:rPr>
        <w:t>Induce</w:t>
      </w:r>
      <w:r>
        <w:rPr>
          <w:rFonts w:ascii="Times New Roman" w:hAnsi="Times New Roman" w:cs="Times New Roman"/>
          <w:b/>
          <w:bCs/>
          <w:color w:val="000000"/>
          <w:sz w:val="36"/>
          <w:szCs w:val="36"/>
        </w:rPr>
        <w:t>s</w:t>
      </w:r>
      <w:r w:rsidRPr="0070540C">
        <w:rPr>
          <w:rFonts w:ascii="Times New Roman" w:hAnsi="Times New Roman" w:cs="Times New Roman"/>
          <w:b/>
          <w:bCs/>
          <w:color w:val="000000"/>
          <w:sz w:val="36"/>
          <w:szCs w:val="36"/>
        </w:rPr>
        <w:t xml:space="preserve"> ERK Signaling and Intercellular Communication in Solid Tumors</w:t>
      </w:r>
    </w:p>
    <w:p w14:paraId="2199D055" w14:textId="77777777" w:rsidR="00162018" w:rsidRPr="00162018" w:rsidRDefault="00162018" w:rsidP="00162018">
      <w:pPr>
        <w:snapToGrid w:val="0"/>
        <w:spacing w:afterLines="30" w:after="72" w:line="360" w:lineRule="auto"/>
        <w:rPr>
          <w:rFonts w:ascii="Times New Roman" w:hAnsi="Times New Roman" w:cs="Times New Roman"/>
          <w:b/>
          <w:color w:val="000000" w:themeColor="text1"/>
          <w:sz w:val="36"/>
          <w:szCs w:val="48"/>
        </w:rPr>
      </w:pPr>
    </w:p>
    <w:p w14:paraId="342AF9F1" w14:textId="77777777" w:rsidR="00162018" w:rsidRPr="001A0071" w:rsidRDefault="00162018" w:rsidP="00162018">
      <w:pPr>
        <w:jc w:val="center"/>
        <w:rPr>
          <w:rFonts w:ascii="Times New Roman" w:hAnsi="Times New Roman" w:cs="Times New Roman"/>
          <w:sz w:val="22"/>
          <w:szCs w:val="22"/>
        </w:rPr>
      </w:pPr>
    </w:p>
    <w:p w14:paraId="0FF21F6A" w14:textId="2642F210" w:rsidR="00FC477B" w:rsidRDefault="00162018" w:rsidP="00162018">
      <w:pPr>
        <w:snapToGrid w:val="0"/>
        <w:spacing w:afterLines="30" w:after="72" w:line="360" w:lineRule="auto"/>
        <w:jc w:val="both"/>
        <w:rPr>
          <w:rFonts w:ascii="Times New Roman" w:hAnsi="Times New Roman" w:cs="Times New Roman"/>
          <w:color w:val="000000" w:themeColor="text1"/>
        </w:rPr>
      </w:pPr>
      <w:proofErr w:type="spellStart"/>
      <w:r w:rsidRPr="00162018">
        <w:rPr>
          <w:rFonts w:ascii="Times New Roman" w:hAnsi="Times New Roman" w:cs="Times New Roman"/>
          <w:color w:val="000000" w:themeColor="text1"/>
        </w:rPr>
        <w:t>Farsai</w:t>
      </w:r>
      <w:proofErr w:type="spellEnd"/>
      <w:r w:rsidRPr="00162018">
        <w:rPr>
          <w:rFonts w:ascii="Times New Roman" w:hAnsi="Times New Roman" w:cs="Times New Roman"/>
          <w:color w:val="000000" w:themeColor="text1"/>
        </w:rPr>
        <w:t xml:space="preserve"> </w:t>
      </w:r>
      <w:proofErr w:type="spellStart"/>
      <w:r w:rsidRPr="00162018">
        <w:rPr>
          <w:rFonts w:ascii="Times New Roman" w:hAnsi="Times New Roman" w:cs="Times New Roman"/>
          <w:color w:val="000000" w:themeColor="text1"/>
        </w:rPr>
        <w:t>Taemaitree</w:t>
      </w:r>
      <w:r w:rsidRPr="00162018">
        <w:rPr>
          <w:rFonts w:ascii="Times New Roman" w:hAnsi="Times New Roman" w:cs="Times New Roman"/>
          <w:color w:val="000000" w:themeColor="text1"/>
          <w:vertAlign w:val="superscript"/>
        </w:rPr>
        <w:t>a,</w:t>
      </w:r>
      <w:r w:rsidRPr="00162018">
        <w:rPr>
          <w:rFonts w:ascii="Times New Roman" w:hAnsi="Times New Roman" w:cs="Times New Roman"/>
          <w:color w:val="000000" w:themeColor="text1"/>
          <w:vertAlign w:val="superscript"/>
          <w:lang w:eastAsia="ja-JP"/>
        </w:rPr>
        <w:t>b</w:t>
      </w:r>
      <w:r w:rsidRPr="00162018">
        <w:rPr>
          <w:rFonts w:ascii="Times New Roman" w:hAnsi="Times New Roman" w:cs="Times New Roman"/>
          <w:color w:val="000000" w:themeColor="text1"/>
          <w:vertAlign w:val="superscript"/>
        </w:rPr>
        <w:t>,c</w:t>
      </w:r>
      <w:proofErr w:type="spellEnd"/>
      <w:r w:rsidRPr="00162018">
        <w:rPr>
          <w:rFonts w:ascii="Times New Roman" w:hAnsi="Times New Roman" w:cs="Times New Roman"/>
          <w:color w:val="000000" w:themeColor="text1"/>
          <w:vertAlign w:val="superscript"/>
        </w:rPr>
        <w:t>,</w:t>
      </w:r>
      <w:r w:rsidRPr="00162018">
        <w:rPr>
          <w:rFonts w:ascii="Times New Roman" w:hAnsi="Times New Roman" w:cs="Times New Roman"/>
          <w:vertAlign w:val="superscript"/>
        </w:rPr>
        <w:t>‡</w:t>
      </w:r>
      <w:r w:rsidRPr="00162018">
        <w:rPr>
          <w:rFonts w:ascii="Times New Roman" w:hAnsi="Times New Roman" w:cs="Times New Roman"/>
          <w:color w:val="000000" w:themeColor="text1"/>
        </w:rPr>
        <w:t xml:space="preserve">, Yuta </w:t>
      </w:r>
      <w:proofErr w:type="spellStart"/>
      <w:r w:rsidRPr="00162018">
        <w:rPr>
          <w:rFonts w:ascii="Times New Roman" w:hAnsi="Times New Roman" w:cs="Times New Roman"/>
          <w:color w:val="000000" w:themeColor="text1"/>
        </w:rPr>
        <w:t>Takano</w:t>
      </w:r>
      <w:r w:rsidRPr="00162018">
        <w:rPr>
          <w:rFonts w:ascii="Times New Roman" w:hAnsi="Times New Roman" w:cs="Times New Roman"/>
          <w:color w:val="000000" w:themeColor="text1"/>
          <w:vertAlign w:val="superscript"/>
        </w:rPr>
        <w:t>a,</w:t>
      </w:r>
      <w:r w:rsidRPr="00162018">
        <w:rPr>
          <w:rFonts w:ascii="Times New Roman" w:hAnsi="Times New Roman" w:cs="Times New Roman"/>
          <w:color w:val="000000" w:themeColor="text1"/>
          <w:vertAlign w:val="superscript"/>
          <w:lang w:eastAsia="ja-JP"/>
        </w:rPr>
        <w:t>d</w:t>
      </w:r>
      <w:proofErr w:type="spellEnd"/>
      <w:r w:rsidRPr="00162018">
        <w:rPr>
          <w:rFonts w:ascii="Times New Roman" w:hAnsi="Times New Roman" w:cs="Times New Roman"/>
          <w:color w:val="000000" w:themeColor="text1"/>
          <w:vertAlign w:val="superscript"/>
        </w:rPr>
        <w:t>,</w:t>
      </w:r>
      <w:r w:rsidRPr="00162018">
        <w:rPr>
          <w:rFonts w:ascii="Times New Roman" w:hAnsi="Times New Roman" w:cs="Times New Roman"/>
          <w:vertAlign w:val="superscript"/>
        </w:rPr>
        <w:t>‡</w:t>
      </w:r>
      <w:r w:rsidRPr="00162018">
        <w:rPr>
          <w:rFonts w:ascii="Times New Roman" w:hAnsi="Times New Roman" w:cs="Times New Roman"/>
          <w:color w:val="000000" w:themeColor="text1"/>
          <w:vertAlign w:val="superscript"/>
        </w:rPr>
        <w:t>,</w:t>
      </w:r>
      <w:r w:rsidRPr="00162018">
        <w:rPr>
          <w:rFonts w:ascii="Times New Roman" w:hAnsi="Times New Roman" w:cs="Times New Roman"/>
          <w:color w:val="000000" w:themeColor="text1"/>
        </w:rPr>
        <w:t>*, Daisuke Yamaguchi</w:t>
      </w:r>
      <w:r w:rsidRPr="00162018">
        <w:rPr>
          <w:rFonts w:ascii="Times New Roman" w:hAnsi="Times New Roman" w:cs="Times New Roman"/>
          <w:color w:val="000000" w:themeColor="text1"/>
          <w:vertAlign w:val="superscript"/>
          <w:lang w:eastAsia="ja-JP"/>
        </w:rPr>
        <w:t>b</w:t>
      </w:r>
      <w:r w:rsidRPr="00162018">
        <w:rPr>
          <w:rFonts w:ascii="Times New Roman" w:hAnsi="Times New Roman" w:cs="Times New Roman"/>
          <w:color w:val="000000" w:themeColor="text1"/>
        </w:rPr>
        <w:t>, Kazushi Yamaguchi</w:t>
      </w:r>
      <w:r w:rsidRPr="00162018">
        <w:rPr>
          <w:rFonts w:ascii="Times New Roman" w:hAnsi="Times New Roman" w:cs="Times New Roman"/>
          <w:color w:val="000000" w:themeColor="text1"/>
          <w:vertAlign w:val="superscript"/>
          <w:lang w:eastAsia="ja-JP"/>
        </w:rPr>
        <w:t>b</w:t>
      </w:r>
      <w:r w:rsidRPr="00162018">
        <w:rPr>
          <w:rFonts w:ascii="Times New Roman" w:hAnsi="Times New Roman" w:cs="Times New Roman"/>
          <w:color w:val="000000" w:themeColor="text1"/>
        </w:rPr>
        <w:t xml:space="preserve">, Yudai </w:t>
      </w:r>
      <w:proofErr w:type="spellStart"/>
      <w:r w:rsidRPr="00162018">
        <w:rPr>
          <w:rFonts w:ascii="Times New Roman" w:hAnsi="Times New Roman" w:cs="Times New Roman"/>
          <w:color w:val="000000" w:themeColor="text1"/>
        </w:rPr>
        <w:t>Yamashita</w:t>
      </w:r>
      <w:r w:rsidRPr="00162018">
        <w:rPr>
          <w:rFonts w:ascii="Times New Roman" w:hAnsi="Times New Roman" w:cs="Times New Roman"/>
          <w:color w:val="000000" w:themeColor="text1"/>
          <w:vertAlign w:val="superscript"/>
          <w:lang w:eastAsia="ja-JP"/>
        </w:rPr>
        <w:t>b</w:t>
      </w:r>
      <w:proofErr w:type="spellEnd"/>
      <w:r w:rsidRPr="00162018">
        <w:rPr>
          <w:rFonts w:ascii="Times New Roman" w:hAnsi="Times New Roman" w:cs="Times New Roman"/>
          <w:color w:val="000000" w:themeColor="text1"/>
        </w:rPr>
        <w:t xml:space="preserve">, </w:t>
      </w:r>
      <w:proofErr w:type="spellStart"/>
      <w:r w:rsidRPr="00162018">
        <w:rPr>
          <w:rFonts w:ascii="Times New Roman" w:hAnsi="Times New Roman" w:cs="Times New Roman"/>
          <w:color w:val="000000" w:themeColor="text1"/>
        </w:rPr>
        <w:t>Motosuke</w:t>
      </w:r>
      <w:proofErr w:type="spellEnd"/>
      <w:r w:rsidRPr="00162018">
        <w:rPr>
          <w:rFonts w:ascii="Times New Roman" w:hAnsi="Times New Roman" w:cs="Times New Roman"/>
          <w:color w:val="000000" w:themeColor="text1"/>
        </w:rPr>
        <w:t xml:space="preserve"> </w:t>
      </w:r>
      <w:proofErr w:type="spellStart"/>
      <w:r w:rsidRPr="00162018">
        <w:rPr>
          <w:rFonts w:ascii="Times New Roman" w:hAnsi="Times New Roman" w:cs="Times New Roman"/>
          <w:color w:val="000000" w:themeColor="text1"/>
        </w:rPr>
        <w:t>Tsutsumi</w:t>
      </w:r>
      <w:r w:rsidRPr="00162018">
        <w:rPr>
          <w:rFonts w:ascii="Times New Roman" w:hAnsi="Times New Roman" w:cs="Times New Roman"/>
          <w:color w:val="000000" w:themeColor="text1"/>
          <w:vertAlign w:val="superscript"/>
        </w:rPr>
        <w:t>e,f</w:t>
      </w:r>
      <w:proofErr w:type="spellEnd"/>
      <w:r w:rsidRPr="00162018">
        <w:rPr>
          <w:rFonts w:ascii="Times New Roman" w:hAnsi="Times New Roman" w:cs="Times New Roman"/>
          <w:color w:val="000000" w:themeColor="text1"/>
        </w:rPr>
        <w:t xml:space="preserve">, </w:t>
      </w:r>
      <w:proofErr w:type="spellStart"/>
      <w:r w:rsidRPr="00162018">
        <w:rPr>
          <w:rFonts w:ascii="Times New Roman" w:hAnsi="Times New Roman" w:cs="Times New Roman"/>
          <w:color w:val="000000" w:themeColor="text1"/>
        </w:rPr>
        <w:t>Chentao</w:t>
      </w:r>
      <w:proofErr w:type="spellEnd"/>
      <w:r w:rsidRPr="00162018">
        <w:rPr>
          <w:rFonts w:ascii="Times New Roman" w:hAnsi="Times New Roman" w:cs="Times New Roman"/>
          <w:color w:val="000000" w:themeColor="text1"/>
        </w:rPr>
        <w:t xml:space="preserve"> </w:t>
      </w:r>
      <w:proofErr w:type="spellStart"/>
      <w:r w:rsidRPr="00162018">
        <w:rPr>
          <w:rFonts w:ascii="Times New Roman" w:hAnsi="Times New Roman" w:cs="Times New Roman"/>
          <w:color w:val="000000" w:themeColor="text1"/>
        </w:rPr>
        <w:t>Wen</w:t>
      </w:r>
      <w:r w:rsidRPr="00162018">
        <w:rPr>
          <w:rFonts w:ascii="Times New Roman" w:hAnsi="Times New Roman" w:cs="Times New Roman"/>
          <w:color w:val="000000" w:themeColor="text1"/>
          <w:vertAlign w:val="superscript"/>
        </w:rPr>
        <w:t>g,h</w:t>
      </w:r>
      <w:proofErr w:type="spellEnd"/>
      <w:r w:rsidRPr="00162018">
        <w:rPr>
          <w:rFonts w:ascii="Times New Roman" w:hAnsi="Times New Roman" w:cs="Times New Roman"/>
          <w:color w:val="000000" w:themeColor="text1"/>
        </w:rPr>
        <w:t xml:space="preserve">, Kohei </w:t>
      </w:r>
      <w:proofErr w:type="spellStart"/>
      <w:r w:rsidRPr="00162018">
        <w:rPr>
          <w:rFonts w:ascii="Times New Roman" w:hAnsi="Times New Roman" w:cs="Times New Roman"/>
          <w:color w:val="000000" w:themeColor="text1"/>
        </w:rPr>
        <w:t>Otomo</w:t>
      </w:r>
      <w:r w:rsidRPr="00162018">
        <w:rPr>
          <w:rFonts w:ascii="Times New Roman" w:hAnsi="Times New Roman" w:cs="Times New Roman"/>
          <w:color w:val="000000" w:themeColor="text1"/>
          <w:vertAlign w:val="superscript"/>
        </w:rPr>
        <w:t>e,f,i</w:t>
      </w:r>
      <w:proofErr w:type="spellEnd"/>
      <w:r w:rsidRPr="00162018">
        <w:rPr>
          <w:rFonts w:ascii="Times New Roman" w:hAnsi="Times New Roman" w:cs="Times New Roman"/>
          <w:color w:val="000000" w:themeColor="text1"/>
        </w:rPr>
        <w:t xml:space="preserve">, Kenji </w:t>
      </w:r>
      <w:proofErr w:type="spellStart"/>
      <w:r w:rsidRPr="00162018">
        <w:rPr>
          <w:rFonts w:ascii="Times New Roman" w:hAnsi="Times New Roman" w:cs="Times New Roman"/>
          <w:color w:val="000000" w:themeColor="text1"/>
        </w:rPr>
        <w:t>Hirai</w:t>
      </w:r>
      <w:r w:rsidRPr="00162018">
        <w:rPr>
          <w:rFonts w:ascii="Times New Roman" w:hAnsi="Times New Roman" w:cs="Times New Roman"/>
          <w:color w:val="000000" w:themeColor="text1"/>
          <w:vertAlign w:val="superscript"/>
        </w:rPr>
        <w:t>a,</w:t>
      </w:r>
      <w:r w:rsidRPr="00162018">
        <w:rPr>
          <w:rFonts w:ascii="Times New Roman" w:hAnsi="Times New Roman" w:cs="Times New Roman"/>
          <w:color w:val="000000" w:themeColor="text1"/>
          <w:vertAlign w:val="superscript"/>
          <w:lang w:eastAsia="ja-JP"/>
        </w:rPr>
        <w:t>b</w:t>
      </w:r>
      <w:proofErr w:type="spellEnd"/>
      <w:r w:rsidRPr="00162018">
        <w:rPr>
          <w:rFonts w:ascii="Times New Roman" w:hAnsi="Times New Roman" w:cs="Times New Roman"/>
          <w:color w:val="000000" w:themeColor="text1"/>
        </w:rPr>
        <w:t>, James</w:t>
      </w:r>
      <w:r w:rsidRPr="00162018">
        <w:rPr>
          <w:rFonts w:ascii="Times New Roman" w:hAnsi="Times New Roman" w:cs="Times New Roman"/>
        </w:rPr>
        <w:t xml:space="preserve"> Hutchison</w:t>
      </w:r>
      <w:r w:rsidRPr="00162018">
        <w:rPr>
          <w:rFonts w:ascii="Times New Roman" w:hAnsi="Times New Roman" w:cs="Times New Roman"/>
          <w:vertAlign w:val="superscript"/>
        </w:rPr>
        <w:t>j</w:t>
      </w:r>
      <w:r w:rsidRPr="00162018">
        <w:rPr>
          <w:rFonts w:ascii="Times New Roman" w:hAnsi="Times New Roman" w:cs="Times New Roman"/>
        </w:rPr>
        <w:t>, Indra Van Zundert</w:t>
      </w:r>
      <w:r w:rsidRPr="00162018">
        <w:rPr>
          <w:rFonts w:ascii="Times New Roman" w:hAnsi="Times New Roman" w:cs="Times New Roman"/>
          <w:vertAlign w:val="superscript"/>
        </w:rPr>
        <w:t>k</w:t>
      </w:r>
      <w:r w:rsidRPr="00162018">
        <w:rPr>
          <w:rFonts w:ascii="Times New Roman" w:hAnsi="Times New Roman" w:cs="Times New Roman"/>
        </w:rPr>
        <w:t xml:space="preserve">, </w:t>
      </w:r>
      <w:r w:rsidRPr="00162018">
        <w:rPr>
          <w:rFonts w:ascii="Times New Roman" w:hAnsi="Times New Roman" w:cs="Times New Roman"/>
          <w:color w:val="000000" w:themeColor="text1"/>
        </w:rPr>
        <w:t>Sandra Krzyzowska</w:t>
      </w:r>
      <w:r w:rsidRPr="00162018">
        <w:rPr>
          <w:rFonts w:ascii="Times New Roman" w:hAnsi="Times New Roman" w:cs="Times New Roman"/>
          <w:color w:val="000000" w:themeColor="text1"/>
          <w:vertAlign w:val="superscript"/>
        </w:rPr>
        <w:t>k</w:t>
      </w:r>
      <w:r w:rsidRPr="00162018">
        <w:rPr>
          <w:rFonts w:ascii="Times New Roman" w:hAnsi="Times New Roman" w:cs="Times New Roman"/>
          <w:color w:val="000000" w:themeColor="text1"/>
        </w:rPr>
        <w:t xml:space="preserve">, Maria </w:t>
      </w:r>
      <w:proofErr w:type="spellStart"/>
      <w:r w:rsidRPr="00162018">
        <w:rPr>
          <w:rFonts w:ascii="Times New Roman" w:hAnsi="Times New Roman" w:cs="Times New Roman"/>
          <w:color w:val="000000" w:themeColor="text1"/>
        </w:rPr>
        <w:t>Bravo</w:t>
      </w:r>
      <w:r w:rsidRPr="00162018">
        <w:rPr>
          <w:rFonts w:ascii="Times New Roman" w:hAnsi="Times New Roman" w:cs="Times New Roman"/>
          <w:color w:val="000000" w:themeColor="text1"/>
          <w:vertAlign w:val="superscript"/>
        </w:rPr>
        <w:t>k,j</w:t>
      </w:r>
      <w:proofErr w:type="spellEnd"/>
      <w:r w:rsidRPr="00162018">
        <w:rPr>
          <w:rFonts w:ascii="Times New Roman" w:hAnsi="Times New Roman" w:cs="Times New Roman"/>
          <w:color w:val="000000" w:themeColor="text1"/>
        </w:rPr>
        <w:t xml:space="preserve">, </w:t>
      </w:r>
      <w:proofErr w:type="spellStart"/>
      <w:r w:rsidRPr="00162018">
        <w:rPr>
          <w:rFonts w:ascii="Times New Roman" w:hAnsi="Times New Roman" w:cs="Times New Roman"/>
          <w:color w:val="000000" w:themeColor="text1"/>
        </w:rPr>
        <w:t>Sayuki</w:t>
      </w:r>
      <w:proofErr w:type="spellEnd"/>
      <w:r w:rsidRPr="00162018">
        <w:rPr>
          <w:rFonts w:ascii="Times New Roman" w:hAnsi="Times New Roman" w:cs="Times New Roman"/>
          <w:color w:val="000000" w:themeColor="text1"/>
        </w:rPr>
        <w:t xml:space="preserve"> Hirano</w:t>
      </w:r>
      <w:r w:rsidRPr="00162018">
        <w:rPr>
          <w:rFonts w:ascii="Times New Roman" w:hAnsi="Times New Roman" w:cs="Times New Roman"/>
          <w:color w:val="000000" w:themeColor="text1"/>
          <w:vertAlign w:val="superscript"/>
        </w:rPr>
        <w:t>m</w:t>
      </w:r>
      <w:r w:rsidRPr="00162018">
        <w:rPr>
          <w:rFonts w:ascii="Times New Roman" w:hAnsi="Times New Roman" w:cs="Times New Roman"/>
          <w:color w:val="000000" w:themeColor="text1"/>
        </w:rPr>
        <w:t xml:space="preserve">, </w:t>
      </w:r>
      <w:proofErr w:type="spellStart"/>
      <w:r w:rsidRPr="00162018">
        <w:rPr>
          <w:rFonts w:ascii="Times New Roman" w:hAnsi="Times New Roman" w:cs="Times New Roman"/>
          <w:color w:val="000000" w:themeColor="text1"/>
        </w:rPr>
        <w:t>Koutarou</w:t>
      </w:r>
      <w:proofErr w:type="spellEnd"/>
      <w:r w:rsidRPr="00162018">
        <w:rPr>
          <w:rFonts w:ascii="Times New Roman" w:hAnsi="Times New Roman" w:cs="Times New Roman"/>
          <w:color w:val="000000" w:themeColor="text1"/>
        </w:rPr>
        <w:t xml:space="preserve"> D </w:t>
      </w:r>
      <w:proofErr w:type="spellStart"/>
      <w:r w:rsidRPr="00162018">
        <w:rPr>
          <w:rFonts w:ascii="Times New Roman" w:hAnsi="Times New Roman" w:cs="Times New Roman"/>
          <w:color w:val="000000" w:themeColor="text1"/>
        </w:rPr>
        <w:t>Kimura</w:t>
      </w:r>
      <w:r w:rsidRPr="00162018">
        <w:rPr>
          <w:rFonts w:ascii="Times New Roman" w:hAnsi="Times New Roman" w:cs="Times New Roman"/>
          <w:color w:val="000000" w:themeColor="text1"/>
          <w:vertAlign w:val="superscript"/>
        </w:rPr>
        <w:t>g</w:t>
      </w:r>
      <w:proofErr w:type="spellEnd"/>
      <w:r w:rsidRPr="00162018">
        <w:rPr>
          <w:rFonts w:ascii="Times New Roman" w:hAnsi="Times New Roman" w:cs="Times New Roman"/>
          <w:color w:val="000000" w:themeColor="text1"/>
        </w:rPr>
        <w:t xml:space="preserve">, Kazuhiro </w:t>
      </w:r>
      <w:proofErr w:type="spellStart"/>
      <w:r w:rsidRPr="00162018">
        <w:rPr>
          <w:rFonts w:ascii="Times New Roman" w:hAnsi="Times New Roman" w:cs="Times New Roman"/>
          <w:color w:val="000000" w:themeColor="text1"/>
        </w:rPr>
        <w:t>Aoki</w:t>
      </w:r>
      <w:r w:rsidRPr="00162018">
        <w:rPr>
          <w:rFonts w:ascii="Times New Roman" w:hAnsi="Times New Roman" w:cs="Times New Roman"/>
          <w:color w:val="000000" w:themeColor="text1"/>
          <w:vertAlign w:val="superscript"/>
        </w:rPr>
        <w:t>e,l,m</w:t>
      </w:r>
      <w:proofErr w:type="spellEnd"/>
      <w:r w:rsidRPr="00162018">
        <w:rPr>
          <w:rFonts w:ascii="Times New Roman" w:hAnsi="Times New Roman" w:cs="Times New Roman"/>
          <w:color w:val="000000" w:themeColor="text1"/>
        </w:rPr>
        <w:t>, Susana Rocha</w:t>
      </w:r>
      <w:r w:rsidRPr="00162018">
        <w:rPr>
          <w:rFonts w:ascii="Times New Roman" w:hAnsi="Times New Roman" w:cs="Times New Roman"/>
          <w:color w:val="000000" w:themeColor="text1"/>
          <w:vertAlign w:val="superscript"/>
        </w:rPr>
        <w:t>k</w:t>
      </w:r>
      <w:r w:rsidRPr="00162018">
        <w:rPr>
          <w:rFonts w:ascii="Times New Roman" w:hAnsi="Times New Roman" w:cs="Times New Roman"/>
          <w:color w:val="000000" w:themeColor="text1"/>
        </w:rPr>
        <w:t xml:space="preserve">, Tomomi </w:t>
      </w:r>
      <w:proofErr w:type="spellStart"/>
      <w:r w:rsidRPr="00162018">
        <w:rPr>
          <w:rFonts w:ascii="Times New Roman" w:hAnsi="Times New Roman" w:cs="Times New Roman"/>
          <w:color w:val="000000" w:themeColor="text1"/>
        </w:rPr>
        <w:t>Nemoto</w:t>
      </w:r>
      <w:r w:rsidRPr="00162018">
        <w:rPr>
          <w:rFonts w:ascii="Times New Roman" w:hAnsi="Times New Roman" w:cs="Times New Roman"/>
          <w:color w:val="000000" w:themeColor="text1"/>
          <w:vertAlign w:val="superscript"/>
        </w:rPr>
        <w:t>e,f</w:t>
      </w:r>
      <w:proofErr w:type="spellEnd"/>
      <w:r w:rsidRPr="00162018">
        <w:rPr>
          <w:rFonts w:ascii="Times New Roman" w:hAnsi="Times New Roman" w:cs="Times New Roman"/>
          <w:color w:val="000000" w:themeColor="text1"/>
        </w:rPr>
        <w:t xml:space="preserve">*, </w:t>
      </w:r>
      <w:r w:rsidRPr="00162018">
        <w:rPr>
          <w:rFonts w:ascii="Times New Roman" w:hAnsi="Times New Roman" w:cs="Times New Roman"/>
        </w:rPr>
        <w:t>Be</w:t>
      </w:r>
      <w:r w:rsidRPr="00162018">
        <w:rPr>
          <w:rFonts w:ascii="Times New Roman" w:hAnsi="Times New Roman" w:cs="Times New Roman"/>
          <w:color w:val="000000" w:themeColor="text1"/>
        </w:rPr>
        <w:t>atrice Fortuni</w:t>
      </w:r>
      <w:r w:rsidRPr="00162018">
        <w:rPr>
          <w:rFonts w:ascii="Times New Roman" w:hAnsi="Times New Roman" w:cs="Times New Roman"/>
          <w:color w:val="000000" w:themeColor="text1"/>
          <w:vertAlign w:val="superscript"/>
        </w:rPr>
        <w:t>k</w:t>
      </w:r>
      <w:r w:rsidRPr="00162018">
        <w:rPr>
          <w:rFonts w:ascii="Times New Roman" w:hAnsi="Times New Roman" w:cs="Times New Roman"/>
          <w:color w:val="000000" w:themeColor="text1"/>
        </w:rPr>
        <w:t>* and Hiroshi Uji-</w:t>
      </w:r>
      <w:proofErr w:type="spellStart"/>
      <w:r w:rsidRPr="00162018">
        <w:rPr>
          <w:rFonts w:ascii="Times New Roman" w:hAnsi="Times New Roman" w:cs="Times New Roman"/>
          <w:color w:val="000000" w:themeColor="text1"/>
        </w:rPr>
        <w:t>i</w:t>
      </w:r>
      <w:r w:rsidRPr="00162018">
        <w:rPr>
          <w:rFonts w:ascii="Times New Roman" w:hAnsi="Times New Roman" w:cs="Times New Roman"/>
          <w:color w:val="000000" w:themeColor="text1"/>
          <w:vertAlign w:val="superscript"/>
        </w:rPr>
        <w:t>a,</w:t>
      </w:r>
      <w:r w:rsidRPr="00162018">
        <w:rPr>
          <w:rFonts w:ascii="Times New Roman" w:hAnsi="Times New Roman" w:cs="Times New Roman"/>
          <w:color w:val="000000" w:themeColor="text1"/>
          <w:vertAlign w:val="superscript"/>
          <w:lang w:eastAsia="ja-JP"/>
        </w:rPr>
        <w:t>b</w:t>
      </w:r>
      <w:r w:rsidRPr="00162018">
        <w:rPr>
          <w:rFonts w:ascii="Times New Roman" w:hAnsi="Times New Roman" w:cs="Times New Roman"/>
          <w:color w:val="000000" w:themeColor="text1"/>
          <w:vertAlign w:val="superscript"/>
        </w:rPr>
        <w:t>,k,n</w:t>
      </w:r>
      <w:proofErr w:type="spellEnd"/>
      <w:r w:rsidRPr="00162018">
        <w:rPr>
          <w:rFonts w:ascii="Times New Roman" w:hAnsi="Times New Roman" w:cs="Times New Roman"/>
          <w:color w:val="000000" w:themeColor="text1"/>
        </w:rPr>
        <w:t xml:space="preserve">* </w:t>
      </w:r>
    </w:p>
    <w:p w14:paraId="1BF25E7C" w14:textId="77777777" w:rsidR="00FC477B" w:rsidRPr="00FC477B" w:rsidRDefault="00FC477B" w:rsidP="00162018">
      <w:pPr>
        <w:snapToGrid w:val="0"/>
        <w:spacing w:afterLines="30" w:after="72" w:line="360" w:lineRule="auto"/>
        <w:jc w:val="both"/>
        <w:rPr>
          <w:rFonts w:ascii="Times New Roman" w:hAnsi="Times New Roman" w:cs="Times New Roman"/>
          <w:color w:val="000000" w:themeColor="text1"/>
        </w:rPr>
      </w:pPr>
    </w:p>
    <w:p w14:paraId="3866DB63" w14:textId="77777777" w:rsidR="00162018" w:rsidRPr="00FC477B" w:rsidRDefault="00162018" w:rsidP="00162018">
      <w:pPr>
        <w:pStyle w:val="ListParagraph"/>
        <w:numPr>
          <w:ilvl w:val="0"/>
          <w:numId w:val="1"/>
        </w:numPr>
        <w:snapToGrid w:val="0"/>
        <w:spacing w:afterLines="30" w:after="72" w:line="360" w:lineRule="auto"/>
        <w:ind w:left="288"/>
        <w:contextualSpacing w:val="0"/>
        <w:rPr>
          <w:rFonts w:ascii="Times New Roman" w:hAnsi="Times New Roman" w:cs="Times New Roman"/>
          <w:i/>
          <w:color w:val="000000" w:themeColor="text1"/>
          <w:sz w:val="18"/>
          <w:szCs w:val="18"/>
        </w:rPr>
      </w:pPr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Research Institute for Electronic Science, Hokkaido University, N20, W10, Sapporo 001-0020, Japan.</w:t>
      </w:r>
    </w:p>
    <w:p w14:paraId="5CFB391C" w14:textId="77777777" w:rsidR="00162018" w:rsidRPr="00FC477B" w:rsidRDefault="00162018" w:rsidP="00162018">
      <w:pPr>
        <w:pStyle w:val="ListParagraph"/>
        <w:numPr>
          <w:ilvl w:val="0"/>
          <w:numId w:val="1"/>
        </w:numPr>
        <w:snapToGrid w:val="0"/>
        <w:spacing w:afterLines="30" w:after="72" w:line="360" w:lineRule="auto"/>
        <w:ind w:left="288"/>
        <w:contextualSpacing w:val="0"/>
        <w:rPr>
          <w:rFonts w:ascii="Times New Roman" w:hAnsi="Times New Roman" w:cs="Times New Roman"/>
          <w:i/>
          <w:iCs/>
          <w:color w:val="000000" w:themeColor="text1"/>
          <w:sz w:val="18"/>
          <w:szCs w:val="18"/>
        </w:rPr>
      </w:pPr>
      <w:r w:rsidRPr="00FC477B">
        <w:rPr>
          <w:rFonts w:ascii="Times New Roman" w:hAnsi="Times New Roman" w:cs="Times New Roman"/>
          <w:i/>
          <w:iCs/>
          <w:color w:val="000000" w:themeColor="text1"/>
          <w:sz w:val="18"/>
          <w:szCs w:val="18"/>
        </w:rPr>
        <w:t>Graduate School of Information Science and Technology, Hokkaido University, N14, W9, Sapporo 060-0813, Japan.</w:t>
      </w:r>
    </w:p>
    <w:p w14:paraId="2CCAC057" w14:textId="77777777" w:rsidR="00162018" w:rsidRPr="00FC477B" w:rsidRDefault="00162018" w:rsidP="00162018">
      <w:pPr>
        <w:pStyle w:val="ListParagraph"/>
        <w:numPr>
          <w:ilvl w:val="0"/>
          <w:numId w:val="1"/>
        </w:numPr>
        <w:snapToGrid w:val="0"/>
        <w:spacing w:afterLines="30" w:after="72" w:line="360" w:lineRule="auto"/>
        <w:ind w:left="288"/>
        <w:contextualSpacing w:val="0"/>
        <w:rPr>
          <w:rFonts w:ascii="Times New Roman" w:hAnsi="Times New Roman" w:cs="Times New Roman"/>
          <w:i/>
          <w:color w:val="000000" w:themeColor="text1"/>
          <w:sz w:val="18"/>
          <w:szCs w:val="18"/>
        </w:rPr>
      </w:pPr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 xml:space="preserve">Institute of Multidisciplinary Research for Advanced Materials (IMRAM), Tohoku University, 2–1–1 </w:t>
      </w:r>
      <w:proofErr w:type="spellStart"/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Katahira</w:t>
      </w:r>
      <w:proofErr w:type="spellEnd"/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, Aoba–Ward, Sendai, 980–8577 Japan</w:t>
      </w:r>
    </w:p>
    <w:p w14:paraId="794182EC" w14:textId="77777777" w:rsidR="00162018" w:rsidRPr="00FC477B" w:rsidRDefault="00162018" w:rsidP="00162018">
      <w:pPr>
        <w:pStyle w:val="ListParagraph"/>
        <w:numPr>
          <w:ilvl w:val="0"/>
          <w:numId w:val="1"/>
        </w:numPr>
        <w:snapToGrid w:val="0"/>
        <w:spacing w:afterLines="30" w:after="72" w:line="360" w:lineRule="auto"/>
        <w:ind w:left="288"/>
        <w:contextualSpacing w:val="0"/>
        <w:rPr>
          <w:rFonts w:ascii="Times New Roman" w:hAnsi="Times New Roman" w:cs="Times New Roman"/>
          <w:i/>
          <w:color w:val="000000" w:themeColor="text1"/>
          <w:sz w:val="18"/>
          <w:szCs w:val="18"/>
        </w:rPr>
      </w:pPr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 xml:space="preserve">Graduate School of Environmental Science, Hokkaido University, N10, W5, Sapporo 060-0814, Japan. </w:t>
      </w:r>
    </w:p>
    <w:p w14:paraId="61489636" w14:textId="77777777" w:rsidR="00162018" w:rsidRPr="00FC477B" w:rsidRDefault="00162018" w:rsidP="00162018">
      <w:pPr>
        <w:pStyle w:val="ListParagraph"/>
        <w:numPr>
          <w:ilvl w:val="0"/>
          <w:numId w:val="1"/>
        </w:numPr>
        <w:snapToGrid w:val="0"/>
        <w:spacing w:afterLines="30" w:after="72" w:line="360" w:lineRule="auto"/>
        <w:ind w:left="288"/>
        <w:contextualSpacing w:val="0"/>
        <w:rPr>
          <w:rFonts w:ascii="Times New Roman" w:hAnsi="Times New Roman" w:cs="Times New Roman"/>
          <w:i/>
          <w:color w:val="000000" w:themeColor="text1"/>
          <w:sz w:val="18"/>
          <w:szCs w:val="18"/>
        </w:rPr>
      </w:pPr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 xml:space="preserve">Exploratory Research Center on Life and Living Systems, National Institute of Natural Sciences, Higashiyama 5-1, </w:t>
      </w:r>
      <w:proofErr w:type="spellStart"/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Myodaiji</w:t>
      </w:r>
      <w:proofErr w:type="spellEnd"/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 xml:space="preserve">, Okazaki, Aichi 444-8787, Japan </w:t>
      </w:r>
    </w:p>
    <w:p w14:paraId="38B786D6" w14:textId="77777777" w:rsidR="00162018" w:rsidRPr="00FC477B" w:rsidRDefault="00162018" w:rsidP="00162018">
      <w:pPr>
        <w:pStyle w:val="ListParagraph"/>
        <w:numPr>
          <w:ilvl w:val="0"/>
          <w:numId w:val="1"/>
        </w:numPr>
        <w:snapToGrid w:val="0"/>
        <w:spacing w:afterLines="30" w:after="72" w:line="360" w:lineRule="auto"/>
        <w:ind w:left="288"/>
        <w:contextualSpacing w:val="0"/>
        <w:rPr>
          <w:rFonts w:ascii="Times New Roman" w:hAnsi="Times New Roman" w:cs="Times New Roman"/>
          <w:i/>
          <w:color w:val="000000" w:themeColor="text1"/>
          <w:sz w:val="18"/>
          <w:szCs w:val="18"/>
        </w:rPr>
      </w:pPr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 xml:space="preserve">National Institute for Physiological Sciences, National Institutes of Natural Sciences, Higashiyama 5-1, </w:t>
      </w:r>
      <w:proofErr w:type="spellStart"/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Myodaiji</w:t>
      </w:r>
      <w:proofErr w:type="spellEnd"/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, Okazaki, Aichi 444-8787, Japan.</w:t>
      </w:r>
    </w:p>
    <w:p w14:paraId="73BC84D3" w14:textId="77777777" w:rsidR="00162018" w:rsidRPr="00FC477B" w:rsidRDefault="00162018" w:rsidP="00162018">
      <w:pPr>
        <w:pStyle w:val="ListParagraph"/>
        <w:numPr>
          <w:ilvl w:val="0"/>
          <w:numId w:val="1"/>
        </w:numPr>
        <w:snapToGrid w:val="0"/>
        <w:spacing w:afterLines="30" w:after="72" w:line="360" w:lineRule="auto"/>
        <w:ind w:left="288"/>
        <w:contextualSpacing w:val="0"/>
        <w:rPr>
          <w:rFonts w:ascii="Times New Roman" w:hAnsi="Times New Roman" w:cs="Times New Roman"/>
          <w:i/>
          <w:color w:val="000000" w:themeColor="text1"/>
          <w:sz w:val="18"/>
          <w:szCs w:val="18"/>
        </w:rPr>
      </w:pPr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Graduate School of Science, Nagoya City University, Nagoya 467-8501, Japan</w:t>
      </w:r>
    </w:p>
    <w:p w14:paraId="22407EA0" w14:textId="77777777" w:rsidR="00162018" w:rsidRPr="00FC477B" w:rsidRDefault="00162018" w:rsidP="00162018">
      <w:pPr>
        <w:pStyle w:val="ListParagraph"/>
        <w:numPr>
          <w:ilvl w:val="0"/>
          <w:numId w:val="1"/>
        </w:numPr>
        <w:snapToGrid w:val="0"/>
        <w:spacing w:afterLines="30" w:after="72" w:line="360" w:lineRule="auto"/>
        <w:ind w:left="288"/>
        <w:contextualSpacing w:val="0"/>
        <w:rPr>
          <w:rFonts w:ascii="Times New Roman" w:hAnsi="Times New Roman" w:cs="Times New Roman"/>
          <w:i/>
          <w:color w:val="000000" w:themeColor="text1"/>
          <w:sz w:val="18"/>
          <w:szCs w:val="18"/>
        </w:rPr>
      </w:pPr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RIKEN Center for Biosystems Dynamics Research, Kobe 650-0047, Japan.</w:t>
      </w:r>
    </w:p>
    <w:p w14:paraId="1F46903A" w14:textId="77777777" w:rsidR="00162018" w:rsidRPr="00FC477B" w:rsidRDefault="00162018" w:rsidP="00162018">
      <w:pPr>
        <w:pStyle w:val="ListParagraph"/>
        <w:numPr>
          <w:ilvl w:val="0"/>
          <w:numId w:val="1"/>
        </w:numPr>
        <w:snapToGrid w:val="0"/>
        <w:spacing w:afterLines="30" w:after="72" w:line="360" w:lineRule="auto"/>
        <w:ind w:left="288"/>
        <w:contextualSpacing w:val="0"/>
        <w:rPr>
          <w:rFonts w:ascii="Times New Roman" w:hAnsi="Times New Roman" w:cs="Times New Roman"/>
          <w:i/>
          <w:color w:val="000000" w:themeColor="text1"/>
          <w:sz w:val="18"/>
          <w:szCs w:val="18"/>
        </w:rPr>
      </w:pPr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Graduate School of Medicine, Juntendo University, 2-1-1 Hongo, Tokyo 113-8421, Japan</w:t>
      </w:r>
    </w:p>
    <w:p w14:paraId="7117BB36" w14:textId="77777777" w:rsidR="00162018" w:rsidRPr="00FC477B" w:rsidRDefault="00162018" w:rsidP="00162018">
      <w:pPr>
        <w:pStyle w:val="ListParagraph"/>
        <w:numPr>
          <w:ilvl w:val="0"/>
          <w:numId w:val="1"/>
        </w:numPr>
        <w:snapToGrid w:val="0"/>
        <w:spacing w:afterLines="30" w:after="72" w:line="360" w:lineRule="auto"/>
        <w:ind w:left="288"/>
        <w:contextualSpacing w:val="0"/>
        <w:rPr>
          <w:rFonts w:ascii="Times New Roman" w:hAnsi="Times New Roman" w:cs="Times New Roman"/>
          <w:i/>
          <w:color w:val="000000" w:themeColor="text1"/>
          <w:sz w:val="18"/>
          <w:szCs w:val="18"/>
        </w:rPr>
      </w:pPr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ARC Centre of Excellence in Exciton Science, School of Chemistry, University of Melbourne, Parkville, VIC 3010, Australia</w:t>
      </w:r>
    </w:p>
    <w:p w14:paraId="36760506" w14:textId="77777777" w:rsidR="00162018" w:rsidRPr="00FC477B" w:rsidRDefault="00162018" w:rsidP="00162018">
      <w:pPr>
        <w:pStyle w:val="ListParagraph"/>
        <w:numPr>
          <w:ilvl w:val="0"/>
          <w:numId w:val="1"/>
        </w:numPr>
        <w:snapToGrid w:val="0"/>
        <w:spacing w:afterLines="30" w:after="72" w:line="360" w:lineRule="auto"/>
        <w:ind w:left="288"/>
        <w:contextualSpacing w:val="0"/>
        <w:rPr>
          <w:rFonts w:ascii="Times New Roman" w:hAnsi="Times New Roman" w:cs="Times New Roman"/>
          <w:i/>
          <w:color w:val="000000" w:themeColor="text1"/>
          <w:sz w:val="18"/>
          <w:szCs w:val="18"/>
        </w:rPr>
      </w:pPr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 xml:space="preserve">Molecular Imaging and Photonics, Department of Chemistry, KU Leuven, </w:t>
      </w:r>
      <w:proofErr w:type="spellStart"/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Celestijnenlaan</w:t>
      </w:r>
      <w:proofErr w:type="spellEnd"/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 xml:space="preserve"> 200F, </w:t>
      </w:r>
      <w:proofErr w:type="spellStart"/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Heverlee</w:t>
      </w:r>
      <w:proofErr w:type="spellEnd"/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 xml:space="preserve"> 3001, Belgium</w:t>
      </w:r>
    </w:p>
    <w:p w14:paraId="68AB7B23" w14:textId="77777777" w:rsidR="00162018" w:rsidRPr="00FC477B" w:rsidRDefault="00162018" w:rsidP="00162018">
      <w:pPr>
        <w:pStyle w:val="ListParagraph"/>
        <w:numPr>
          <w:ilvl w:val="0"/>
          <w:numId w:val="1"/>
        </w:numPr>
        <w:snapToGrid w:val="0"/>
        <w:spacing w:afterLines="30" w:after="72" w:line="360" w:lineRule="auto"/>
        <w:ind w:left="288"/>
        <w:contextualSpacing w:val="0"/>
        <w:rPr>
          <w:rFonts w:ascii="Times New Roman" w:hAnsi="Times New Roman" w:cs="Times New Roman"/>
          <w:i/>
          <w:color w:val="000000" w:themeColor="text1"/>
          <w:sz w:val="18"/>
          <w:szCs w:val="18"/>
        </w:rPr>
      </w:pPr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National Institute for Basic Biology, National Institutes of Natural Sciences, Okazaki, Aichi 444-8585, Japan.</w:t>
      </w:r>
    </w:p>
    <w:p w14:paraId="159FE441" w14:textId="77777777" w:rsidR="00162018" w:rsidRPr="00FC477B" w:rsidRDefault="00162018" w:rsidP="00162018">
      <w:pPr>
        <w:pStyle w:val="ListParagraph"/>
        <w:numPr>
          <w:ilvl w:val="0"/>
          <w:numId w:val="1"/>
        </w:numPr>
        <w:snapToGrid w:val="0"/>
        <w:spacing w:afterLines="30" w:after="72" w:line="360" w:lineRule="auto"/>
        <w:ind w:left="288"/>
        <w:contextualSpacing w:val="0"/>
        <w:rPr>
          <w:rFonts w:ascii="Times New Roman" w:hAnsi="Times New Roman" w:cs="Times New Roman"/>
          <w:i/>
          <w:color w:val="000000" w:themeColor="text1"/>
          <w:sz w:val="18"/>
          <w:szCs w:val="18"/>
        </w:rPr>
      </w:pPr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 xml:space="preserve">Graduate School of Biostudies, Kyoto University, </w:t>
      </w:r>
      <w:r w:rsidRPr="00FC477B">
        <w:rPr>
          <w:rFonts w:ascii="Times New Roman" w:hAnsi="Times New Roman" w:cs="Times New Roman"/>
          <w:i/>
          <w:iCs/>
          <w:color w:val="000000" w:themeColor="text1"/>
          <w:sz w:val="18"/>
          <w:szCs w:val="18"/>
        </w:rPr>
        <w:t>Sakyo-</w:t>
      </w:r>
      <w:proofErr w:type="spellStart"/>
      <w:r w:rsidRPr="00FC477B">
        <w:rPr>
          <w:rFonts w:ascii="Times New Roman" w:hAnsi="Times New Roman" w:cs="Times New Roman"/>
          <w:i/>
          <w:iCs/>
          <w:color w:val="000000" w:themeColor="text1"/>
          <w:sz w:val="18"/>
          <w:szCs w:val="18"/>
        </w:rPr>
        <w:t>ku</w:t>
      </w:r>
      <w:proofErr w:type="spellEnd"/>
      <w:r w:rsidRPr="00FC477B">
        <w:rPr>
          <w:rFonts w:ascii="Times New Roman" w:hAnsi="Times New Roman" w:cs="Times New Roman"/>
          <w:i/>
          <w:iCs/>
          <w:color w:val="000000" w:themeColor="text1"/>
          <w:sz w:val="18"/>
          <w:szCs w:val="18"/>
        </w:rPr>
        <w:t xml:space="preserve">, </w:t>
      </w:r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Kyoto 606-8315, Japan.</w:t>
      </w:r>
    </w:p>
    <w:p w14:paraId="320452BA" w14:textId="77777777" w:rsidR="00162018" w:rsidRPr="00FC477B" w:rsidRDefault="00162018" w:rsidP="00162018">
      <w:pPr>
        <w:pStyle w:val="ListParagraph"/>
        <w:numPr>
          <w:ilvl w:val="0"/>
          <w:numId w:val="1"/>
        </w:numPr>
        <w:snapToGrid w:val="0"/>
        <w:spacing w:afterLines="30" w:after="72" w:line="360" w:lineRule="auto"/>
        <w:ind w:left="288"/>
        <w:contextualSpacing w:val="0"/>
        <w:rPr>
          <w:rFonts w:ascii="Times New Roman" w:hAnsi="Times New Roman" w:cs="Times New Roman"/>
          <w:i/>
          <w:color w:val="000000" w:themeColor="text1"/>
          <w:sz w:val="18"/>
          <w:szCs w:val="18"/>
        </w:rPr>
      </w:pPr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Institute for Integrated Cell-Material Science (WPI-</w:t>
      </w:r>
      <w:proofErr w:type="spellStart"/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iCeMS</w:t>
      </w:r>
      <w:proofErr w:type="spellEnd"/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), Kyoto University, Yoshida, Sakyo-</w:t>
      </w:r>
      <w:proofErr w:type="spellStart"/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ku</w:t>
      </w:r>
      <w:proofErr w:type="spellEnd"/>
      <w:r w:rsidRPr="00FC477B">
        <w:rPr>
          <w:rFonts w:ascii="Times New Roman" w:hAnsi="Times New Roman" w:cs="Times New Roman"/>
          <w:i/>
          <w:color w:val="000000" w:themeColor="text1"/>
          <w:sz w:val="18"/>
          <w:szCs w:val="18"/>
        </w:rPr>
        <w:t>, Kyoto 606-8501, Japan.</w:t>
      </w:r>
    </w:p>
    <w:p w14:paraId="3C5E3A13" w14:textId="77777777" w:rsidR="00162018" w:rsidRPr="00162018" w:rsidRDefault="00162018" w:rsidP="00162018">
      <w:pPr>
        <w:snapToGrid w:val="0"/>
        <w:spacing w:afterLines="30" w:after="72" w:line="360" w:lineRule="auto"/>
        <w:rPr>
          <w:rFonts w:ascii="Times New Roman" w:hAnsi="Times New Roman" w:cs="Times New Roman"/>
          <w:b/>
          <w:color w:val="000000" w:themeColor="text1"/>
          <w:sz w:val="22"/>
          <w:szCs w:val="22"/>
        </w:rPr>
      </w:pPr>
    </w:p>
    <w:p w14:paraId="6ECC10F0" w14:textId="77777777" w:rsidR="00162018" w:rsidRPr="00C16098" w:rsidRDefault="00162018" w:rsidP="00162018">
      <w:pPr>
        <w:snapToGrid w:val="0"/>
        <w:spacing w:afterLines="30" w:after="72" w:line="360" w:lineRule="auto"/>
        <w:rPr>
          <w:rFonts w:ascii="Times" w:hAnsi="Times"/>
          <w:b/>
          <w:color w:val="000000" w:themeColor="text1"/>
        </w:rPr>
      </w:pPr>
    </w:p>
    <w:p w14:paraId="25B2B064" w14:textId="77777777" w:rsidR="00162018" w:rsidRPr="001A0071" w:rsidRDefault="00162018" w:rsidP="00162018">
      <w:pPr>
        <w:pStyle w:val="TAMainText"/>
        <w:ind w:firstLine="388"/>
        <w:rPr>
          <w:rFonts w:eastAsia="SimSun"/>
        </w:rPr>
      </w:pPr>
      <w:r w:rsidRPr="001A0071">
        <w:lastRenderedPageBreak/>
        <w:drawing>
          <wp:inline distT="0" distB="0" distL="0" distR="0" wp14:anchorId="22D7C0BE" wp14:editId="4A0A0154">
            <wp:extent cx="5910580" cy="2952750"/>
            <wp:effectExtent l="0" t="0" r="0" b="0"/>
            <wp:docPr id="2065365531" name="図 1" descr="グラフ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365531" name="図 1" descr="グラフ が含まれている画像&#10;&#10;自動的に生成された説明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1058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5A0B4" w14:textId="77777777" w:rsidR="00162018" w:rsidRPr="00CD38F4" w:rsidRDefault="00162018" w:rsidP="00162018">
      <w:pPr>
        <w:pStyle w:val="TAMainText"/>
        <w:ind w:firstLine="395"/>
        <w:rPr>
          <w:rFonts w:eastAsia="MS Mincho"/>
          <w:b/>
          <w:bCs/>
        </w:rPr>
      </w:pPr>
      <w:bookmarkStart w:id="0" w:name="_Hlk127542094"/>
      <w:r w:rsidRPr="00053116">
        <w:rPr>
          <w:b/>
          <w:bCs/>
        </w:rPr>
        <w:t>Figure S1</w:t>
      </w:r>
      <w:r w:rsidRPr="000C4554">
        <w:t>.</w:t>
      </w:r>
      <w:r w:rsidRPr="001A0071">
        <w:t xml:space="preserve"> </w:t>
      </w:r>
      <w:r w:rsidRPr="00CD38F4">
        <w:t>(A) STE</w:t>
      </w:r>
      <w:bookmarkEnd w:id="0"/>
      <w:r w:rsidRPr="00CD38F4">
        <w:t>M image of AuNS-Cys. (B) Schematic representation of the diameter calculation for the core and the particle: the particle diameter was estimated as the maximum Euclidean distance value between any two points on the AuNS-Cys perimeter. The particle core diameter was obtained from the darkest area from the shading of the STEM image. (C) Particle size distribution profile extracted from STEM images: mean particle diameter ± standard deviation was 101.3 ± 15.0 nm (n = 131) and the mean core diameter ± standard deviation was 37.8 ± 6.5 nm (n = 131).</w:t>
      </w:r>
    </w:p>
    <w:p w14:paraId="6592F1F4" w14:textId="77777777" w:rsidR="00162018" w:rsidRPr="001A0071" w:rsidRDefault="00162018" w:rsidP="00162018">
      <w:pPr>
        <w:pStyle w:val="TAMainText"/>
        <w:ind w:firstLine="388"/>
      </w:pPr>
    </w:p>
    <w:p w14:paraId="5159124E" w14:textId="77777777" w:rsidR="00162018" w:rsidRPr="00C16098" w:rsidRDefault="00162018" w:rsidP="00162018">
      <w:pPr>
        <w:rPr>
          <w:rFonts w:ascii="Times New Roman" w:hAnsi="Times New Roman"/>
          <w:w w:val="108"/>
          <w:kern w:val="21"/>
        </w:rPr>
      </w:pPr>
      <w:r w:rsidRPr="00C16098">
        <w:rPr>
          <w:w w:val="108"/>
        </w:rPr>
        <w:br w:type="page"/>
      </w:r>
    </w:p>
    <w:p w14:paraId="61200D0E" w14:textId="77777777" w:rsidR="00162018" w:rsidRPr="00C15E9C" w:rsidRDefault="00162018" w:rsidP="00162018">
      <w:pPr>
        <w:pStyle w:val="TAMainText"/>
        <w:ind w:firstLine="388"/>
      </w:pPr>
      <w:r>
        <w:lastRenderedPageBreak/>
        <w:t>Photothermal</w:t>
      </w:r>
      <w:r w:rsidRPr="00C15E9C">
        <w:t xml:space="preserve"> conversion efficiency</w:t>
      </w:r>
      <w:r>
        <w:t xml:space="preserve"> (PCE)</w:t>
      </w:r>
      <w:r w:rsidRPr="00C15E9C">
        <w:t xml:space="preserve"> </w:t>
      </w:r>
    </w:p>
    <w:p w14:paraId="25A1C04F" w14:textId="77777777" w:rsidR="00162018" w:rsidRPr="00CD38F4" w:rsidRDefault="00162018" w:rsidP="00162018">
      <w:pPr>
        <w:pStyle w:val="TAMainText"/>
        <w:ind w:firstLine="388"/>
        <w:rPr>
          <w:b/>
          <w:bCs/>
        </w:rPr>
      </w:pPr>
      <w:r w:rsidRPr="00CD38F4">
        <w:t>The photo-thermal conversion (η) was determined according to the previously described method</w:t>
      </w:r>
      <w:sdt>
        <w:sdtPr>
          <w:rPr>
            <w:bCs/>
            <w:vertAlign w:val="superscript"/>
          </w:rPr>
          <w:tag w:val="MENDELEY_CITATION_v3_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"/>
          <w:id w:val="537625543"/>
          <w:placeholder>
            <w:docPart w:val="B644C494C7B1C64B938BE3EAC5B60442"/>
          </w:placeholder>
        </w:sdtPr>
        <w:sdtContent>
          <w:r w:rsidRPr="00B76C60">
            <w:rPr>
              <w:vertAlign w:val="superscript"/>
            </w:rPr>
            <w:t>30</w:t>
          </w:r>
        </w:sdtContent>
      </w:sdt>
      <w:r w:rsidRPr="00CD38F4">
        <w:t>;</w:t>
      </w:r>
    </w:p>
    <w:p w14:paraId="495B5198" w14:textId="77777777" w:rsidR="00162018" w:rsidRPr="00CD38F4" w:rsidRDefault="00162018" w:rsidP="00162018">
      <w:pPr>
        <w:pStyle w:val="TAMainText"/>
        <w:ind w:firstLine="388"/>
        <w:rPr>
          <w:b/>
          <w:bCs/>
        </w:rPr>
      </w:pPr>
      <m:oMathPara>
        <m:oMath>
          <m:r>
            <w:rPr>
              <w:rFonts w:ascii="Cambria Math" w:hAnsi="Cambria Math"/>
            </w:rPr>
            <m:t>η</m:t>
          </m:r>
          <m:r>
            <m:rPr>
              <m:sty m:val="p"/>
            </m:rPr>
            <w:rPr>
              <w:rFonts w:ascii="Cambria Math" w:hAnsi="Cambria Math"/>
            </w:rPr>
            <m:t xml:space="preserve">= 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w:rPr>
                  <w:rFonts w:ascii="Cambria Math" w:hAnsi="Cambria Math"/>
                </w:rPr>
                <m:t>hS</m:t>
              </m:r>
              <m:d>
                <m:dPr>
                  <m:ctrlPr>
                    <w:rPr>
                      <w:rFonts w:ascii="Cambria Math" w:hAnsi="Cambria Math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Max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 xml:space="preserve">- </m:t>
                  </m:r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Surr</m:t>
                      </m:r>
                    </m:sub>
                  </m:sSub>
                </m:e>
              </m:d>
              <m:r>
                <m:rPr>
                  <m:sty m:val="p"/>
                </m:rPr>
                <w:rPr>
                  <w:rFonts w:ascii="Cambria Math" w:hAnsi="Cambria Math"/>
                </w:rPr>
                <m:t xml:space="preserve">- 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Q</m:t>
                  </m:r>
                </m:e>
                <m:sub>
                  <m:r>
                    <w:rPr>
                      <w:rFonts w:ascii="Cambria Math" w:hAnsi="Cambria Math"/>
                    </w:rPr>
                    <m:t>Dis</m:t>
                  </m:r>
                </m:sub>
              </m:sSub>
            </m:num>
            <m:den>
              <m:r>
                <w:rPr>
                  <w:rFonts w:ascii="Cambria Math" w:hAnsi="Cambria Math"/>
                </w:rPr>
                <m:t>I</m:t>
              </m:r>
              <m:d>
                <m:dPr>
                  <m:ctrlPr>
                    <w:rPr>
                      <w:rFonts w:ascii="Cambria Math" w:hAnsi="Cambria Math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 xml:space="preserve">1- </m:t>
                  </m:r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10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A</m:t>
                          </m:r>
                        </m:e>
                        <m: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</w:rPr>
                            <m:t>700</m:t>
                          </m:r>
                        </m:sub>
                      </m:sSub>
                    </m:sup>
                  </m:sSup>
                </m:e>
              </m:d>
            </m:den>
          </m:f>
          <m:r>
            <m:rPr>
              <m:sty m:val="p"/>
            </m:rPr>
            <w:rPr>
              <w:rFonts w:ascii="Cambria Math" w:eastAsia="MS Mincho" w:hAnsi="Cambria Math"/>
            </w:rPr>
            <m:t xml:space="preserve">　　</m:t>
          </m:r>
          <m:r>
            <w:rPr>
              <w:rFonts w:ascii="Cambria Math" w:hAnsi="Cambria Math"/>
            </w:rPr>
            <m:t>eq</m:t>
          </m:r>
          <m:r>
            <m:rPr>
              <m:sty m:val="p"/>
            </m:rPr>
            <w:rPr>
              <w:rFonts w:ascii="Cambria Math" w:hAnsi="Cambria Math"/>
            </w:rPr>
            <m:t xml:space="preserve"> </m:t>
          </m:r>
          <m:d>
            <m:dPr>
              <m:ctrlPr>
                <w:rPr>
                  <w:rFonts w:ascii="Cambria Math" w:hAnsi="Cambria Math"/>
                </w:rPr>
              </m:ctrlPr>
            </m:dPr>
            <m:e>
              <m:r>
                <m:rPr>
                  <m:sty m:val="p"/>
                </m:rPr>
                <w:rPr>
                  <w:rFonts w:ascii="Cambria Math" w:hAnsi="Cambria Math"/>
                </w:rPr>
                <m:t>1</m:t>
              </m:r>
            </m:e>
          </m:d>
        </m:oMath>
      </m:oMathPara>
    </w:p>
    <w:p w14:paraId="4F560537" w14:textId="77777777" w:rsidR="00162018" w:rsidRPr="00CD38F4" w:rsidRDefault="00162018" w:rsidP="00162018">
      <w:pPr>
        <w:pStyle w:val="TAMainText"/>
        <w:ind w:firstLine="388"/>
        <w:rPr>
          <w:b/>
          <w:bCs/>
        </w:rPr>
      </w:pPr>
      <w:r w:rsidRPr="00CD38F4">
        <w:t xml:space="preserve">where h is the heat transfer coefficient, S is the surface area of the container, and </w:t>
      </w:r>
      <w:r w:rsidRPr="00CD38F4">
        <w:rPr>
          <w:i/>
        </w:rPr>
        <w:t>hS</w:t>
      </w:r>
      <w:r w:rsidRPr="00CD38F4">
        <w:t xml:space="preserve"> is determined from Equation (2). T</w:t>
      </w:r>
      <w:r w:rsidRPr="00CD38F4">
        <w:rPr>
          <w:vertAlign w:val="subscript"/>
        </w:rPr>
        <w:t>Max</w:t>
      </w:r>
      <w:r w:rsidRPr="00CD38F4">
        <w:t xml:space="preserve"> is the maximum temperature achieved by illumination, and </w:t>
      </w:r>
      <w:r w:rsidRPr="00CD38F4">
        <w:rPr>
          <w:i/>
        </w:rPr>
        <w:t>T</w:t>
      </w:r>
      <w:r w:rsidRPr="00CD38F4">
        <w:rPr>
          <w:vertAlign w:val="subscript"/>
        </w:rPr>
        <w:t>Surr</w:t>
      </w:r>
      <w:r w:rsidRPr="00CD38F4">
        <w:t xml:space="preserve"> is the temperature of the surroundings. </w:t>
      </w:r>
      <w:r w:rsidRPr="00CD38F4">
        <w:rPr>
          <w:i/>
        </w:rPr>
        <w:t>Q</w:t>
      </w:r>
      <w:r w:rsidRPr="00CD38F4">
        <w:rPr>
          <w:vertAlign w:val="subscript"/>
        </w:rPr>
        <w:t>Dis</w:t>
      </w:r>
      <w:r w:rsidRPr="00CD38F4">
        <w:t xml:space="preserve"> represents the heat dissipated from the laser, mediated by the solvent and container. </w:t>
      </w:r>
      <w:r w:rsidRPr="00CD38F4">
        <w:rPr>
          <w:i/>
        </w:rPr>
        <w:t>I</w:t>
      </w:r>
      <w:r w:rsidRPr="00CD38F4">
        <w:t xml:space="preserve"> corresponds to the intensity of the power source (700 nm laser at 0.03</w:t>
      </w:r>
      <w:r w:rsidRPr="00CD38F4">
        <w:rPr>
          <w:rFonts w:hint="eastAsia"/>
        </w:rPr>
        <w:t>0</w:t>
      </w:r>
      <w:r w:rsidRPr="00CD38F4">
        <w:t xml:space="preserve"> W), and A</w:t>
      </w:r>
      <w:r w:rsidRPr="00CD38F4">
        <w:rPr>
          <w:vertAlign w:val="subscript"/>
        </w:rPr>
        <w:t>700</w:t>
      </w:r>
      <w:r w:rsidRPr="00CD38F4">
        <w:t xml:space="preserve"> represents the absorbance of the sample solution at 700 nm.</w:t>
      </w:r>
    </w:p>
    <w:p w14:paraId="3212F662" w14:textId="77777777" w:rsidR="00162018" w:rsidRPr="00CD38F4" w:rsidRDefault="00162018" w:rsidP="00162018">
      <w:pPr>
        <w:pStyle w:val="TAMainText"/>
        <w:ind w:firstLine="388"/>
        <w:rPr>
          <w:b/>
          <w:bCs/>
        </w:rPr>
      </w:pPr>
      <m:oMathPara>
        <m:oMath>
          <m:r>
            <w:rPr>
              <w:rFonts w:ascii="Cambria Math" w:hAnsi="Cambria Math"/>
            </w:rPr>
            <m:t>hs</m:t>
          </m:r>
          <m:r>
            <m:rPr>
              <m:sty m:val="p"/>
            </m:rPr>
            <w:rPr>
              <w:rFonts w:ascii="Cambria Math" w:hAnsi="Cambria Math"/>
            </w:rPr>
            <m:t xml:space="preserve">= 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m</m:t>
                  </m:r>
                </m:e>
                <m:sub>
                  <m:r>
                    <w:rPr>
                      <w:rFonts w:ascii="Cambria Math" w:hAnsi="Cambria Math"/>
                    </w:rPr>
                    <m:t>D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 xml:space="preserve"> 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</w:rPr>
                    <m:t>D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τ</m:t>
                  </m:r>
                </m:e>
                <m:sub>
                  <m:r>
                    <w:rPr>
                      <w:rFonts w:ascii="Cambria Math" w:hAnsi="Cambria Math"/>
                    </w:rPr>
                    <m:t>s</m:t>
                  </m:r>
                </m:sub>
              </m:sSub>
            </m:den>
          </m:f>
          <m:r>
            <m:rPr>
              <m:sty m:val="p"/>
            </m:rPr>
            <w:rPr>
              <w:rFonts w:ascii="Cambria Math" w:eastAsia="MS Mincho" w:hAnsi="Cambria Math"/>
            </w:rPr>
            <m:t xml:space="preserve">　　</m:t>
          </m:r>
          <m:r>
            <w:rPr>
              <w:rFonts w:ascii="Cambria Math" w:hAnsi="Cambria Math"/>
            </w:rPr>
            <m:t>eq</m:t>
          </m:r>
          <m:r>
            <m:rPr>
              <m:sty m:val="p"/>
            </m:rPr>
            <w:rPr>
              <w:rFonts w:ascii="Cambria Math" w:hAnsi="Cambria Math"/>
            </w:rPr>
            <m:t>(2)</m:t>
          </m:r>
        </m:oMath>
      </m:oMathPara>
    </w:p>
    <w:p w14:paraId="1C82DA8E" w14:textId="77777777" w:rsidR="00162018" w:rsidRPr="00CD38F4" w:rsidRDefault="00162018" w:rsidP="00162018">
      <w:pPr>
        <w:pStyle w:val="TAMainText"/>
        <w:ind w:firstLine="388"/>
        <w:rPr>
          <w:b/>
          <w:bCs/>
        </w:rPr>
      </w:pPr>
      <w:r w:rsidRPr="00CD38F4">
        <w:t>m</w:t>
      </w:r>
      <w:r w:rsidRPr="00CD38F4">
        <w:rPr>
          <w:vertAlign w:val="subscript"/>
        </w:rPr>
        <w:t>D</w:t>
      </w:r>
      <w:r w:rsidRPr="00CD38F4">
        <w:t xml:space="preserve"> and </w:t>
      </w:r>
      <w:r w:rsidRPr="00CD38F4">
        <w:rPr>
          <w:i/>
        </w:rPr>
        <w:t>C</w:t>
      </w:r>
      <w:r w:rsidRPr="00CD38F4">
        <w:rPr>
          <w:vertAlign w:val="subscript"/>
        </w:rPr>
        <w:t>D</w:t>
      </w:r>
      <w:r w:rsidRPr="00CD38F4">
        <w:t xml:space="preserve"> are the mass and heat capacity of deionized water, respectively, and τ</w:t>
      </w:r>
      <w:r w:rsidRPr="00CD38F4">
        <w:rPr>
          <w:vertAlign w:val="subscript"/>
        </w:rPr>
        <w:t>s</w:t>
      </w:r>
      <w:r w:rsidRPr="00CD38F4">
        <w:t xml:space="preserve"> is the sample system time constant, which is determined according to Equation (3) and the slope shown in Figure. S7.</w:t>
      </w:r>
    </w:p>
    <w:p w14:paraId="630741F7" w14:textId="77777777" w:rsidR="00162018" w:rsidRPr="00CD38F4" w:rsidRDefault="00162018" w:rsidP="00162018">
      <w:pPr>
        <w:pStyle w:val="TAMainText"/>
        <w:ind w:firstLine="388"/>
        <w:rPr>
          <w:b/>
          <w:bCs/>
        </w:rPr>
      </w:pPr>
      <m:oMathPara>
        <m:oMath>
          <m:r>
            <w:rPr>
              <w:rFonts w:ascii="Cambria Math" w:hAnsi="Cambria Math"/>
            </w:rPr>
            <m:t>t</m:t>
          </m:r>
          <m:r>
            <m:rPr>
              <m:sty m:val="p"/>
            </m:rPr>
            <w:rPr>
              <w:rFonts w:ascii="Cambria Math" w:hAnsi="Cambria Math"/>
            </w:rPr>
            <m:t>= -</m:t>
          </m:r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τ</m:t>
              </m:r>
            </m:e>
            <m:sub>
              <m:r>
                <w:rPr>
                  <w:rFonts w:ascii="Cambria Math" w:hAnsi="Cambria Math"/>
                </w:rPr>
                <m:t>s</m:t>
              </m:r>
            </m:sub>
          </m:sSub>
          <m:r>
            <m:rPr>
              <m:sty m:val="p"/>
            </m:rPr>
            <w:rPr>
              <w:rFonts w:ascii="Cambria Math" w:hAnsi="Cambria Math"/>
            </w:rPr>
            <m:t xml:space="preserve"> </m:t>
          </m:r>
          <m:r>
            <w:rPr>
              <w:rFonts w:ascii="Cambria Math" w:hAnsi="Cambria Math"/>
            </w:rPr>
            <m:t>In</m:t>
          </m:r>
          <m:r>
            <m:rPr>
              <m:sty m:val="p"/>
            </m:rPr>
            <w:rPr>
              <w:rFonts w:ascii="Cambria Math" w:hAnsi="Cambria Math"/>
            </w:rPr>
            <m:t>(</m:t>
          </m:r>
          <m:r>
            <w:rPr>
              <w:rFonts w:ascii="Cambria Math" w:hAnsi="Cambria Math"/>
            </w:rPr>
            <m:t>θ</m:t>
          </m:r>
          <m:r>
            <m:rPr>
              <m:sty m:val="p"/>
            </m:rPr>
            <w:rPr>
              <w:rFonts w:ascii="Cambria Math" w:hAnsi="Cambria Math"/>
            </w:rPr>
            <m:t>)</m:t>
          </m:r>
          <m:r>
            <m:rPr>
              <m:sty m:val="p"/>
            </m:rPr>
            <w:rPr>
              <w:rFonts w:ascii="Cambria Math" w:eastAsia="MS Mincho" w:hAnsi="Cambria Math"/>
            </w:rPr>
            <m:t xml:space="preserve">　　</m:t>
          </m:r>
          <m:r>
            <w:rPr>
              <w:rFonts w:ascii="Cambria Math" w:hAnsi="Cambria Math"/>
            </w:rPr>
            <m:t>eq</m:t>
          </m:r>
          <m:r>
            <m:rPr>
              <m:sty m:val="p"/>
            </m:rPr>
            <w:rPr>
              <w:rFonts w:ascii="Cambria Math" w:hAnsi="Cambria Math"/>
            </w:rPr>
            <m:t>(3)</m:t>
          </m:r>
        </m:oMath>
      </m:oMathPara>
    </w:p>
    <w:p w14:paraId="287A8C67" w14:textId="77777777" w:rsidR="00162018" w:rsidRPr="00CD38F4" w:rsidRDefault="00162018" w:rsidP="00162018">
      <w:pPr>
        <w:pStyle w:val="TAMainText"/>
        <w:ind w:firstLine="388"/>
        <w:rPr>
          <w:b/>
          <w:bCs/>
        </w:rPr>
      </w:pPr>
      <w:r w:rsidRPr="00CD38F4">
        <w:t>θ is a dimensionless parameter, known as the driving force temperature, as calculated using equation (4)</w:t>
      </w:r>
    </w:p>
    <w:p w14:paraId="006925F0" w14:textId="77777777" w:rsidR="00162018" w:rsidRPr="00CD38F4" w:rsidRDefault="00162018" w:rsidP="00162018">
      <w:pPr>
        <w:pStyle w:val="TAMainText"/>
        <w:ind w:firstLine="388"/>
        <w:rPr>
          <w:b/>
          <w:bCs/>
        </w:rPr>
      </w:pPr>
      <m:oMathPara>
        <m:oMath>
          <m:r>
            <w:rPr>
              <w:rFonts w:ascii="Cambria Math" w:hAnsi="Cambria Math"/>
            </w:rPr>
            <m:t>θ</m:t>
          </m:r>
          <m:r>
            <m:rPr>
              <m:sty m:val="p"/>
            </m:rPr>
            <w:rPr>
              <w:rFonts w:ascii="Cambria Math" w:eastAsia="MS Mincho" w:hAnsi="Cambria Math"/>
            </w:rPr>
            <m:t xml:space="preserve">　</m:t>
          </m:r>
          <m:r>
            <m:rPr>
              <m:sty m:val="p"/>
            </m:rPr>
            <w:rPr>
              <w:rFonts w:ascii="Cambria Math" w:hAnsi="Cambria Math"/>
            </w:rPr>
            <m:t xml:space="preserve">= 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w:rPr>
                  <w:rFonts w:ascii="Cambria Math" w:hAnsi="Cambria Math"/>
                </w:rPr>
                <m:t>T</m:t>
              </m:r>
              <m:r>
                <m:rPr>
                  <m:sty m:val="p"/>
                </m:rPr>
                <w:rPr>
                  <w:rFonts w:ascii="Cambria Math" w:hAnsi="Cambria Math"/>
                </w:rPr>
                <m:t xml:space="preserve">- 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T</m:t>
                  </m:r>
                </m:e>
                <m:sub>
                  <m:r>
                    <w:rPr>
                      <w:rFonts w:ascii="Cambria Math" w:hAnsi="Cambria Math"/>
                    </w:rPr>
                    <m:t>surr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T</m:t>
                  </m:r>
                </m:e>
                <m:sub>
                  <m:r>
                    <w:rPr>
                      <w:rFonts w:ascii="Cambria Math" w:hAnsi="Cambria Math"/>
                    </w:rPr>
                    <m:t>max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 xml:space="preserve">- 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T</m:t>
                  </m:r>
                </m:e>
                <m:sub>
                  <m:r>
                    <w:rPr>
                      <w:rFonts w:ascii="Cambria Math" w:hAnsi="Cambria Math"/>
                    </w:rPr>
                    <m:t>surr</m:t>
                  </m:r>
                </m:sub>
              </m:sSub>
            </m:den>
          </m:f>
          <m:r>
            <m:rPr>
              <m:sty m:val="p"/>
            </m:rPr>
            <w:rPr>
              <w:rFonts w:ascii="Cambria Math" w:eastAsia="MS Mincho" w:hAnsi="Cambria Math"/>
            </w:rPr>
            <m:t xml:space="preserve">　　</m:t>
          </m:r>
          <m:r>
            <w:rPr>
              <w:rFonts w:ascii="Cambria Math" w:hAnsi="Cambria Math"/>
            </w:rPr>
            <m:t>eq</m:t>
          </m:r>
          <m:r>
            <m:rPr>
              <m:sty m:val="p"/>
            </m:rPr>
            <w:rPr>
              <w:rFonts w:ascii="Cambria Math" w:hAnsi="Cambria Math"/>
            </w:rPr>
            <m:t>(4)</m:t>
          </m:r>
        </m:oMath>
      </m:oMathPara>
    </w:p>
    <w:p w14:paraId="5CE1057C" w14:textId="77777777" w:rsidR="00162018" w:rsidRPr="00D10477" w:rsidRDefault="00162018" w:rsidP="00162018">
      <w:pPr>
        <w:pStyle w:val="TAMainText"/>
        <w:ind w:firstLine="388"/>
      </w:pPr>
    </w:p>
    <w:p w14:paraId="3F9C40B6" w14:textId="77777777" w:rsidR="00162018" w:rsidRPr="00D10477" w:rsidRDefault="00162018" w:rsidP="00162018">
      <w:pPr>
        <w:pStyle w:val="TAMainText"/>
        <w:ind w:firstLine="388"/>
      </w:pPr>
      <w:r w:rsidRPr="00D10477">
        <w:drawing>
          <wp:inline distT="0" distB="0" distL="0" distR="0" wp14:anchorId="7CE1D837" wp14:editId="7F30BAFA">
            <wp:extent cx="5910580" cy="2074545"/>
            <wp:effectExtent l="0" t="0" r="0" b="1905"/>
            <wp:docPr id="1136092704" name="図 1" descr="グラフ, 散布図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092704" name="図 1" descr="グラフ, 散布図&#10;&#10;自動的に生成された説明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10580" cy="207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B6619" w14:textId="77777777" w:rsidR="00162018" w:rsidRPr="00CD38F4" w:rsidRDefault="00162018" w:rsidP="00162018">
      <w:pPr>
        <w:pStyle w:val="TAMainText"/>
        <w:ind w:firstLine="395"/>
        <w:rPr>
          <w:rFonts w:eastAsia="MS Mincho"/>
          <w:b/>
          <w:bCs/>
        </w:rPr>
      </w:pPr>
      <w:r w:rsidRPr="00053116">
        <w:rPr>
          <w:b/>
          <w:bCs/>
        </w:rPr>
        <w:t>Figure S2</w:t>
      </w:r>
      <w:r w:rsidRPr="00C15E9C">
        <w:t>.</w:t>
      </w:r>
      <w:r w:rsidRPr="00D10477">
        <w:t xml:space="preserve"> </w:t>
      </w:r>
      <w:r w:rsidRPr="00CD38F4">
        <w:t>(A) Heating-cooling experiment under 30 mW 700 nm CW laser irradiation to determine the photothermal conversion efficiency (PCE). The laser was switched off after the sample reached a steady-state temperature of 220 s. (B) Linear fitting for the time and -ln θ plot. Linear time data versus -ln θ obtained from the cooling period in panel (A).</w:t>
      </w:r>
    </w:p>
    <w:p w14:paraId="7B38C111" w14:textId="77777777" w:rsidR="00162018" w:rsidRDefault="00162018" w:rsidP="00162018">
      <w:pPr>
        <w:pStyle w:val="TAMainText"/>
        <w:ind w:firstLine="388"/>
      </w:pPr>
    </w:p>
    <w:p w14:paraId="4B53B045" w14:textId="77777777" w:rsidR="00162018" w:rsidRPr="00D10477" w:rsidRDefault="00162018" w:rsidP="00162018">
      <w:pPr>
        <w:pStyle w:val="TAMainText"/>
        <w:ind w:firstLine="388"/>
      </w:pPr>
    </w:p>
    <w:p w14:paraId="649E3416" w14:textId="77777777" w:rsidR="00162018" w:rsidRPr="00D10477" w:rsidRDefault="00162018" w:rsidP="00162018">
      <w:pPr>
        <w:pStyle w:val="TAMainText"/>
        <w:ind w:firstLine="388"/>
      </w:pPr>
      <w:r w:rsidRPr="00E257E6">
        <w:drawing>
          <wp:inline distT="0" distB="0" distL="0" distR="0" wp14:anchorId="0B81F28C" wp14:editId="1342A3BA">
            <wp:extent cx="1978934" cy="2491991"/>
            <wp:effectExtent l="0" t="0" r="2540" b="0"/>
            <wp:docPr id="528238980" name="Picture 1" descr="A graph of a cell viabil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242471" name="Picture 1" descr="A graph of a cell viability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89980" cy="250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114D9" w14:textId="77777777" w:rsidR="00162018" w:rsidRPr="00CD38F4" w:rsidRDefault="00162018" w:rsidP="00162018">
      <w:pPr>
        <w:pStyle w:val="TAMainText"/>
        <w:ind w:firstLine="395"/>
        <w:rPr>
          <w:b/>
          <w:bCs/>
        </w:rPr>
      </w:pPr>
      <w:r w:rsidRPr="00053116">
        <w:rPr>
          <w:b/>
          <w:bCs/>
        </w:rPr>
        <w:t>Figure S3</w:t>
      </w:r>
      <w:r>
        <w:t>.</w:t>
      </w:r>
      <w:r w:rsidRPr="00D10477">
        <w:t xml:space="preserve"> </w:t>
      </w:r>
      <w:r w:rsidRPr="00CD38F4">
        <w:t>Dark cytotoxicity assay showing the viability of #T-HeLa cells with or without treatment with AuNS-Cys after 48 h incubation at 37</w:t>
      </w:r>
      <w:r w:rsidRPr="00CD38F4">
        <w:rPr>
          <w:vertAlign w:val="superscript"/>
        </w:rPr>
        <w:t>o</w:t>
      </w:r>
      <w:r w:rsidRPr="00CD38F4">
        <w:rPr>
          <w:rFonts w:hint="eastAsia"/>
        </w:rPr>
        <w:t>C</w:t>
      </w:r>
      <w:r w:rsidRPr="00CD38F4">
        <w:t>.</w:t>
      </w:r>
    </w:p>
    <w:p w14:paraId="6FC98F0A" w14:textId="77777777" w:rsidR="00162018" w:rsidRPr="00CD38F4" w:rsidRDefault="00162018" w:rsidP="00162018">
      <w:pPr>
        <w:pStyle w:val="TAMainText"/>
        <w:ind w:firstLine="388"/>
      </w:pPr>
    </w:p>
    <w:p w14:paraId="2281540B" w14:textId="77777777" w:rsidR="00162018" w:rsidRDefault="00162018" w:rsidP="00162018">
      <w:pPr>
        <w:pStyle w:val="TAMainText"/>
        <w:ind w:firstLine="388"/>
      </w:pPr>
    </w:p>
    <w:p w14:paraId="5681E291" w14:textId="77777777" w:rsidR="00162018" w:rsidRPr="001A0071" w:rsidRDefault="00162018" w:rsidP="00162018">
      <w:pPr>
        <w:pStyle w:val="TAMainText"/>
        <w:ind w:firstLine="388"/>
      </w:pPr>
    </w:p>
    <w:p w14:paraId="4FDDB3D6" w14:textId="77777777" w:rsidR="00162018" w:rsidRPr="001A0071" w:rsidRDefault="00162018" w:rsidP="00162018">
      <w:pPr>
        <w:pStyle w:val="TAMainText"/>
        <w:ind w:firstLine="388"/>
      </w:pPr>
      <w:r>
        <w:drawing>
          <wp:inline distT="0" distB="0" distL="0" distR="0" wp14:anchorId="7E8FD941" wp14:editId="6F8E85C7">
            <wp:extent cx="5397500" cy="2311400"/>
            <wp:effectExtent l="0" t="0" r="0" b="0"/>
            <wp:docPr id="433380208" name="Picture 3" descr="A graph of fluorescence and fluorescen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380208" name="Picture 3" descr="A graph of fluorescence and fluorescence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8E672" w14:textId="77777777" w:rsidR="00162018" w:rsidRPr="00CD38F4" w:rsidRDefault="00162018" w:rsidP="00162018">
      <w:pPr>
        <w:pStyle w:val="TAMainText"/>
        <w:ind w:firstLine="395"/>
        <w:rPr>
          <w:b/>
          <w:bCs/>
        </w:rPr>
      </w:pPr>
      <w:r w:rsidRPr="00053116">
        <w:rPr>
          <w:b/>
          <w:bCs/>
        </w:rPr>
        <w:t>Figure S4</w:t>
      </w:r>
      <w:r w:rsidRPr="00C66C85">
        <w:t>.</w:t>
      </w:r>
      <w:r w:rsidRPr="001A0071">
        <w:t xml:space="preserve"> </w:t>
      </w:r>
      <w:r w:rsidRPr="00CD38F4">
        <w:t xml:space="preserve">Maximum intensity z-projection (y-z) of the spheroids corresponding to Figure </w:t>
      </w:r>
      <w:r>
        <w:t>2I-J</w:t>
      </w:r>
      <w:r w:rsidRPr="00CD38F4">
        <w:t xml:space="preserve"> (A and B, respectively), with the white arrows indicating the PL of AuNS-Cys. Photoluminescence intensity of AuNS-Cys over time upon irradiation with an 850 nm fs-pulsed laser, 22 mW mm</w:t>
      </w:r>
      <w:r w:rsidRPr="00CD38F4">
        <w:rPr>
          <w:vertAlign w:val="superscript"/>
        </w:rPr>
        <w:t>-2</w:t>
      </w:r>
      <w:r w:rsidRPr="00CD38F4">
        <w:t xml:space="preserve"> (B).</w:t>
      </w:r>
    </w:p>
    <w:p w14:paraId="12BD64C1" w14:textId="77777777" w:rsidR="00162018" w:rsidRDefault="00162018" w:rsidP="00162018">
      <w:pPr>
        <w:pStyle w:val="TAMainText"/>
        <w:ind w:firstLine="388"/>
      </w:pPr>
    </w:p>
    <w:p w14:paraId="06CF0294" w14:textId="77777777" w:rsidR="00162018" w:rsidRDefault="00162018" w:rsidP="00162018">
      <w:pPr>
        <w:pStyle w:val="TAMainText"/>
        <w:ind w:firstLine="388"/>
      </w:pPr>
    </w:p>
    <w:p w14:paraId="4EA29FA9" w14:textId="77777777" w:rsidR="00162018" w:rsidRDefault="00162018" w:rsidP="00162018">
      <w:pPr>
        <w:pStyle w:val="TAMainText"/>
        <w:ind w:firstLine="388"/>
      </w:pPr>
      <w:r>
        <w:lastRenderedPageBreak/>
        <w:drawing>
          <wp:inline distT="0" distB="0" distL="0" distR="0" wp14:anchorId="49AF042D" wp14:editId="5A4006F1">
            <wp:extent cx="5727700" cy="3391535"/>
            <wp:effectExtent l="0" t="0" r="0" b="0"/>
            <wp:docPr id="174477264" name="Picture 10" descr="A collage of images of red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77264" name="Picture 10" descr="A collage of images of red dots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39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40390" w14:textId="77777777" w:rsidR="00162018" w:rsidRDefault="00162018" w:rsidP="00162018">
      <w:pPr>
        <w:pStyle w:val="TAMainText"/>
        <w:ind w:firstLine="388"/>
      </w:pPr>
    </w:p>
    <w:p w14:paraId="13999E1B" w14:textId="77777777" w:rsidR="00162018" w:rsidRDefault="00162018" w:rsidP="00162018">
      <w:pPr>
        <w:pStyle w:val="TAMainText"/>
        <w:ind w:firstLine="388"/>
      </w:pPr>
    </w:p>
    <w:p w14:paraId="07532FC7" w14:textId="77777777" w:rsidR="00162018" w:rsidRPr="00977E38" w:rsidRDefault="00162018" w:rsidP="00162018">
      <w:pPr>
        <w:pStyle w:val="TAMainText"/>
        <w:ind w:firstLine="395"/>
      </w:pPr>
      <w:r w:rsidRPr="00053116">
        <w:rPr>
          <w:b/>
          <w:bCs/>
        </w:rPr>
        <w:t>Figure S5</w:t>
      </w:r>
      <w:r w:rsidRPr="00977E38">
        <w:t>. Untreated spheroid cell death assay using sulforhodamine B (SRB) staining. Confocal</w:t>
      </w:r>
      <w:r w:rsidRPr="00053116">
        <w:rPr>
          <w:rStyle w:val="apple-converted-space"/>
          <w:rFonts w:eastAsiaTheme="majorEastAsia"/>
          <w:b/>
        </w:rPr>
        <w:t> </w:t>
      </w:r>
      <w:r w:rsidRPr="00E05CA7">
        <w:rPr>
          <w:rStyle w:val="Strong"/>
          <w:rFonts w:eastAsiaTheme="majorEastAsia"/>
        </w:rPr>
        <w:t>xy</w:t>
      </w:r>
      <w:r w:rsidRPr="00053116">
        <w:rPr>
          <w:rStyle w:val="apple-converted-space"/>
          <w:rFonts w:eastAsiaTheme="majorEastAsia"/>
          <w:b/>
        </w:rPr>
        <w:t> </w:t>
      </w:r>
      <w:r w:rsidRPr="00977E38">
        <w:t>fluorescence images extracted from</w:t>
      </w:r>
      <w:r w:rsidRPr="00053116">
        <w:rPr>
          <w:rStyle w:val="apple-converted-space"/>
          <w:rFonts w:eastAsiaTheme="majorEastAsia"/>
          <w:b/>
        </w:rPr>
        <w:t> </w:t>
      </w:r>
      <w:r w:rsidRPr="00E05CA7">
        <w:rPr>
          <w:rStyle w:val="Strong"/>
          <w:rFonts w:eastAsiaTheme="majorEastAsia"/>
        </w:rPr>
        <w:t>z</w:t>
      </w:r>
      <w:r w:rsidRPr="00977E38">
        <w:t>-stacks of untreated</w:t>
      </w:r>
      <w:r w:rsidRPr="00053116">
        <w:rPr>
          <w:rStyle w:val="apple-converted-space"/>
          <w:rFonts w:eastAsiaTheme="majorEastAsia"/>
          <w:b/>
        </w:rPr>
        <w:t> #</w:t>
      </w:r>
      <w:r w:rsidRPr="00E05CA7">
        <w:rPr>
          <w:rStyle w:val="Strong"/>
          <w:rFonts w:eastAsiaTheme="majorEastAsia"/>
        </w:rPr>
        <w:t>T-Hela</w:t>
      </w:r>
      <w:r w:rsidRPr="00053116">
        <w:rPr>
          <w:rStyle w:val="apple-converted-space"/>
          <w:rFonts w:eastAsiaTheme="majorEastAsia"/>
          <w:b/>
        </w:rPr>
        <w:t> </w:t>
      </w:r>
      <w:r w:rsidRPr="00977E38">
        <w:t>spheroids (without</w:t>
      </w:r>
      <w:r w:rsidRPr="00053116">
        <w:rPr>
          <w:rStyle w:val="apple-converted-space"/>
          <w:rFonts w:eastAsiaTheme="majorEastAsia"/>
          <w:b/>
        </w:rPr>
        <w:t> </w:t>
      </w:r>
      <w:r w:rsidRPr="00E05CA7">
        <w:rPr>
          <w:rStyle w:val="Strong"/>
          <w:rFonts w:eastAsiaTheme="majorEastAsia"/>
        </w:rPr>
        <w:t>AuNS-Cys)</w:t>
      </w:r>
      <w:r w:rsidRPr="00977E38">
        <w:t xml:space="preserve"> pre-irradiated for 3 s at</w:t>
      </w:r>
      <w:r w:rsidRPr="00053116">
        <w:rPr>
          <w:rStyle w:val="apple-converted-space"/>
          <w:rFonts w:eastAsiaTheme="majorEastAsia"/>
          <w:b/>
        </w:rPr>
        <w:t> </w:t>
      </w:r>
      <w:r w:rsidRPr="00E05CA7">
        <w:rPr>
          <w:rStyle w:val="Strong"/>
          <w:rFonts w:eastAsiaTheme="majorEastAsia"/>
        </w:rPr>
        <w:t>25 and 75 mW mm⁻²</w:t>
      </w:r>
      <w:r w:rsidRPr="00977E38">
        <w:t xml:space="preserve">, then imaged using </w:t>
      </w:r>
      <w:r w:rsidRPr="00E05CA7">
        <w:rPr>
          <w:rStyle w:val="Strong"/>
          <w:rFonts w:eastAsiaTheme="majorEastAsia"/>
        </w:rPr>
        <w:t xml:space="preserve">1.5 mW mm⁻² </w:t>
      </w:r>
      <w:r w:rsidRPr="00977E38">
        <w:t xml:space="preserve">at 0 min (first scan), 2 min, and 10 min </w:t>
      </w:r>
      <w:r w:rsidRPr="00E05CA7">
        <w:rPr>
          <w:rStyle w:val="Strong"/>
          <w:rFonts w:eastAsiaTheme="majorEastAsia"/>
        </w:rPr>
        <w:t>(A-C and D-F, respectively)</w:t>
      </w:r>
      <w:r w:rsidRPr="00977E38">
        <w:t xml:space="preserve">. Scale bar = </w:t>
      </w:r>
      <w:r w:rsidRPr="00977E38">
        <w:rPr>
          <w:rFonts w:asciiTheme="majorBidi" w:hAnsiTheme="majorBidi" w:cstheme="majorBidi"/>
        </w:rPr>
        <w:t>100 µm.</w:t>
      </w:r>
    </w:p>
    <w:p w14:paraId="1D5CA117" w14:textId="77777777" w:rsidR="00162018" w:rsidRDefault="00162018" w:rsidP="00162018">
      <w:pPr>
        <w:pStyle w:val="TAMainText"/>
        <w:ind w:firstLine="388"/>
      </w:pPr>
    </w:p>
    <w:p w14:paraId="059CA0E3" w14:textId="77777777" w:rsidR="00162018" w:rsidRPr="001A0071" w:rsidRDefault="00162018" w:rsidP="00162018">
      <w:pPr>
        <w:pStyle w:val="TAMainText"/>
        <w:ind w:firstLine="388"/>
      </w:pPr>
    </w:p>
    <w:p w14:paraId="64D4DA69" w14:textId="77777777" w:rsidR="00162018" w:rsidRPr="001A0071" w:rsidRDefault="00162018" w:rsidP="00162018">
      <w:pPr>
        <w:pStyle w:val="TAMainText"/>
        <w:ind w:firstLine="388"/>
      </w:pPr>
    </w:p>
    <w:p w14:paraId="54CBE5F4" w14:textId="77777777" w:rsidR="00162018" w:rsidRDefault="00162018" w:rsidP="00162018">
      <w:pPr>
        <w:pStyle w:val="TAMainText"/>
        <w:ind w:firstLine="388"/>
      </w:pPr>
    </w:p>
    <w:p w14:paraId="2D41AC7D" w14:textId="77777777" w:rsidR="00162018" w:rsidRDefault="00162018" w:rsidP="00162018">
      <w:pPr>
        <w:pStyle w:val="TAMainText"/>
        <w:ind w:firstLine="388"/>
      </w:pPr>
    </w:p>
    <w:p w14:paraId="4B831200" w14:textId="77777777" w:rsidR="00162018" w:rsidRDefault="00162018" w:rsidP="00162018">
      <w:pPr>
        <w:pStyle w:val="TAMainText"/>
        <w:ind w:firstLine="388"/>
      </w:pPr>
    </w:p>
    <w:p w14:paraId="7E5654A0" w14:textId="77777777" w:rsidR="00162018" w:rsidRPr="001A0071" w:rsidRDefault="00162018" w:rsidP="00162018">
      <w:pPr>
        <w:pStyle w:val="TAMainText"/>
        <w:ind w:firstLine="388"/>
      </w:pPr>
      <w:r w:rsidRPr="00B54D13">
        <w:lastRenderedPageBreak/>
        <w:drawing>
          <wp:inline distT="0" distB="0" distL="0" distR="0" wp14:anchorId="65572829" wp14:editId="5BAC9A37">
            <wp:extent cx="4296465" cy="4262646"/>
            <wp:effectExtent l="0" t="0" r="0" b="5080"/>
            <wp:docPr id="1186766902" name="Picture 1" descr="A close-up of a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766902" name="Picture 1" descr="A close-up of a char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11489" cy="4277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97B08" w14:textId="77777777" w:rsidR="00162018" w:rsidRPr="00CD38F4" w:rsidRDefault="00162018" w:rsidP="00162018">
      <w:pPr>
        <w:pStyle w:val="TAMainText"/>
        <w:ind w:firstLine="395"/>
        <w:rPr>
          <w:rFonts w:asciiTheme="majorBidi" w:hAnsiTheme="majorBidi" w:cstheme="majorBidi"/>
          <w:b/>
          <w:bCs/>
        </w:rPr>
      </w:pPr>
      <w:r w:rsidRPr="00053116">
        <w:rPr>
          <w:rFonts w:eastAsia="SimSun"/>
          <w:b/>
          <w:bCs/>
        </w:rPr>
        <w:t>Figure S</w:t>
      </w:r>
      <w:r w:rsidRPr="00053116">
        <w:rPr>
          <w:b/>
          <w:bCs/>
        </w:rPr>
        <w:t>6</w:t>
      </w:r>
      <w:r>
        <w:t>.</w:t>
      </w:r>
      <w:r w:rsidRPr="001A0071">
        <w:rPr>
          <w:rFonts w:eastAsia="SimSun"/>
        </w:rPr>
        <w:t xml:space="preserve"> </w:t>
      </w:r>
      <w:r w:rsidRPr="00CD38F4">
        <w:t>Ratiometric maximum intensity z-projections of #T-HeLa spheroids incubated with AuNS-Cys</w:t>
      </w:r>
      <w:r w:rsidRPr="00CD38F4">
        <w:rPr>
          <w:rFonts w:eastAsia="SimSun"/>
        </w:rPr>
        <w:t xml:space="preserve"> (two-photon excitation at 850 nm, </w:t>
      </w:r>
      <w:r w:rsidRPr="00CD38F4">
        <w:t>2</w:t>
      </w:r>
      <w:r>
        <w:t xml:space="preserve">5 </w:t>
      </w:r>
      <w:r w:rsidRPr="00CD38F4">
        <w:t>mW mm</w:t>
      </w:r>
      <w:r w:rsidRPr="00CD38F4">
        <w:rPr>
          <w:vertAlign w:val="superscript"/>
        </w:rPr>
        <w:t>-2</w:t>
      </w:r>
      <w:r w:rsidRPr="00CD38F4">
        <w:t xml:space="preserve">) at (A) 0 min and (B) 2 min. (C) Raster plots obtained from the 3DeeCellTracker analysis showing the timing of ERK activation in single cells as a function of time. The black horizontal lines indicate the ERK-activated state, determined by the FRET efficiency of YFP/CFP exceeding the mean of the control +2 SD, and the duration of each black line is 2 min. Scale bar = </w:t>
      </w:r>
      <w:r w:rsidRPr="00CD38F4">
        <w:rPr>
          <w:rFonts w:asciiTheme="majorBidi" w:hAnsiTheme="majorBidi" w:cstheme="majorBidi"/>
        </w:rPr>
        <w:t>100 µm.</w:t>
      </w:r>
    </w:p>
    <w:p w14:paraId="0DF1B3F5" w14:textId="77777777" w:rsidR="00162018" w:rsidRPr="00CD38F4" w:rsidRDefault="00162018" w:rsidP="00162018">
      <w:pPr>
        <w:pStyle w:val="TAMainText"/>
        <w:ind w:firstLine="388"/>
      </w:pPr>
    </w:p>
    <w:p w14:paraId="0C916D83" w14:textId="77777777" w:rsidR="00162018" w:rsidRDefault="00162018" w:rsidP="00162018">
      <w:pPr>
        <w:pStyle w:val="TAMainText"/>
        <w:ind w:firstLine="388"/>
      </w:pPr>
    </w:p>
    <w:p w14:paraId="4222F436" w14:textId="77777777" w:rsidR="00162018" w:rsidRPr="001A0071" w:rsidRDefault="00162018" w:rsidP="00162018">
      <w:pPr>
        <w:pStyle w:val="TAMainText"/>
        <w:ind w:firstLine="388"/>
      </w:pPr>
    </w:p>
    <w:p w14:paraId="51FF893E" w14:textId="77777777" w:rsidR="00162018" w:rsidRPr="001A0071" w:rsidRDefault="00162018" w:rsidP="00162018">
      <w:pPr>
        <w:pStyle w:val="TAMainText"/>
        <w:ind w:firstLine="388"/>
      </w:pPr>
      <w:r w:rsidRPr="00FF5C09">
        <w:lastRenderedPageBreak/>
        <w:drawing>
          <wp:anchor distT="0" distB="0" distL="114300" distR="114300" simplePos="0" relativeHeight="251659264" behindDoc="0" locked="0" layoutInCell="1" allowOverlap="1" wp14:anchorId="07A50A59" wp14:editId="618AAE0E">
            <wp:simplePos x="0" y="0"/>
            <wp:positionH relativeFrom="column">
              <wp:posOffset>1708471</wp:posOffset>
            </wp:positionH>
            <wp:positionV relativeFrom="paragraph">
              <wp:posOffset>3110058</wp:posOffset>
            </wp:positionV>
            <wp:extent cx="2569210" cy="692150"/>
            <wp:effectExtent l="0" t="0" r="0" b="6350"/>
            <wp:wrapSquare wrapText="bothSides"/>
            <wp:docPr id="89884227" name="Picture 1" descr="A close-up of a red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4227" name="Picture 1" descr="A close-up of a red circle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69210" cy="692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5C09">
        <w:drawing>
          <wp:anchor distT="0" distB="0" distL="114300" distR="114300" simplePos="0" relativeHeight="251660288" behindDoc="0" locked="0" layoutInCell="1" allowOverlap="1" wp14:anchorId="204431FE" wp14:editId="733EAE1E">
            <wp:simplePos x="0" y="0"/>
            <wp:positionH relativeFrom="column">
              <wp:posOffset>-76912</wp:posOffset>
            </wp:positionH>
            <wp:positionV relativeFrom="paragraph">
              <wp:posOffset>267</wp:posOffset>
            </wp:positionV>
            <wp:extent cx="5727700" cy="3109595"/>
            <wp:effectExtent l="0" t="0" r="0" b="1905"/>
            <wp:wrapSquare wrapText="bothSides"/>
            <wp:docPr id="1673712316" name="Picture 1" descr="A collage of images of a sphe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712316" name="Picture 1" descr="A collage of images of a sphere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109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40F041" w14:textId="77777777" w:rsidR="00162018" w:rsidRPr="001A0071" w:rsidRDefault="00162018" w:rsidP="00162018">
      <w:pPr>
        <w:pStyle w:val="TAMainText"/>
        <w:ind w:firstLine="388"/>
      </w:pPr>
      <w:r w:rsidRPr="001A0071">
        <w:t xml:space="preserve">                   </w:t>
      </w:r>
      <w:r>
        <w:t xml:space="preserve">                </w:t>
      </w:r>
    </w:p>
    <w:p w14:paraId="7D4DDA8E" w14:textId="77777777" w:rsidR="00162018" w:rsidRDefault="00162018" w:rsidP="00162018">
      <w:pPr>
        <w:snapToGrid w:val="0"/>
        <w:spacing w:afterLines="30" w:after="72" w:line="360" w:lineRule="auto"/>
        <w:jc w:val="both"/>
        <w:rPr>
          <w:rFonts w:ascii="Times New Roman" w:eastAsia="Times New Roman" w:hAnsi="Times New Roman" w:cs="Times New Roman"/>
          <w:b/>
          <w:bCs/>
        </w:rPr>
      </w:pPr>
    </w:p>
    <w:p w14:paraId="2EC67DD6" w14:textId="77777777" w:rsidR="00162018" w:rsidRPr="00C16098" w:rsidRDefault="00162018" w:rsidP="00162018">
      <w:pPr>
        <w:snapToGrid w:val="0"/>
        <w:spacing w:afterLines="30" w:after="72" w:line="360" w:lineRule="auto"/>
        <w:jc w:val="both"/>
        <w:rPr>
          <w:rFonts w:ascii="Times New Roman" w:hAnsi="Times New Roman"/>
          <w:b/>
          <w:color w:val="000000" w:themeColor="text1"/>
        </w:rPr>
      </w:pPr>
      <w:r w:rsidRPr="00053116">
        <w:rPr>
          <w:rFonts w:ascii="Times New Roman" w:eastAsia="Times New Roman" w:hAnsi="Times New Roman" w:cs="Times New Roman"/>
          <w:b/>
          <w:bCs/>
        </w:rPr>
        <w:t>Figure S7</w:t>
      </w:r>
      <w:r w:rsidRPr="00053116">
        <w:rPr>
          <w:rFonts w:ascii="Times New Roman" w:eastAsia="Times New Roman" w:hAnsi="Times New Roman" w:cs="Times New Roman"/>
        </w:rPr>
        <w:t xml:space="preserve">. </w:t>
      </w:r>
      <w:r>
        <w:rPr>
          <w:rFonts w:ascii="Times New Roman" w:eastAsia="Times New Roman" w:hAnsi="Times New Roman" w:cs="Times New Roman"/>
        </w:rPr>
        <w:t>Maximum fluorescence intensity z-projection</w:t>
      </w:r>
      <w:r w:rsidRPr="00B54D13">
        <w:rPr>
          <w:rFonts w:ascii="Times New Roman" w:eastAsia="Times New Roman" w:hAnsi="Times New Roman" w:cs="Times New Roman"/>
        </w:rPr>
        <w:t xml:space="preserve"> of </w:t>
      </w:r>
      <w:r w:rsidRPr="0099256E">
        <w:rPr>
          <w:rFonts w:ascii="Times New Roman" w:hAnsi="Times New Roman" w:cs="Times New Roman"/>
        </w:rPr>
        <w:t xml:space="preserve">#T-HeLa </w:t>
      </w:r>
      <w:r w:rsidRPr="0099256E">
        <w:rPr>
          <w:rFonts w:ascii="Times New Roman" w:eastAsia="Times New Roman" w:hAnsi="Times New Roman" w:cs="Times New Roman"/>
        </w:rPr>
        <w:t>spheroids</w:t>
      </w:r>
      <w:r>
        <w:rPr>
          <w:rFonts w:ascii="Times New Roman" w:eastAsia="Times New Roman" w:hAnsi="Times New Roman" w:cs="Times New Roman"/>
        </w:rPr>
        <w:t xml:space="preserve"> (control) (A-C) and of </w:t>
      </w:r>
      <w:r w:rsidRPr="0099256E">
        <w:rPr>
          <w:rFonts w:ascii="Times New Roman" w:hAnsi="Times New Roman" w:cs="Times New Roman"/>
        </w:rPr>
        <w:t xml:space="preserve">#T-HeLa </w:t>
      </w:r>
      <w:r w:rsidRPr="0099256E">
        <w:rPr>
          <w:rFonts w:ascii="Times New Roman" w:eastAsia="Times New Roman" w:hAnsi="Times New Roman" w:cs="Times New Roman"/>
        </w:rPr>
        <w:t>spheroids</w:t>
      </w:r>
      <w:r>
        <w:rPr>
          <w:rFonts w:ascii="Times New Roman" w:eastAsia="Times New Roman" w:hAnsi="Times New Roman" w:cs="Times New Roman"/>
        </w:rPr>
        <w:t xml:space="preserve"> incubated </w:t>
      </w:r>
      <w:r w:rsidRPr="00B54D13">
        <w:rPr>
          <w:rFonts w:ascii="Times New Roman" w:eastAsia="Times New Roman" w:hAnsi="Times New Roman" w:cs="Times New Roman"/>
        </w:rPr>
        <w:t xml:space="preserve">with </w:t>
      </w:r>
      <w:proofErr w:type="spellStart"/>
      <w:r w:rsidRPr="00B54D13">
        <w:rPr>
          <w:rFonts w:ascii="Times New Roman" w:eastAsia="Times New Roman" w:hAnsi="Times New Roman" w:cs="Times New Roman"/>
        </w:rPr>
        <w:t>AuNSs</w:t>
      </w:r>
      <w:proofErr w:type="spellEnd"/>
      <w:r w:rsidRPr="00B54D13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(D-F) scanned at </w:t>
      </w:r>
      <w:r w:rsidRPr="00B54D13">
        <w:rPr>
          <w:rFonts w:ascii="Times New Roman" w:eastAsia="Times New Roman" w:hAnsi="Times New Roman" w:cs="Times New Roman"/>
        </w:rPr>
        <w:t xml:space="preserve">1.5 </w:t>
      </w:r>
      <w:proofErr w:type="spellStart"/>
      <w:r w:rsidRPr="00B54D13">
        <w:rPr>
          <w:rFonts w:ascii="Times New Roman" w:eastAsia="Times New Roman" w:hAnsi="Times New Roman" w:cs="Times New Roman"/>
        </w:rPr>
        <w:t>mW</w:t>
      </w:r>
      <w:proofErr w:type="spellEnd"/>
      <w:r w:rsidRPr="00B54D13">
        <w:rPr>
          <w:rFonts w:ascii="Times New Roman" w:eastAsia="Times New Roman" w:hAnsi="Times New Roman" w:cs="Times New Roman"/>
        </w:rPr>
        <w:t xml:space="preserve"> mm</w:t>
      </w:r>
      <w:r w:rsidRPr="00B54D13">
        <w:rPr>
          <w:rFonts w:ascii="Times New Roman" w:eastAsia="Times New Roman" w:hAnsi="Times New Roman" w:cs="Times New Roman"/>
          <w:vertAlign w:val="superscript"/>
        </w:rPr>
        <w:t>-2</w:t>
      </w:r>
      <w:r>
        <w:rPr>
          <w:rFonts w:ascii="Times New Roman" w:eastAsia="Times New Roman" w:hAnsi="Times New Roman" w:cs="Times New Roman"/>
          <w:vertAlign w:val="superscript"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(normal conditions). </w:t>
      </w:r>
      <w:r w:rsidRPr="00B54D13">
        <w:rPr>
          <w:rFonts w:ascii="Times New Roman" w:eastAsia="Times New Roman" w:hAnsi="Times New Roman" w:cs="Times New Roman"/>
        </w:rPr>
        <w:t xml:space="preserve">Red circles indicate points of cell division. The bottom </w:t>
      </w:r>
      <w:r>
        <w:rPr>
          <w:rFonts w:ascii="Times New Roman" w:eastAsia="Times New Roman" w:hAnsi="Times New Roman" w:cs="Times New Roman"/>
        </w:rPr>
        <w:t>insets show</w:t>
      </w:r>
      <w:r w:rsidRPr="00B54D13">
        <w:rPr>
          <w:rFonts w:ascii="Times New Roman" w:eastAsia="Times New Roman" w:hAnsi="Times New Roman" w:cs="Times New Roman"/>
        </w:rPr>
        <w:t xml:space="preserve"> zoomed-in sections </w:t>
      </w:r>
      <w:r>
        <w:rPr>
          <w:rFonts w:ascii="Times New Roman" w:eastAsia="Times New Roman" w:hAnsi="Times New Roman" w:cs="Times New Roman"/>
        </w:rPr>
        <w:t>extracted from (D-F)</w:t>
      </w:r>
      <w:r w:rsidRPr="00B54D13">
        <w:rPr>
          <w:rFonts w:ascii="Times New Roman" w:eastAsia="Times New Roman" w:hAnsi="Times New Roman" w:cs="Times New Roman"/>
        </w:rPr>
        <w:t xml:space="preserve">. </w:t>
      </w:r>
      <w:r w:rsidRPr="007F5701">
        <w:rPr>
          <w:rFonts w:ascii="Times New Roman" w:hAnsi="Times New Roman" w:cs="Times New Roman"/>
        </w:rPr>
        <w:t>Scale bar = 100 µm.</w:t>
      </w:r>
    </w:p>
    <w:p w14:paraId="0FD64526" w14:textId="77777777" w:rsidR="00162018" w:rsidRPr="00C536CA" w:rsidRDefault="00162018" w:rsidP="00162018">
      <w:pPr>
        <w:pStyle w:val="TAMainText"/>
        <w:ind w:firstLine="388"/>
      </w:pPr>
    </w:p>
    <w:p w14:paraId="2A278472" w14:textId="77777777" w:rsidR="00162018" w:rsidRPr="00C536CA" w:rsidRDefault="00162018" w:rsidP="00162018">
      <w:pPr>
        <w:spacing w:afterLines="30" w:after="72" w:line="360" w:lineRule="auto"/>
        <w:jc w:val="both"/>
      </w:pPr>
    </w:p>
    <w:p w14:paraId="4910C163" w14:textId="77777777" w:rsidR="00162018" w:rsidRPr="00C536CA" w:rsidRDefault="00162018" w:rsidP="00162018">
      <w:pPr>
        <w:jc w:val="both"/>
        <w:rPr>
          <w:rFonts w:ascii="Times New Roman" w:hAnsi="Times New Roman" w:cs="Times New Roman"/>
          <w:sz w:val="22"/>
          <w:szCs w:val="22"/>
        </w:rPr>
      </w:pPr>
    </w:p>
    <w:p w14:paraId="4C0D5463" w14:textId="77777777" w:rsidR="009F5BD4" w:rsidRDefault="009F5BD4"/>
    <w:sectPr w:rsidR="009F5BD4" w:rsidSect="00FD69BB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">
    <w:altName w:val="Times New Roman"/>
    <w:panose1 w:val="020B06040202020202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DC82758"/>
    <w:multiLevelType w:val="hybridMultilevel"/>
    <w:tmpl w:val="E698DEB0"/>
    <w:lvl w:ilvl="0" w:tplc="9ED4CD1E">
      <w:start w:val="1"/>
      <w:numFmt w:val="lowerLetter"/>
      <w:lvlText w:val="%1."/>
      <w:lvlJc w:val="left"/>
      <w:pPr>
        <w:ind w:left="720" w:hanging="360"/>
      </w:pPr>
      <w:rPr>
        <w:rFonts w:hint="eastAsia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num w:numId="1" w16cid:durableId="68887016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2018"/>
    <w:rsid w:val="0004763D"/>
    <w:rsid w:val="00073F9F"/>
    <w:rsid w:val="00096282"/>
    <w:rsid w:val="000A0B8F"/>
    <w:rsid w:val="000A18CA"/>
    <w:rsid w:val="000B662C"/>
    <w:rsid w:val="00106AFC"/>
    <w:rsid w:val="00142331"/>
    <w:rsid w:val="001524A5"/>
    <w:rsid w:val="00162018"/>
    <w:rsid w:val="001761F8"/>
    <w:rsid w:val="001960A5"/>
    <w:rsid w:val="001D50E9"/>
    <w:rsid w:val="001E4FFB"/>
    <w:rsid w:val="00216F52"/>
    <w:rsid w:val="00222AA0"/>
    <w:rsid w:val="002359F5"/>
    <w:rsid w:val="00277130"/>
    <w:rsid w:val="002A51CB"/>
    <w:rsid w:val="002B6BD5"/>
    <w:rsid w:val="002C6784"/>
    <w:rsid w:val="002E6656"/>
    <w:rsid w:val="002F2B45"/>
    <w:rsid w:val="0032418E"/>
    <w:rsid w:val="00330A72"/>
    <w:rsid w:val="00353057"/>
    <w:rsid w:val="00375F1C"/>
    <w:rsid w:val="003816E3"/>
    <w:rsid w:val="00385AD8"/>
    <w:rsid w:val="00390B21"/>
    <w:rsid w:val="003B6655"/>
    <w:rsid w:val="003F2C9B"/>
    <w:rsid w:val="004258E2"/>
    <w:rsid w:val="0044272E"/>
    <w:rsid w:val="0047578F"/>
    <w:rsid w:val="004850A7"/>
    <w:rsid w:val="00485ABC"/>
    <w:rsid w:val="004A256D"/>
    <w:rsid w:val="004C127C"/>
    <w:rsid w:val="004E4F6B"/>
    <w:rsid w:val="0050753C"/>
    <w:rsid w:val="005375E8"/>
    <w:rsid w:val="00581DD5"/>
    <w:rsid w:val="00664220"/>
    <w:rsid w:val="00686BDD"/>
    <w:rsid w:val="006C71B5"/>
    <w:rsid w:val="006F10BD"/>
    <w:rsid w:val="00757B73"/>
    <w:rsid w:val="00770FC6"/>
    <w:rsid w:val="007A20CA"/>
    <w:rsid w:val="007A6FD1"/>
    <w:rsid w:val="007B3B95"/>
    <w:rsid w:val="007B49E6"/>
    <w:rsid w:val="007F16FB"/>
    <w:rsid w:val="0082199D"/>
    <w:rsid w:val="0084307B"/>
    <w:rsid w:val="00851611"/>
    <w:rsid w:val="00857F64"/>
    <w:rsid w:val="008A5C44"/>
    <w:rsid w:val="008E5215"/>
    <w:rsid w:val="0090168C"/>
    <w:rsid w:val="00951EEC"/>
    <w:rsid w:val="00955126"/>
    <w:rsid w:val="0098080C"/>
    <w:rsid w:val="009B6BCF"/>
    <w:rsid w:val="009D18AE"/>
    <w:rsid w:val="009D2B23"/>
    <w:rsid w:val="009F5BD4"/>
    <w:rsid w:val="00A6386D"/>
    <w:rsid w:val="00A7572D"/>
    <w:rsid w:val="00A75B98"/>
    <w:rsid w:val="00A96475"/>
    <w:rsid w:val="00AA50F1"/>
    <w:rsid w:val="00AB5C53"/>
    <w:rsid w:val="00AD4523"/>
    <w:rsid w:val="00AE48EF"/>
    <w:rsid w:val="00B036F0"/>
    <w:rsid w:val="00B1098E"/>
    <w:rsid w:val="00B46BD6"/>
    <w:rsid w:val="00B855D7"/>
    <w:rsid w:val="00BA06C9"/>
    <w:rsid w:val="00BA2061"/>
    <w:rsid w:val="00BC0230"/>
    <w:rsid w:val="00C23679"/>
    <w:rsid w:val="00C34337"/>
    <w:rsid w:val="00C358A9"/>
    <w:rsid w:val="00C4013D"/>
    <w:rsid w:val="00C41A40"/>
    <w:rsid w:val="00C425F0"/>
    <w:rsid w:val="00C46DF8"/>
    <w:rsid w:val="00C512E8"/>
    <w:rsid w:val="00C57976"/>
    <w:rsid w:val="00C62676"/>
    <w:rsid w:val="00C80A34"/>
    <w:rsid w:val="00C87972"/>
    <w:rsid w:val="00CA524B"/>
    <w:rsid w:val="00CC326C"/>
    <w:rsid w:val="00CD7E85"/>
    <w:rsid w:val="00CF6CB1"/>
    <w:rsid w:val="00D15C1B"/>
    <w:rsid w:val="00D63511"/>
    <w:rsid w:val="00D64CC5"/>
    <w:rsid w:val="00D73A33"/>
    <w:rsid w:val="00DA4452"/>
    <w:rsid w:val="00DA53DD"/>
    <w:rsid w:val="00DF2450"/>
    <w:rsid w:val="00E06DC8"/>
    <w:rsid w:val="00ED3EC1"/>
    <w:rsid w:val="00EE291D"/>
    <w:rsid w:val="00F1064A"/>
    <w:rsid w:val="00F26465"/>
    <w:rsid w:val="00F34F38"/>
    <w:rsid w:val="00F839B0"/>
    <w:rsid w:val="00FB7037"/>
    <w:rsid w:val="00FC34A4"/>
    <w:rsid w:val="00FC3CC8"/>
    <w:rsid w:val="00FC477B"/>
    <w:rsid w:val="00FD69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BE21E7B"/>
  <w15:chartTrackingRefBased/>
  <w15:docId w15:val="{117D7371-8C47-444B-9124-76463B493C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62018"/>
    <w:rPr>
      <w:rFonts w:eastAsiaTheme="minorEastAsia"/>
      <w:lang w:val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16201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6201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6201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6201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6201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62018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62018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62018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62018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6201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6201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6201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6201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6201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6201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6201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6201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6201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62018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6201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62018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6201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6201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6201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6201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6201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6201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6201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62018"/>
    <w:rPr>
      <w:b/>
      <w:bCs/>
      <w:smallCaps/>
      <w:color w:val="0F4761" w:themeColor="accent1" w:themeShade="BF"/>
      <w:spacing w:val="5"/>
    </w:rPr>
  </w:style>
  <w:style w:type="character" w:styleId="Strong">
    <w:name w:val="Strong"/>
    <w:basedOn w:val="DefaultParagraphFont"/>
    <w:uiPriority w:val="22"/>
    <w:qFormat/>
    <w:rsid w:val="00162018"/>
    <w:rPr>
      <w:b/>
      <w:bCs/>
    </w:rPr>
  </w:style>
  <w:style w:type="paragraph" w:customStyle="1" w:styleId="TAMainText">
    <w:name w:val="TA_Main_Text"/>
    <w:basedOn w:val="Normal"/>
    <w:autoRedefine/>
    <w:rsid w:val="00162018"/>
    <w:pPr>
      <w:spacing w:line="360" w:lineRule="auto"/>
      <w:ind w:firstLineChars="150" w:firstLine="389"/>
      <w:jc w:val="both"/>
    </w:pPr>
    <w:rPr>
      <w:rFonts w:ascii="Times New Roman" w:hAnsi="Times New Roman" w:cs="Times New Roman"/>
      <w:noProof/>
      <w:color w:val="000000"/>
      <w:w w:val="108"/>
      <w:kern w:val="21"/>
      <w:lang w:eastAsia="ja-JP"/>
      <w14:ligatures w14:val="none"/>
    </w:rPr>
  </w:style>
  <w:style w:type="character" w:customStyle="1" w:styleId="apple-converted-space">
    <w:name w:val="apple-converted-space"/>
    <w:basedOn w:val="DefaultParagraphFont"/>
    <w:rsid w:val="0016201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tif"/><Relationship Id="rId14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B644C494C7B1C64B938BE3EAC5B6044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FFA88D-F370-6245-B769-1C98B9ED1D0F}"/>
      </w:docPartPr>
      <w:docPartBody>
        <w:p w:rsidR="00D867E3" w:rsidRDefault="00AF2092" w:rsidP="00AF2092">
          <w:pPr>
            <w:pStyle w:val="B644C494C7B1C64B938BE3EAC5B60442"/>
          </w:pPr>
          <w:r w:rsidRPr="00CA2DEC">
            <w:rPr>
              <w:rStyle w:val="PlaceholderText"/>
            </w:rPr>
            <w:t>Click or tap here to enter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">
    <w:altName w:val="Times New Roman"/>
    <w:panose1 w:val="020B06040202020202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092"/>
    <w:rsid w:val="002673A1"/>
    <w:rsid w:val="004C127C"/>
    <w:rsid w:val="00955126"/>
    <w:rsid w:val="00AF2092"/>
    <w:rsid w:val="00D867E3"/>
    <w:rsid w:val="00E856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eastAsia="en-GB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AF2092"/>
    <w:rPr>
      <w:color w:val="666666"/>
    </w:rPr>
  </w:style>
  <w:style w:type="paragraph" w:customStyle="1" w:styleId="B644C494C7B1C64B938BE3EAC5B60442">
    <w:name w:val="B644C494C7B1C64B938BE3EAC5B60442"/>
    <w:rsid w:val="00AF209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</Pages>
  <Words>863</Words>
  <Characters>4924</Characters>
  <Application>Microsoft Office Word</Application>
  <DocSecurity>0</DocSecurity>
  <Lines>41</Lines>
  <Paragraphs>11</Paragraphs>
  <ScaleCrop>false</ScaleCrop>
  <Company/>
  <LinksUpToDate>false</LinksUpToDate>
  <CharactersWithSpaces>5776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Beatrice Fortuni</dc:creator>
  <cp:keywords/>
  <dc:description/>
  <cp:lastModifiedBy>Beatrice Fortuni</cp:lastModifiedBy>
  <cp:revision>2</cp:revision>
  <dcterms:created xsi:type="dcterms:W3CDTF">2025-06-03T12:24:00Z</dcterms:created>
  <dcterms:modified xsi:type="dcterms:W3CDTF">2025-10-16T13:29:00Z</dcterms:modified>
</cp:coreProperties>
</file>