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05B700">
      <w:pPr>
        <w:pStyle w:val="17"/>
        <w:outlineLvl w:val="9"/>
        <w:rPr>
          <w:rFonts w:ascii="Times New Roman" w:hAnsi="Times New Roman" w:cs="Times New Roman"/>
        </w:rPr>
      </w:pPr>
      <w:bookmarkStart w:id="0" w:name="_Toc565350780"/>
      <w:r>
        <w:rPr>
          <w:rFonts w:ascii="Times New Roman" w:hAnsi="Times New Roman" w:cs="Times New Roman"/>
        </w:rPr>
        <w:t>Supplemental Materials</w:t>
      </w:r>
    </w:p>
    <w:p w14:paraId="13A4E656">
      <w:pPr>
        <w:pStyle w:val="11"/>
        <w:tabs>
          <w:tab w:val="right" w:leader="dot" w:pos="8306"/>
          <w:tab w:val="clear" w:pos="8296"/>
        </w:tabs>
      </w:pPr>
      <w:r>
        <w:rPr>
          <w:sz w:val="20"/>
          <w:szCs w:val="20"/>
        </w:rPr>
        <w:fldChar w:fldCharType="begin"/>
      </w:r>
      <w:r>
        <w:rPr>
          <w:sz w:val="20"/>
          <w:szCs w:val="20"/>
        </w:rPr>
        <w:instrText xml:space="preserve"> TOC \o "1-3" \h \z \u </w:instrText>
      </w:r>
      <w:r>
        <w:rPr>
          <w:sz w:val="20"/>
          <w:szCs w:val="20"/>
        </w:rPr>
        <w:fldChar w:fldCharType="separate"/>
      </w:r>
      <w:r>
        <w:rPr>
          <w:szCs w:val="20"/>
        </w:rPr>
        <w:fldChar w:fldCharType="begin"/>
      </w:r>
      <w:r>
        <w:rPr>
          <w:szCs w:val="20"/>
        </w:rPr>
        <w:instrText xml:space="preserve"> HYPERLINK \l _Toc63811547 </w:instrText>
      </w:r>
      <w:r>
        <w:rPr>
          <w:szCs w:val="20"/>
        </w:rPr>
        <w:fldChar w:fldCharType="separate"/>
      </w:r>
      <w:r>
        <w:rPr>
          <w:rFonts w:ascii="Times New Roman" w:hAnsi="Times New Roman" w:cs="Times New Roman"/>
        </w:rPr>
        <w:t xml:space="preserve">STROBE Statement for the Study on </w:t>
      </w:r>
      <w:r>
        <w:rPr>
          <w:rFonts w:hint="eastAsia" w:ascii="Times New Roman" w:hAnsi="Times New Roman" w:cs="Times New Roman"/>
        </w:rPr>
        <w:t>Mental Disorders</w:t>
      </w:r>
      <w:r>
        <w:rPr>
          <w:rFonts w:hint="default" w:ascii="Times New Roman" w:hAnsi="Times New Roman" w:cs="Times New Roman"/>
          <w:lang w:val="en-US"/>
        </w:rPr>
        <w:t xml:space="preserve"> </w:t>
      </w:r>
      <w:r>
        <w:rPr>
          <w:rFonts w:ascii="Times New Roman" w:hAnsi="Times New Roman" w:cs="Times New Roman"/>
        </w:rPr>
        <w:t xml:space="preserve">Rehabilitation Needs in </w:t>
      </w:r>
      <w:r>
        <w:rPr>
          <w:rFonts w:hint="eastAsia" w:ascii="Times New Roman" w:hAnsi="Times New Roman" w:cs="Times New Roman"/>
        </w:rPr>
        <w:t>Global</w:t>
      </w:r>
      <w:r>
        <w:rPr>
          <w:rFonts w:ascii="Times New Roman" w:hAnsi="Times New Roman" w:cs="Times New Roman"/>
        </w:rPr>
        <w:t xml:space="preserve"> (1990–2021)</w:t>
      </w:r>
      <w:r>
        <w:tab/>
      </w:r>
      <w:r>
        <w:fldChar w:fldCharType="begin"/>
      </w:r>
      <w:r>
        <w:instrText xml:space="preserve"> PAGEREF _Toc63811547 \h </w:instrText>
      </w:r>
      <w:r>
        <w:fldChar w:fldCharType="separate"/>
      </w:r>
      <w:r>
        <w:t>3</w:t>
      </w:r>
      <w:r>
        <w:fldChar w:fldCharType="end"/>
      </w:r>
      <w:r>
        <w:rPr>
          <w:szCs w:val="20"/>
        </w:rPr>
        <w:fldChar w:fldCharType="end"/>
      </w:r>
    </w:p>
    <w:p w14:paraId="754A0460">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_Toc886330576 </w:instrText>
      </w:r>
      <w:r>
        <w:rPr>
          <w:rFonts w:ascii="Times New Roman" w:hAnsi="Times New Roman" w:cs="Times New Roman"/>
          <w:szCs w:val="20"/>
        </w:rPr>
        <w:fldChar w:fldCharType="separate"/>
      </w:r>
      <w:r>
        <w:rPr>
          <w:rFonts w:hint="default" w:ascii="Times New Roman" w:hAnsi="Times New Roman" w:cs="Times New Roman" w:eastAsiaTheme="minorEastAsia"/>
          <w:bCs w:val="0"/>
          <w:szCs w:val="20"/>
        </w:rPr>
        <w:t xml:space="preserve">1. </w:t>
      </w:r>
      <w:r>
        <w:rPr>
          <w:rFonts w:ascii="Times New Roman" w:hAnsi="Times New Roman" w:cs="Times New Roman"/>
          <w:bCs w:val="0"/>
          <w:szCs w:val="20"/>
        </w:rPr>
        <w:t>Title and Abstract</w:t>
      </w:r>
      <w:r>
        <w:tab/>
      </w:r>
      <w:r>
        <w:fldChar w:fldCharType="begin"/>
      </w:r>
      <w:r>
        <w:instrText xml:space="preserve"> PAGEREF _Toc886330576 \h </w:instrText>
      </w:r>
      <w:r>
        <w:fldChar w:fldCharType="separate"/>
      </w:r>
      <w:r>
        <w:t>3</w:t>
      </w:r>
      <w:r>
        <w:fldChar w:fldCharType="end"/>
      </w:r>
      <w:r>
        <w:rPr>
          <w:rFonts w:ascii="Times New Roman" w:hAnsi="Times New Roman" w:cs="Times New Roman"/>
          <w:szCs w:val="20"/>
        </w:rPr>
        <w:fldChar w:fldCharType="end"/>
      </w:r>
    </w:p>
    <w:p w14:paraId="4F9E7E6A">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_Toc1611415240 </w:instrText>
      </w:r>
      <w:r>
        <w:rPr>
          <w:rFonts w:ascii="Times New Roman" w:hAnsi="Times New Roman" w:cs="Times New Roman"/>
          <w:szCs w:val="20"/>
        </w:rPr>
        <w:fldChar w:fldCharType="separate"/>
      </w:r>
      <w:r>
        <w:rPr>
          <w:bCs/>
          <w:szCs w:val="20"/>
        </w:rPr>
        <w:t>1.1 Title</w:t>
      </w:r>
      <w:r>
        <w:tab/>
      </w:r>
      <w:r>
        <w:fldChar w:fldCharType="begin"/>
      </w:r>
      <w:r>
        <w:instrText xml:space="preserve"> PAGEREF _Toc1611415240 \h </w:instrText>
      </w:r>
      <w:r>
        <w:fldChar w:fldCharType="separate"/>
      </w:r>
      <w:r>
        <w:t>3</w:t>
      </w:r>
      <w:r>
        <w:fldChar w:fldCharType="end"/>
      </w:r>
      <w:r>
        <w:rPr>
          <w:rFonts w:ascii="Times New Roman" w:hAnsi="Times New Roman" w:cs="Times New Roman"/>
          <w:szCs w:val="20"/>
        </w:rPr>
        <w:fldChar w:fldCharType="end"/>
      </w:r>
    </w:p>
    <w:p w14:paraId="6D25FF26">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_Toc1139666363 </w:instrText>
      </w:r>
      <w:r>
        <w:rPr>
          <w:rFonts w:ascii="Times New Roman" w:hAnsi="Times New Roman" w:cs="Times New Roman"/>
          <w:szCs w:val="20"/>
        </w:rPr>
        <w:fldChar w:fldCharType="separate"/>
      </w:r>
      <w:r>
        <w:rPr>
          <w:rFonts w:eastAsiaTheme="minorEastAsia"/>
          <w:bCs/>
          <w:szCs w:val="20"/>
        </w:rPr>
        <w:t xml:space="preserve">1.2 </w:t>
      </w:r>
      <w:r>
        <w:rPr>
          <w:bCs/>
          <w:szCs w:val="20"/>
        </w:rPr>
        <w:t>Abstract</w:t>
      </w:r>
      <w:r>
        <w:tab/>
      </w:r>
      <w:r>
        <w:fldChar w:fldCharType="begin"/>
      </w:r>
      <w:r>
        <w:instrText xml:space="preserve"> PAGEREF _Toc1139666363 \h </w:instrText>
      </w:r>
      <w:r>
        <w:fldChar w:fldCharType="separate"/>
      </w:r>
      <w:r>
        <w:t>3</w:t>
      </w:r>
      <w:r>
        <w:fldChar w:fldCharType="end"/>
      </w:r>
      <w:r>
        <w:rPr>
          <w:rFonts w:ascii="Times New Roman" w:hAnsi="Times New Roman" w:cs="Times New Roman"/>
          <w:szCs w:val="20"/>
        </w:rPr>
        <w:fldChar w:fldCharType="end"/>
      </w:r>
    </w:p>
    <w:p w14:paraId="310A8F0E">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_Toc965915348 </w:instrText>
      </w:r>
      <w:r>
        <w:rPr>
          <w:rFonts w:ascii="Times New Roman" w:hAnsi="Times New Roman" w:cs="Times New Roman"/>
          <w:szCs w:val="20"/>
        </w:rPr>
        <w:fldChar w:fldCharType="separate"/>
      </w:r>
      <w:r>
        <w:rPr>
          <w:rFonts w:hint="default" w:ascii="Times New Roman" w:hAnsi="Times New Roman" w:cs="Times New Roman" w:eastAsiaTheme="minorEastAsia"/>
          <w:bCs/>
          <w:szCs w:val="20"/>
          <w:lang w:val="en-US" w:eastAsia="zh-CN"/>
        </w:rPr>
        <w:t xml:space="preserve">2. </w:t>
      </w:r>
      <w:r>
        <w:rPr>
          <w:rFonts w:hint="default" w:ascii="Times New Roman" w:hAnsi="Times New Roman" w:cs="Times New Roman"/>
          <w:bCs w:val="0"/>
          <w:szCs w:val="20"/>
          <w:lang w:val="en-US"/>
        </w:rPr>
        <w:t>Introduction</w:t>
      </w:r>
      <w:r>
        <w:tab/>
      </w:r>
      <w:r>
        <w:fldChar w:fldCharType="begin"/>
      </w:r>
      <w:r>
        <w:instrText xml:space="preserve"> PAGEREF _Toc965915348 \h </w:instrText>
      </w:r>
      <w:r>
        <w:fldChar w:fldCharType="separate"/>
      </w:r>
      <w:r>
        <w:t>3</w:t>
      </w:r>
      <w:r>
        <w:fldChar w:fldCharType="end"/>
      </w:r>
      <w:r>
        <w:rPr>
          <w:rFonts w:ascii="Times New Roman" w:hAnsi="Times New Roman" w:cs="Times New Roman"/>
          <w:szCs w:val="20"/>
        </w:rPr>
        <w:fldChar w:fldCharType="end"/>
      </w:r>
    </w:p>
    <w:p w14:paraId="45EDFEAC">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_Toc1310366163 </w:instrText>
      </w:r>
      <w:r>
        <w:rPr>
          <w:rFonts w:ascii="Times New Roman" w:hAnsi="Times New Roman" w:cs="Times New Roman"/>
          <w:szCs w:val="20"/>
        </w:rPr>
        <w:fldChar w:fldCharType="separate"/>
      </w:r>
      <w:r>
        <w:rPr>
          <w:rFonts w:eastAsiaTheme="minorEastAsia"/>
          <w:bCs/>
          <w:szCs w:val="20"/>
        </w:rPr>
        <w:t xml:space="preserve">2.1 </w:t>
      </w:r>
      <w:r>
        <w:rPr>
          <w:bCs/>
          <w:szCs w:val="20"/>
        </w:rPr>
        <w:t>Background</w:t>
      </w:r>
      <w:r>
        <w:tab/>
      </w:r>
      <w:r>
        <w:fldChar w:fldCharType="begin"/>
      </w:r>
      <w:r>
        <w:instrText xml:space="preserve"> PAGEREF _Toc1310366163 \h </w:instrText>
      </w:r>
      <w:r>
        <w:fldChar w:fldCharType="separate"/>
      </w:r>
      <w:r>
        <w:t>3</w:t>
      </w:r>
      <w:r>
        <w:fldChar w:fldCharType="end"/>
      </w:r>
      <w:r>
        <w:rPr>
          <w:rFonts w:ascii="Times New Roman" w:hAnsi="Times New Roman" w:cs="Times New Roman"/>
          <w:szCs w:val="20"/>
        </w:rPr>
        <w:fldChar w:fldCharType="end"/>
      </w:r>
    </w:p>
    <w:p w14:paraId="68C13581">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_Toc879301556 </w:instrText>
      </w:r>
      <w:r>
        <w:rPr>
          <w:rFonts w:ascii="Times New Roman" w:hAnsi="Times New Roman" w:cs="Times New Roman"/>
          <w:szCs w:val="20"/>
        </w:rPr>
        <w:fldChar w:fldCharType="separate"/>
      </w:r>
      <w:r>
        <w:rPr>
          <w:rFonts w:eastAsiaTheme="minorEastAsia"/>
          <w:bCs/>
          <w:szCs w:val="20"/>
        </w:rPr>
        <w:t xml:space="preserve">2.2 </w:t>
      </w:r>
      <w:r>
        <w:rPr>
          <w:bCs/>
          <w:szCs w:val="20"/>
        </w:rPr>
        <w:t>Objectives</w:t>
      </w:r>
      <w:r>
        <w:tab/>
      </w:r>
      <w:r>
        <w:fldChar w:fldCharType="begin"/>
      </w:r>
      <w:r>
        <w:instrText xml:space="preserve"> PAGEREF _Toc879301556 \h </w:instrText>
      </w:r>
      <w:r>
        <w:fldChar w:fldCharType="separate"/>
      </w:r>
      <w:r>
        <w:t>3</w:t>
      </w:r>
      <w:r>
        <w:fldChar w:fldCharType="end"/>
      </w:r>
      <w:r>
        <w:rPr>
          <w:rFonts w:ascii="Times New Roman" w:hAnsi="Times New Roman" w:cs="Times New Roman"/>
          <w:szCs w:val="20"/>
        </w:rPr>
        <w:fldChar w:fldCharType="end"/>
      </w:r>
    </w:p>
    <w:p w14:paraId="3CCB0043">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_Toc1586276685 </w:instrText>
      </w:r>
      <w:r>
        <w:rPr>
          <w:rFonts w:ascii="Times New Roman" w:hAnsi="Times New Roman" w:cs="Times New Roman"/>
          <w:szCs w:val="20"/>
        </w:rPr>
        <w:fldChar w:fldCharType="separate"/>
      </w:r>
      <w:r>
        <w:rPr>
          <w:rFonts w:hint="default" w:ascii="Times New Roman" w:hAnsi="Times New Roman" w:cs="Times New Roman" w:eastAsiaTheme="minorEastAsia"/>
          <w:bCs w:val="0"/>
          <w:szCs w:val="20"/>
        </w:rPr>
        <w:t xml:space="preserve">3. </w:t>
      </w:r>
      <w:r>
        <w:rPr>
          <w:rFonts w:ascii="Times New Roman" w:hAnsi="Times New Roman" w:cs="Times New Roman"/>
          <w:bCs w:val="0"/>
          <w:szCs w:val="20"/>
        </w:rPr>
        <w:t>Methods</w:t>
      </w:r>
      <w:r>
        <w:tab/>
      </w:r>
      <w:r>
        <w:fldChar w:fldCharType="begin"/>
      </w:r>
      <w:r>
        <w:instrText xml:space="preserve"> PAGEREF _Toc1586276685 \h </w:instrText>
      </w:r>
      <w:r>
        <w:fldChar w:fldCharType="separate"/>
      </w:r>
      <w:r>
        <w:t>4</w:t>
      </w:r>
      <w:r>
        <w:fldChar w:fldCharType="end"/>
      </w:r>
      <w:r>
        <w:rPr>
          <w:rFonts w:ascii="Times New Roman" w:hAnsi="Times New Roman" w:cs="Times New Roman"/>
          <w:szCs w:val="20"/>
        </w:rPr>
        <w:fldChar w:fldCharType="end"/>
      </w:r>
    </w:p>
    <w:p w14:paraId="2783F9DD">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_Toc1690250937 </w:instrText>
      </w:r>
      <w:r>
        <w:rPr>
          <w:rFonts w:ascii="Times New Roman" w:hAnsi="Times New Roman" w:cs="Times New Roman"/>
          <w:szCs w:val="20"/>
        </w:rPr>
        <w:fldChar w:fldCharType="separate"/>
      </w:r>
      <w:r>
        <w:rPr>
          <w:rFonts w:eastAsiaTheme="minorEastAsia"/>
          <w:bCs/>
          <w:szCs w:val="20"/>
        </w:rPr>
        <w:t xml:space="preserve">3.1 </w:t>
      </w:r>
      <w:r>
        <w:rPr>
          <w:bCs/>
          <w:szCs w:val="20"/>
        </w:rPr>
        <w:t>Study Design</w:t>
      </w:r>
      <w:r>
        <w:tab/>
      </w:r>
      <w:r>
        <w:fldChar w:fldCharType="begin"/>
      </w:r>
      <w:r>
        <w:instrText xml:space="preserve"> PAGEREF _Toc1690250937 \h </w:instrText>
      </w:r>
      <w:r>
        <w:fldChar w:fldCharType="separate"/>
      </w:r>
      <w:r>
        <w:t>4</w:t>
      </w:r>
      <w:r>
        <w:fldChar w:fldCharType="end"/>
      </w:r>
      <w:r>
        <w:rPr>
          <w:rFonts w:ascii="Times New Roman" w:hAnsi="Times New Roman" w:cs="Times New Roman"/>
          <w:szCs w:val="20"/>
        </w:rPr>
        <w:fldChar w:fldCharType="end"/>
      </w:r>
    </w:p>
    <w:p w14:paraId="24436272">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_Toc1133815643 </w:instrText>
      </w:r>
      <w:r>
        <w:rPr>
          <w:rFonts w:ascii="Times New Roman" w:hAnsi="Times New Roman" w:cs="Times New Roman"/>
          <w:szCs w:val="20"/>
        </w:rPr>
        <w:fldChar w:fldCharType="separate"/>
      </w:r>
      <w:r>
        <w:rPr>
          <w:rFonts w:eastAsiaTheme="minorEastAsia"/>
          <w:bCs/>
          <w:szCs w:val="20"/>
        </w:rPr>
        <w:t xml:space="preserve">3.2 </w:t>
      </w:r>
      <w:r>
        <w:rPr>
          <w:bCs/>
          <w:szCs w:val="20"/>
        </w:rPr>
        <w:t>Setting and Participants</w:t>
      </w:r>
      <w:r>
        <w:tab/>
      </w:r>
      <w:r>
        <w:fldChar w:fldCharType="begin"/>
      </w:r>
      <w:r>
        <w:instrText xml:space="preserve"> PAGEREF _Toc1133815643 \h </w:instrText>
      </w:r>
      <w:r>
        <w:fldChar w:fldCharType="separate"/>
      </w:r>
      <w:r>
        <w:t>4</w:t>
      </w:r>
      <w:r>
        <w:fldChar w:fldCharType="end"/>
      </w:r>
      <w:r>
        <w:rPr>
          <w:rFonts w:ascii="Times New Roman" w:hAnsi="Times New Roman" w:cs="Times New Roman"/>
          <w:szCs w:val="20"/>
        </w:rPr>
        <w:fldChar w:fldCharType="end"/>
      </w:r>
    </w:p>
    <w:p w14:paraId="47CAD3DC">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_Toc1417112070 </w:instrText>
      </w:r>
      <w:r>
        <w:rPr>
          <w:rFonts w:ascii="Times New Roman" w:hAnsi="Times New Roman" w:cs="Times New Roman"/>
          <w:szCs w:val="20"/>
        </w:rPr>
        <w:fldChar w:fldCharType="separate"/>
      </w:r>
      <w:r>
        <w:rPr>
          <w:rFonts w:eastAsiaTheme="minorEastAsia"/>
          <w:bCs/>
          <w:szCs w:val="20"/>
        </w:rPr>
        <w:t xml:space="preserve">3.3 </w:t>
      </w:r>
      <w:r>
        <w:rPr>
          <w:bCs/>
          <w:szCs w:val="20"/>
        </w:rPr>
        <w:t>Variables</w:t>
      </w:r>
      <w:r>
        <w:tab/>
      </w:r>
      <w:r>
        <w:fldChar w:fldCharType="begin"/>
      </w:r>
      <w:r>
        <w:instrText xml:space="preserve"> PAGEREF _Toc1417112070 \h </w:instrText>
      </w:r>
      <w:r>
        <w:fldChar w:fldCharType="separate"/>
      </w:r>
      <w:r>
        <w:t>4</w:t>
      </w:r>
      <w:r>
        <w:fldChar w:fldCharType="end"/>
      </w:r>
      <w:r>
        <w:rPr>
          <w:rFonts w:ascii="Times New Roman" w:hAnsi="Times New Roman" w:cs="Times New Roman"/>
          <w:szCs w:val="20"/>
        </w:rPr>
        <w:fldChar w:fldCharType="end"/>
      </w:r>
    </w:p>
    <w:p w14:paraId="7FFA4696">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_Toc1808915260 </w:instrText>
      </w:r>
      <w:r>
        <w:rPr>
          <w:rFonts w:ascii="Times New Roman" w:hAnsi="Times New Roman" w:cs="Times New Roman"/>
          <w:szCs w:val="20"/>
        </w:rPr>
        <w:fldChar w:fldCharType="separate"/>
      </w:r>
      <w:r>
        <w:rPr>
          <w:rFonts w:eastAsiaTheme="minorEastAsia"/>
          <w:bCs/>
          <w:szCs w:val="20"/>
        </w:rPr>
        <w:t xml:space="preserve">3.4 </w:t>
      </w:r>
      <w:r>
        <w:rPr>
          <w:bCs/>
          <w:szCs w:val="20"/>
        </w:rPr>
        <w:t>Data Sources</w:t>
      </w:r>
      <w:r>
        <w:tab/>
      </w:r>
      <w:r>
        <w:fldChar w:fldCharType="begin"/>
      </w:r>
      <w:r>
        <w:instrText xml:space="preserve"> PAGEREF _Toc1808915260 \h </w:instrText>
      </w:r>
      <w:r>
        <w:fldChar w:fldCharType="separate"/>
      </w:r>
      <w:r>
        <w:t>4</w:t>
      </w:r>
      <w:r>
        <w:fldChar w:fldCharType="end"/>
      </w:r>
      <w:r>
        <w:rPr>
          <w:rFonts w:ascii="Times New Roman" w:hAnsi="Times New Roman" w:cs="Times New Roman"/>
          <w:szCs w:val="20"/>
        </w:rPr>
        <w:fldChar w:fldCharType="end"/>
      </w:r>
    </w:p>
    <w:p w14:paraId="5163148C">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_Toc512784241 </w:instrText>
      </w:r>
      <w:r>
        <w:rPr>
          <w:rFonts w:ascii="Times New Roman" w:hAnsi="Times New Roman" w:cs="Times New Roman"/>
          <w:szCs w:val="20"/>
        </w:rPr>
        <w:fldChar w:fldCharType="separate"/>
      </w:r>
      <w:r>
        <w:rPr>
          <w:rFonts w:eastAsiaTheme="minorEastAsia"/>
          <w:bCs/>
          <w:szCs w:val="20"/>
        </w:rPr>
        <w:t xml:space="preserve">3.5 </w:t>
      </w:r>
      <w:r>
        <w:rPr>
          <w:bCs/>
          <w:szCs w:val="20"/>
        </w:rPr>
        <w:t>Statistical Methods</w:t>
      </w:r>
      <w:r>
        <w:tab/>
      </w:r>
      <w:r>
        <w:fldChar w:fldCharType="begin"/>
      </w:r>
      <w:r>
        <w:instrText xml:space="preserve"> PAGEREF _Toc512784241 \h </w:instrText>
      </w:r>
      <w:r>
        <w:fldChar w:fldCharType="separate"/>
      </w:r>
      <w:r>
        <w:t>4</w:t>
      </w:r>
      <w:r>
        <w:fldChar w:fldCharType="end"/>
      </w:r>
      <w:r>
        <w:rPr>
          <w:rFonts w:ascii="Times New Roman" w:hAnsi="Times New Roman" w:cs="Times New Roman"/>
          <w:szCs w:val="20"/>
        </w:rPr>
        <w:fldChar w:fldCharType="end"/>
      </w:r>
    </w:p>
    <w:p w14:paraId="70E47B6F">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_Toc512863076 </w:instrText>
      </w:r>
      <w:r>
        <w:rPr>
          <w:rFonts w:ascii="Times New Roman" w:hAnsi="Times New Roman" w:cs="Times New Roman"/>
          <w:szCs w:val="20"/>
        </w:rPr>
        <w:fldChar w:fldCharType="separate"/>
      </w:r>
      <w:r>
        <w:rPr>
          <w:rFonts w:hint="default" w:ascii="Times New Roman" w:hAnsi="Times New Roman" w:cs="Times New Roman" w:eastAsiaTheme="minorEastAsia"/>
          <w:bCs w:val="0"/>
          <w:szCs w:val="20"/>
        </w:rPr>
        <w:t xml:space="preserve">4. </w:t>
      </w:r>
      <w:r>
        <w:rPr>
          <w:rFonts w:ascii="Times New Roman" w:hAnsi="Times New Roman" w:cs="Times New Roman"/>
          <w:bCs w:val="0"/>
          <w:szCs w:val="20"/>
        </w:rPr>
        <w:t>Results</w:t>
      </w:r>
      <w:r>
        <w:tab/>
      </w:r>
      <w:r>
        <w:fldChar w:fldCharType="begin"/>
      </w:r>
      <w:r>
        <w:instrText xml:space="preserve"> PAGEREF _Toc512863076 \h </w:instrText>
      </w:r>
      <w:r>
        <w:fldChar w:fldCharType="separate"/>
      </w:r>
      <w:r>
        <w:t>4</w:t>
      </w:r>
      <w:r>
        <w:fldChar w:fldCharType="end"/>
      </w:r>
      <w:r>
        <w:rPr>
          <w:rFonts w:ascii="Times New Roman" w:hAnsi="Times New Roman" w:cs="Times New Roman"/>
          <w:szCs w:val="20"/>
        </w:rPr>
        <w:fldChar w:fldCharType="end"/>
      </w:r>
    </w:p>
    <w:p w14:paraId="1D559866">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_Toc1837842921 </w:instrText>
      </w:r>
      <w:r>
        <w:rPr>
          <w:rFonts w:ascii="Times New Roman" w:hAnsi="Times New Roman" w:cs="Times New Roman"/>
          <w:szCs w:val="20"/>
        </w:rPr>
        <w:fldChar w:fldCharType="separate"/>
      </w:r>
      <w:r>
        <w:rPr>
          <w:rFonts w:eastAsiaTheme="minorEastAsia"/>
          <w:bCs/>
          <w:szCs w:val="20"/>
        </w:rPr>
        <w:t xml:space="preserve">4.1 </w:t>
      </w:r>
      <w:r>
        <w:rPr>
          <w:bCs/>
          <w:szCs w:val="20"/>
        </w:rPr>
        <w:t>Participants</w:t>
      </w:r>
      <w:r>
        <w:tab/>
      </w:r>
      <w:r>
        <w:fldChar w:fldCharType="begin"/>
      </w:r>
      <w:r>
        <w:instrText xml:space="preserve"> PAGEREF _Toc1837842921 \h </w:instrText>
      </w:r>
      <w:r>
        <w:fldChar w:fldCharType="separate"/>
      </w:r>
      <w:r>
        <w:t>5</w:t>
      </w:r>
      <w:r>
        <w:fldChar w:fldCharType="end"/>
      </w:r>
      <w:r>
        <w:rPr>
          <w:rFonts w:ascii="Times New Roman" w:hAnsi="Times New Roman" w:cs="Times New Roman"/>
          <w:szCs w:val="20"/>
        </w:rPr>
        <w:fldChar w:fldCharType="end"/>
      </w:r>
    </w:p>
    <w:p w14:paraId="146BD863">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_Toc1368678446 </w:instrText>
      </w:r>
      <w:r>
        <w:rPr>
          <w:rFonts w:ascii="Times New Roman" w:hAnsi="Times New Roman" w:cs="Times New Roman"/>
          <w:szCs w:val="20"/>
        </w:rPr>
        <w:fldChar w:fldCharType="separate"/>
      </w:r>
      <w:r>
        <w:rPr>
          <w:rFonts w:eastAsiaTheme="minorEastAsia"/>
          <w:bCs/>
          <w:szCs w:val="20"/>
        </w:rPr>
        <w:t>4.</w:t>
      </w:r>
      <w:r>
        <w:rPr>
          <w:rFonts w:hint="eastAsia" w:eastAsiaTheme="minorEastAsia"/>
          <w:bCs/>
          <w:szCs w:val="20"/>
          <w:lang w:val="en-US" w:eastAsia="zh-CN"/>
        </w:rPr>
        <w:t>2</w:t>
      </w:r>
      <w:r>
        <w:rPr>
          <w:rFonts w:eastAsiaTheme="minorEastAsia"/>
          <w:bCs/>
          <w:szCs w:val="20"/>
        </w:rPr>
        <w:t xml:space="preserve"> </w:t>
      </w:r>
      <w:r>
        <w:rPr>
          <w:bCs/>
          <w:szCs w:val="20"/>
        </w:rPr>
        <w:t>Descriptive Data</w:t>
      </w:r>
      <w:r>
        <w:tab/>
      </w:r>
      <w:r>
        <w:fldChar w:fldCharType="begin"/>
      </w:r>
      <w:r>
        <w:instrText xml:space="preserve"> PAGEREF _Toc1368678446 \h </w:instrText>
      </w:r>
      <w:r>
        <w:fldChar w:fldCharType="separate"/>
      </w:r>
      <w:r>
        <w:t>5</w:t>
      </w:r>
      <w:r>
        <w:fldChar w:fldCharType="end"/>
      </w:r>
      <w:r>
        <w:rPr>
          <w:rFonts w:ascii="Times New Roman" w:hAnsi="Times New Roman" w:cs="Times New Roman"/>
          <w:szCs w:val="20"/>
        </w:rPr>
        <w:fldChar w:fldCharType="end"/>
      </w:r>
    </w:p>
    <w:p w14:paraId="756BA233">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_Toc1681298905 </w:instrText>
      </w:r>
      <w:r>
        <w:rPr>
          <w:rFonts w:ascii="Times New Roman" w:hAnsi="Times New Roman" w:cs="Times New Roman"/>
          <w:szCs w:val="20"/>
        </w:rPr>
        <w:fldChar w:fldCharType="separate"/>
      </w:r>
      <w:r>
        <w:rPr>
          <w:rFonts w:eastAsiaTheme="minorEastAsia"/>
          <w:bCs/>
          <w:szCs w:val="20"/>
        </w:rPr>
        <w:t xml:space="preserve">4.3 </w:t>
      </w:r>
      <w:r>
        <w:rPr>
          <w:bCs/>
          <w:szCs w:val="20"/>
        </w:rPr>
        <w:t>Outcome Data</w:t>
      </w:r>
      <w:r>
        <w:tab/>
      </w:r>
      <w:r>
        <w:fldChar w:fldCharType="begin"/>
      </w:r>
      <w:r>
        <w:instrText xml:space="preserve"> PAGEREF _Toc1681298905 \h </w:instrText>
      </w:r>
      <w:r>
        <w:fldChar w:fldCharType="separate"/>
      </w:r>
      <w:r>
        <w:t>5</w:t>
      </w:r>
      <w:r>
        <w:fldChar w:fldCharType="end"/>
      </w:r>
      <w:r>
        <w:rPr>
          <w:rFonts w:ascii="Times New Roman" w:hAnsi="Times New Roman" w:cs="Times New Roman"/>
          <w:szCs w:val="20"/>
        </w:rPr>
        <w:fldChar w:fldCharType="end"/>
      </w:r>
    </w:p>
    <w:p w14:paraId="53FD996D">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_Toc1000869109 </w:instrText>
      </w:r>
      <w:r>
        <w:rPr>
          <w:rFonts w:ascii="Times New Roman" w:hAnsi="Times New Roman" w:cs="Times New Roman"/>
          <w:szCs w:val="20"/>
        </w:rPr>
        <w:fldChar w:fldCharType="separate"/>
      </w:r>
      <w:r>
        <w:rPr>
          <w:rFonts w:eastAsiaTheme="minorEastAsia"/>
          <w:bCs/>
          <w:szCs w:val="20"/>
        </w:rPr>
        <w:t xml:space="preserve">4.4 </w:t>
      </w:r>
      <w:r>
        <w:rPr>
          <w:bCs/>
          <w:szCs w:val="20"/>
        </w:rPr>
        <w:t>Other Analyses</w:t>
      </w:r>
      <w:r>
        <w:tab/>
      </w:r>
      <w:r>
        <w:fldChar w:fldCharType="begin"/>
      </w:r>
      <w:r>
        <w:instrText xml:space="preserve"> PAGEREF _Toc1000869109 \h </w:instrText>
      </w:r>
      <w:r>
        <w:fldChar w:fldCharType="separate"/>
      </w:r>
      <w:r>
        <w:t>5</w:t>
      </w:r>
      <w:r>
        <w:fldChar w:fldCharType="end"/>
      </w:r>
      <w:r>
        <w:rPr>
          <w:rFonts w:ascii="Times New Roman" w:hAnsi="Times New Roman" w:cs="Times New Roman"/>
          <w:szCs w:val="20"/>
        </w:rPr>
        <w:fldChar w:fldCharType="end"/>
      </w:r>
    </w:p>
    <w:p w14:paraId="0B7EC80E">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_Toc367708012 </w:instrText>
      </w:r>
      <w:r>
        <w:rPr>
          <w:rFonts w:ascii="Times New Roman" w:hAnsi="Times New Roman" w:cs="Times New Roman"/>
          <w:szCs w:val="20"/>
        </w:rPr>
        <w:fldChar w:fldCharType="separate"/>
      </w:r>
      <w:r>
        <w:rPr>
          <w:rFonts w:hint="default" w:ascii="Times New Roman" w:hAnsi="Times New Roman" w:cs="Times New Roman" w:eastAsiaTheme="minorEastAsia"/>
          <w:bCs w:val="0"/>
          <w:szCs w:val="20"/>
        </w:rPr>
        <w:t xml:space="preserve">5. </w:t>
      </w:r>
      <w:r>
        <w:rPr>
          <w:rFonts w:ascii="Times New Roman" w:hAnsi="Times New Roman" w:cs="Times New Roman"/>
          <w:bCs w:val="0"/>
          <w:szCs w:val="20"/>
        </w:rPr>
        <w:t>Discussion</w:t>
      </w:r>
      <w:r>
        <w:tab/>
      </w:r>
      <w:r>
        <w:fldChar w:fldCharType="begin"/>
      </w:r>
      <w:r>
        <w:instrText xml:space="preserve"> PAGEREF _Toc367708012 \h </w:instrText>
      </w:r>
      <w:r>
        <w:fldChar w:fldCharType="separate"/>
      </w:r>
      <w:r>
        <w:t>5</w:t>
      </w:r>
      <w:r>
        <w:fldChar w:fldCharType="end"/>
      </w:r>
      <w:r>
        <w:rPr>
          <w:rFonts w:ascii="Times New Roman" w:hAnsi="Times New Roman" w:cs="Times New Roman"/>
          <w:szCs w:val="20"/>
        </w:rPr>
        <w:fldChar w:fldCharType="end"/>
      </w:r>
    </w:p>
    <w:p w14:paraId="2F10D171">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_Toc1758105265 </w:instrText>
      </w:r>
      <w:r>
        <w:rPr>
          <w:rFonts w:ascii="Times New Roman" w:hAnsi="Times New Roman" w:cs="Times New Roman"/>
          <w:szCs w:val="20"/>
        </w:rPr>
        <w:fldChar w:fldCharType="separate"/>
      </w:r>
      <w:r>
        <w:rPr>
          <w:rFonts w:eastAsiaTheme="minorEastAsia"/>
          <w:bCs/>
          <w:szCs w:val="20"/>
        </w:rPr>
        <w:t xml:space="preserve">5.1 </w:t>
      </w:r>
      <w:r>
        <w:rPr>
          <w:bCs/>
          <w:szCs w:val="20"/>
        </w:rPr>
        <w:t>Key Results</w:t>
      </w:r>
      <w:r>
        <w:tab/>
      </w:r>
      <w:r>
        <w:fldChar w:fldCharType="begin"/>
      </w:r>
      <w:r>
        <w:instrText xml:space="preserve"> PAGEREF _Toc1758105265 \h </w:instrText>
      </w:r>
      <w:r>
        <w:fldChar w:fldCharType="separate"/>
      </w:r>
      <w:r>
        <w:t>5</w:t>
      </w:r>
      <w:r>
        <w:fldChar w:fldCharType="end"/>
      </w:r>
      <w:r>
        <w:rPr>
          <w:rFonts w:ascii="Times New Roman" w:hAnsi="Times New Roman" w:cs="Times New Roman"/>
          <w:szCs w:val="20"/>
        </w:rPr>
        <w:fldChar w:fldCharType="end"/>
      </w:r>
    </w:p>
    <w:p w14:paraId="146E997C">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_Toc1247689782 </w:instrText>
      </w:r>
      <w:r>
        <w:rPr>
          <w:rFonts w:ascii="Times New Roman" w:hAnsi="Times New Roman" w:cs="Times New Roman"/>
          <w:szCs w:val="20"/>
        </w:rPr>
        <w:fldChar w:fldCharType="separate"/>
      </w:r>
      <w:r>
        <w:rPr>
          <w:rFonts w:eastAsiaTheme="minorEastAsia"/>
          <w:bCs/>
          <w:szCs w:val="20"/>
        </w:rPr>
        <w:t xml:space="preserve">5.2 </w:t>
      </w:r>
      <w:r>
        <w:rPr>
          <w:bCs/>
          <w:szCs w:val="20"/>
        </w:rPr>
        <w:t>Interpretation</w:t>
      </w:r>
      <w:r>
        <w:tab/>
      </w:r>
      <w:r>
        <w:fldChar w:fldCharType="begin"/>
      </w:r>
      <w:r>
        <w:instrText xml:space="preserve"> PAGEREF _Toc1247689782 \h </w:instrText>
      </w:r>
      <w:r>
        <w:fldChar w:fldCharType="separate"/>
      </w:r>
      <w:r>
        <w:t>5</w:t>
      </w:r>
      <w:r>
        <w:fldChar w:fldCharType="end"/>
      </w:r>
      <w:r>
        <w:rPr>
          <w:rFonts w:ascii="Times New Roman" w:hAnsi="Times New Roman" w:cs="Times New Roman"/>
          <w:szCs w:val="20"/>
        </w:rPr>
        <w:fldChar w:fldCharType="end"/>
      </w:r>
    </w:p>
    <w:p w14:paraId="50EF329B">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_Toc1891836766 </w:instrText>
      </w:r>
      <w:r>
        <w:rPr>
          <w:rFonts w:ascii="Times New Roman" w:hAnsi="Times New Roman" w:cs="Times New Roman"/>
          <w:szCs w:val="20"/>
        </w:rPr>
        <w:fldChar w:fldCharType="separate"/>
      </w:r>
      <w:r>
        <w:rPr>
          <w:rFonts w:eastAsiaTheme="minorEastAsia"/>
          <w:bCs/>
          <w:szCs w:val="20"/>
        </w:rPr>
        <w:t xml:space="preserve">5.3 </w:t>
      </w:r>
      <w:r>
        <w:rPr>
          <w:bCs/>
          <w:szCs w:val="20"/>
        </w:rPr>
        <w:t>Limitations</w:t>
      </w:r>
      <w:r>
        <w:tab/>
      </w:r>
      <w:r>
        <w:fldChar w:fldCharType="begin"/>
      </w:r>
      <w:r>
        <w:instrText xml:space="preserve"> PAGEREF _Toc1891836766 \h </w:instrText>
      </w:r>
      <w:r>
        <w:fldChar w:fldCharType="separate"/>
      </w:r>
      <w:r>
        <w:t>6</w:t>
      </w:r>
      <w:r>
        <w:fldChar w:fldCharType="end"/>
      </w:r>
      <w:r>
        <w:rPr>
          <w:rFonts w:ascii="Times New Roman" w:hAnsi="Times New Roman" w:cs="Times New Roman"/>
          <w:szCs w:val="20"/>
        </w:rPr>
        <w:fldChar w:fldCharType="end"/>
      </w:r>
    </w:p>
    <w:p w14:paraId="2154B3BB">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_Toc457648680 </w:instrText>
      </w:r>
      <w:r>
        <w:rPr>
          <w:rFonts w:ascii="Times New Roman" w:hAnsi="Times New Roman" w:cs="Times New Roman"/>
          <w:szCs w:val="20"/>
        </w:rPr>
        <w:fldChar w:fldCharType="separate"/>
      </w:r>
      <w:r>
        <w:rPr>
          <w:rFonts w:hint="default" w:ascii="Times New Roman" w:hAnsi="Times New Roman" w:cs="Times New Roman" w:eastAsiaTheme="minorEastAsia"/>
          <w:bCs w:val="0"/>
          <w:szCs w:val="20"/>
        </w:rPr>
        <w:t xml:space="preserve">6. </w:t>
      </w:r>
      <w:r>
        <w:rPr>
          <w:rFonts w:ascii="Times New Roman" w:hAnsi="Times New Roman" w:cs="Times New Roman"/>
          <w:bCs w:val="0"/>
          <w:szCs w:val="20"/>
        </w:rPr>
        <w:t>Other Information</w:t>
      </w:r>
      <w:r>
        <w:tab/>
      </w:r>
      <w:r>
        <w:fldChar w:fldCharType="begin"/>
      </w:r>
      <w:r>
        <w:instrText xml:space="preserve"> PAGEREF _Toc457648680 \h </w:instrText>
      </w:r>
      <w:r>
        <w:fldChar w:fldCharType="separate"/>
      </w:r>
      <w:r>
        <w:t>6</w:t>
      </w:r>
      <w:r>
        <w:fldChar w:fldCharType="end"/>
      </w:r>
      <w:r>
        <w:rPr>
          <w:rFonts w:ascii="Times New Roman" w:hAnsi="Times New Roman" w:cs="Times New Roman"/>
          <w:szCs w:val="20"/>
        </w:rPr>
        <w:fldChar w:fldCharType="end"/>
      </w:r>
    </w:p>
    <w:p w14:paraId="621511D6">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_Toc1562424853 </w:instrText>
      </w:r>
      <w:r>
        <w:rPr>
          <w:rFonts w:ascii="Times New Roman" w:hAnsi="Times New Roman" w:cs="Times New Roman"/>
          <w:szCs w:val="20"/>
        </w:rPr>
        <w:fldChar w:fldCharType="separate"/>
      </w:r>
      <w:r>
        <w:rPr>
          <w:rFonts w:eastAsiaTheme="minorEastAsia"/>
          <w:bCs/>
          <w:szCs w:val="20"/>
        </w:rPr>
        <w:t xml:space="preserve">6.1 </w:t>
      </w:r>
      <w:r>
        <w:rPr>
          <w:bCs/>
          <w:szCs w:val="20"/>
        </w:rPr>
        <w:t>Funding</w:t>
      </w:r>
      <w:r>
        <w:tab/>
      </w:r>
      <w:r>
        <w:fldChar w:fldCharType="begin"/>
      </w:r>
      <w:r>
        <w:instrText xml:space="preserve"> PAGEREF _Toc1562424853 \h </w:instrText>
      </w:r>
      <w:r>
        <w:fldChar w:fldCharType="separate"/>
      </w:r>
      <w:r>
        <w:t>6</w:t>
      </w:r>
      <w:r>
        <w:fldChar w:fldCharType="end"/>
      </w:r>
      <w:r>
        <w:rPr>
          <w:rFonts w:ascii="Times New Roman" w:hAnsi="Times New Roman" w:cs="Times New Roman"/>
          <w:szCs w:val="20"/>
        </w:rPr>
        <w:fldChar w:fldCharType="end"/>
      </w:r>
    </w:p>
    <w:p w14:paraId="3F9E546F">
      <w:pPr>
        <w:pStyle w:val="7"/>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_Toc244468855 </w:instrText>
      </w:r>
      <w:r>
        <w:rPr>
          <w:rFonts w:ascii="Times New Roman" w:hAnsi="Times New Roman" w:cs="Times New Roman"/>
          <w:szCs w:val="20"/>
        </w:rPr>
        <w:fldChar w:fldCharType="separate"/>
      </w:r>
      <w:r>
        <w:rPr>
          <w:rFonts w:eastAsiaTheme="minorEastAsia"/>
          <w:bCs/>
          <w:szCs w:val="20"/>
        </w:rPr>
        <w:t xml:space="preserve">6.2 </w:t>
      </w:r>
      <w:r>
        <w:rPr>
          <w:bCs/>
          <w:szCs w:val="20"/>
        </w:rPr>
        <w:t>Ethical Approval</w:t>
      </w:r>
      <w:r>
        <w:tab/>
      </w:r>
      <w:r>
        <w:fldChar w:fldCharType="begin"/>
      </w:r>
      <w:r>
        <w:instrText xml:space="preserve"> PAGEREF _Toc244468855 \h </w:instrText>
      </w:r>
      <w:r>
        <w:fldChar w:fldCharType="separate"/>
      </w:r>
      <w:r>
        <w:t>6</w:t>
      </w:r>
      <w:r>
        <w:fldChar w:fldCharType="end"/>
      </w:r>
      <w:r>
        <w:rPr>
          <w:rFonts w:ascii="Times New Roman" w:hAnsi="Times New Roman" w:cs="Times New Roman"/>
          <w:szCs w:val="20"/>
        </w:rPr>
        <w:fldChar w:fldCharType="end"/>
      </w:r>
    </w:p>
    <w:p w14:paraId="02535AF1">
      <w:pPr>
        <w:pStyle w:val="11"/>
        <w:tabs>
          <w:tab w:val="right" w:leader="dot" w:pos="8306"/>
          <w:tab w:val="clear" w:pos="829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_Toc651829274 </w:instrText>
      </w:r>
      <w:r>
        <w:rPr>
          <w:rFonts w:ascii="Times New Roman" w:hAnsi="Times New Roman" w:cs="Times New Roman"/>
          <w:szCs w:val="20"/>
        </w:rPr>
        <w:fldChar w:fldCharType="separate"/>
      </w:r>
      <w:r>
        <w:rPr>
          <w:rFonts w:ascii="Times New Roman" w:hAnsi="Times New Roman" w:cs="Times New Roman"/>
          <w:szCs w:val="16"/>
        </w:rPr>
        <w:t>Additional Results in tables and Figures</w:t>
      </w:r>
      <w:r>
        <w:tab/>
      </w:r>
      <w:r>
        <w:fldChar w:fldCharType="begin"/>
      </w:r>
      <w:r>
        <w:instrText xml:space="preserve"> PAGEREF _Toc651829274 \h </w:instrText>
      </w:r>
      <w:r>
        <w:fldChar w:fldCharType="separate"/>
      </w:r>
      <w:r>
        <w:t>7</w:t>
      </w:r>
      <w:r>
        <w:fldChar w:fldCharType="end"/>
      </w:r>
      <w:r>
        <w:rPr>
          <w:rFonts w:ascii="Times New Roman" w:hAnsi="Times New Roman" w:cs="Times New Roman"/>
          <w:szCs w:val="20"/>
        </w:rPr>
        <w:fldChar w:fldCharType="end"/>
      </w:r>
    </w:p>
    <w:p w14:paraId="72B7506C">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_Toc980524771 </w:instrText>
      </w:r>
      <w:r>
        <w:rPr>
          <w:rFonts w:ascii="Times New Roman" w:hAnsi="Times New Roman" w:cs="Times New Roman"/>
          <w:szCs w:val="20"/>
        </w:rPr>
        <w:fldChar w:fldCharType="separate"/>
      </w:r>
      <w:r>
        <w:rPr>
          <w:rFonts w:ascii="Times New Roman" w:hAnsi="Times New Roman" w:cs="Times New Roman"/>
          <w:szCs w:val="16"/>
        </w:rPr>
        <w:t xml:space="preserve">Table S1. </w:t>
      </w:r>
      <w:r>
        <w:rPr>
          <w:rFonts w:hint="eastAsia" w:ascii="Times New Roman" w:hAnsi="Times New Roman" w:cs="Times New Roman"/>
          <w:szCs w:val="16"/>
        </w:rPr>
        <w:t>Global Burden of Mental Disorders and Related Conditions Among Both Sexes, 1990–2021</w:t>
      </w:r>
      <w:r>
        <w:rPr>
          <w:rFonts w:hint="default" w:ascii="Times New Roman" w:hAnsi="Times New Roman" w:cs="Times New Roman"/>
          <w:szCs w:val="16"/>
          <w:lang w:val="en-US"/>
        </w:rPr>
        <w:t>.95% UI=95% uncertainty interval. 95% CI=95% confidence interva.</w:t>
      </w:r>
      <w:r>
        <w:tab/>
      </w:r>
      <w:r>
        <w:fldChar w:fldCharType="begin"/>
      </w:r>
      <w:r>
        <w:instrText xml:space="preserve"> PAGEREF _Toc980524771 \h </w:instrText>
      </w:r>
      <w:r>
        <w:fldChar w:fldCharType="separate"/>
      </w:r>
      <w:r>
        <w:t>7</w:t>
      </w:r>
      <w:r>
        <w:fldChar w:fldCharType="end"/>
      </w:r>
      <w:r>
        <w:rPr>
          <w:rFonts w:ascii="Times New Roman" w:hAnsi="Times New Roman" w:cs="Times New Roman"/>
          <w:szCs w:val="20"/>
        </w:rPr>
        <w:fldChar w:fldCharType="end"/>
      </w:r>
    </w:p>
    <w:p w14:paraId="427800F4">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_Toc2037802766 </w:instrText>
      </w:r>
      <w:r>
        <w:rPr>
          <w:rFonts w:ascii="Times New Roman" w:hAnsi="Times New Roman" w:cs="Times New Roman"/>
          <w:szCs w:val="20"/>
        </w:rPr>
        <w:fldChar w:fldCharType="separate"/>
      </w:r>
      <w:r>
        <w:rPr>
          <w:rFonts w:ascii="Times New Roman" w:hAnsi="Times New Roman" w:cs="Times New Roman"/>
          <w:szCs w:val="16"/>
        </w:rPr>
        <w:t xml:space="preserve">Table S2. </w:t>
      </w:r>
      <w:r>
        <w:rPr>
          <w:rFonts w:hint="eastAsia" w:ascii="Times New Roman" w:hAnsi="Times New Roman" w:cs="Times New Roman"/>
          <w:szCs w:val="16"/>
        </w:rPr>
        <w:t>Different GBD Region Burden of Mental Disorders and Related Conditions Among Both Sexes, 1990–2021</w:t>
      </w:r>
      <w:r>
        <w:rPr>
          <w:rFonts w:ascii="Times New Roman" w:hAnsi="Times New Roman" w:cs="Times New Roman"/>
          <w:szCs w:val="16"/>
          <w:lang w:bidi="ar"/>
        </w:rPr>
        <w:t>.</w:t>
      </w:r>
      <w:r>
        <w:rPr>
          <w:rFonts w:hint="eastAsia" w:ascii="Times New Roman" w:hAnsi="Times New Roman" w:cs="Times New Roman"/>
          <w:szCs w:val="16"/>
          <w:lang w:bidi="ar"/>
        </w:rPr>
        <w:t>95% UI=95% uncertainty interval. 95% CI=95% confidence interval.</w:t>
      </w:r>
      <w:r>
        <w:tab/>
      </w:r>
      <w:r>
        <w:fldChar w:fldCharType="begin"/>
      </w:r>
      <w:r>
        <w:instrText xml:space="preserve"> PAGEREF _Toc2037802766 \h </w:instrText>
      </w:r>
      <w:r>
        <w:fldChar w:fldCharType="separate"/>
      </w:r>
      <w:r>
        <w:t>8</w:t>
      </w:r>
      <w:r>
        <w:fldChar w:fldCharType="end"/>
      </w:r>
      <w:r>
        <w:rPr>
          <w:rFonts w:ascii="Times New Roman" w:hAnsi="Times New Roman" w:cs="Times New Roman"/>
          <w:szCs w:val="20"/>
        </w:rPr>
        <w:fldChar w:fldCharType="end"/>
      </w:r>
    </w:p>
    <w:p w14:paraId="7D43F66A">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_Toc1281885806 </w:instrText>
      </w:r>
      <w:r>
        <w:rPr>
          <w:rFonts w:ascii="Times New Roman" w:hAnsi="Times New Roman" w:cs="Times New Roman"/>
          <w:szCs w:val="20"/>
        </w:rPr>
        <w:fldChar w:fldCharType="separate"/>
      </w:r>
      <w:r>
        <w:rPr>
          <w:rFonts w:ascii="Times New Roman" w:hAnsi="Times New Roman" w:cs="Times New Roman"/>
          <w:lang w:bidi="ar"/>
        </w:rPr>
        <w:t xml:space="preserve">Figure 1. </w:t>
      </w:r>
      <w:r>
        <w:rPr>
          <w:rFonts w:hint="eastAsia" w:ascii="Times New Roman" w:hAnsi="Times New Roman" w:cs="Times New Roman"/>
          <w:lang w:bidi="ar"/>
        </w:rPr>
        <w:t>Trends by Gender and Age Group,2021. (A)Prevalence of Mental disorders. (B) YLDs of Mental disorders</w:t>
      </w:r>
      <w:r>
        <w:rPr>
          <w:rFonts w:ascii="Times New Roman" w:hAnsi="Times New Roman" w:cs="Times New Roman"/>
          <w:lang w:bidi="ar"/>
        </w:rPr>
        <w:t>.</w:t>
      </w:r>
      <w:r>
        <w:tab/>
      </w:r>
      <w:r>
        <w:fldChar w:fldCharType="begin"/>
      </w:r>
      <w:r>
        <w:instrText xml:space="preserve"> PAGEREF _Toc1281885806 \h </w:instrText>
      </w:r>
      <w:r>
        <w:fldChar w:fldCharType="separate"/>
      </w:r>
      <w:r>
        <w:t>13</w:t>
      </w:r>
      <w:r>
        <w:fldChar w:fldCharType="end"/>
      </w:r>
      <w:r>
        <w:rPr>
          <w:rFonts w:ascii="Times New Roman" w:hAnsi="Times New Roman" w:cs="Times New Roman"/>
          <w:szCs w:val="20"/>
        </w:rPr>
        <w:fldChar w:fldCharType="end"/>
      </w:r>
    </w:p>
    <w:p w14:paraId="1F3E864C">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_Toc1098794738 </w:instrText>
      </w:r>
      <w:r>
        <w:rPr>
          <w:rFonts w:ascii="Times New Roman" w:hAnsi="Times New Roman" w:cs="Times New Roman"/>
          <w:szCs w:val="20"/>
        </w:rPr>
        <w:fldChar w:fldCharType="separate"/>
      </w:r>
      <w:r>
        <w:rPr>
          <w:rFonts w:ascii="Times New Roman" w:hAnsi="Times New Roman" w:cs="Times New Roman"/>
          <w:szCs w:val="20"/>
        </w:rPr>
        <w:t xml:space="preserve">Figure 2. </w:t>
      </w:r>
      <w:r>
        <w:rPr>
          <w:rFonts w:hint="eastAsia" w:ascii="Times New Roman" w:hAnsi="Times New Roman" w:cs="Times New Roman"/>
          <w:lang w:bidi="ar"/>
        </w:rPr>
        <w:t xml:space="preserve">Trends by Gender and Age Group,2021. (A)Prevalence of </w:t>
      </w:r>
      <w:r>
        <w:rPr>
          <w:rFonts w:hint="default" w:ascii="Times New Roman" w:hAnsi="Times New Roman" w:cs="Times New Roman"/>
          <w:lang w:val="en-US" w:bidi="ar"/>
        </w:rPr>
        <w:t>Developmental Intellcetual Disability</w:t>
      </w:r>
      <w:r>
        <w:rPr>
          <w:rFonts w:hint="eastAsia" w:ascii="Times New Roman" w:hAnsi="Times New Roman" w:cs="Times New Roman"/>
          <w:lang w:bidi="ar"/>
        </w:rPr>
        <w:t xml:space="preserve">. (B) YLDs of </w:t>
      </w:r>
      <w:r>
        <w:rPr>
          <w:rFonts w:hint="default" w:ascii="Times New Roman" w:hAnsi="Times New Roman" w:cs="Times New Roman"/>
          <w:lang w:val="en-US" w:bidi="ar"/>
        </w:rPr>
        <w:t>Developmental Intellcetual Disability</w:t>
      </w:r>
      <w:r>
        <w:rPr>
          <w:rFonts w:ascii="Times New Roman" w:hAnsi="Times New Roman" w:cs="Times New Roman"/>
          <w:lang w:bidi="ar"/>
        </w:rPr>
        <w:t>.</w:t>
      </w:r>
      <w:r>
        <w:tab/>
      </w:r>
      <w:r>
        <w:fldChar w:fldCharType="begin"/>
      </w:r>
      <w:r>
        <w:instrText xml:space="preserve"> PAGEREF _Toc1098794738 \h </w:instrText>
      </w:r>
      <w:r>
        <w:fldChar w:fldCharType="separate"/>
      </w:r>
      <w:r>
        <w:t>14</w:t>
      </w:r>
      <w:r>
        <w:fldChar w:fldCharType="end"/>
      </w:r>
      <w:r>
        <w:rPr>
          <w:rFonts w:ascii="Times New Roman" w:hAnsi="Times New Roman" w:cs="Times New Roman"/>
          <w:szCs w:val="20"/>
        </w:rPr>
        <w:fldChar w:fldCharType="end"/>
      </w:r>
    </w:p>
    <w:p w14:paraId="3162B4AB">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_Toc1231281013 </w:instrText>
      </w:r>
      <w:r>
        <w:rPr>
          <w:rFonts w:ascii="Times New Roman" w:hAnsi="Times New Roman" w:cs="Times New Roman"/>
          <w:szCs w:val="20"/>
        </w:rPr>
        <w:fldChar w:fldCharType="separate"/>
      </w:r>
      <w:r>
        <w:rPr>
          <w:rFonts w:ascii="Times New Roman" w:hAnsi="Times New Roman" w:cs="Times New Roman"/>
          <w:szCs w:val="20"/>
        </w:rPr>
        <w:t xml:space="preserve">Figure 3. </w:t>
      </w:r>
      <w:r>
        <w:rPr>
          <w:rFonts w:hint="eastAsia" w:ascii="Times New Roman" w:hAnsi="Times New Roman" w:cs="Times New Roman"/>
          <w:lang w:bidi="ar"/>
        </w:rPr>
        <w:t xml:space="preserve">Trends by Gender and Age Group,2021. (A)Prevalence of </w:t>
      </w:r>
      <w:r>
        <w:rPr>
          <w:rFonts w:hint="default" w:ascii="Times New Roman" w:hAnsi="Times New Roman" w:cs="Times New Roman"/>
          <w:lang w:val="en-US" w:bidi="ar"/>
        </w:rPr>
        <w:t>Schizophrenia</w:t>
      </w:r>
      <w:r>
        <w:rPr>
          <w:rFonts w:hint="eastAsia" w:ascii="Times New Roman" w:hAnsi="Times New Roman" w:cs="Times New Roman"/>
          <w:lang w:bidi="ar"/>
        </w:rPr>
        <w:t xml:space="preserve">. (B) YLDs of </w:t>
      </w:r>
      <w:r>
        <w:rPr>
          <w:rFonts w:hint="default" w:ascii="Times New Roman" w:hAnsi="Times New Roman" w:cs="Times New Roman"/>
          <w:lang w:val="en-US" w:bidi="ar"/>
        </w:rPr>
        <w:t>Schizophrenia</w:t>
      </w:r>
      <w:r>
        <w:rPr>
          <w:rFonts w:ascii="Times New Roman" w:hAnsi="Times New Roman" w:cs="Times New Roman"/>
          <w:lang w:bidi="ar"/>
        </w:rPr>
        <w:t>.</w:t>
      </w:r>
      <w:r>
        <w:tab/>
      </w:r>
      <w:r>
        <w:fldChar w:fldCharType="begin"/>
      </w:r>
      <w:r>
        <w:instrText xml:space="preserve"> PAGEREF _Toc1231281013 \h </w:instrText>
      </w:r>
      <w:r>
        <w:fldChar w:fldCharType="separate"/>
      </w:r>
      <w:r>
        <w:t>15</w:t>
      </w:r>
      <w:r>
        <w:fldChar w:fldCharType="end"/>
      </w:r>
      <w:r>
        <w:rPr>
          <w:rFonts w:ascii="Times New Roman" w:hAnsi="Times New Roman" w:cs="Times New Roman"/>
          <w:szCs w:val="20"/>
        </w:rPr>
        <w:fldChar w:fldCharType="end"/>
      </w:r>
    </w:p>
    <w:p w14:paraId="15BF9C83">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_Toc987562999 </w:instrText>
      </w:r>
      <w:r>
        <w:rPr>
          <w:rFonts w:ascii="Times New Roman" w:hAnsi="Times New Roman" w:cs="Times New Roman"/>
          <w:szCs w:val="20"/>
        </w:rPr>
        <w:fldChar w:fldCharType="separate"/>
      </w:r>
      <w:r>
        <w:rPr>
          <w:rFonts w:ascii="Times New Roman" w:hAnsi="Times New Roman" w:cs="Times New Roman"/>
          <w:szCs w:val="20"/>
        </w:rPr>
        <w:t xml:space="preserve">Figure 4. </w:t>
      </w:r>
      <w:r>
        <w:rPr>
          <w:rFonts w:hint="eastAsia" w:ascii="Times New Roman" w:hAnsi="Times New Roman" w:cs="Times New Roman"/>
          <w:lang w:bidi="ar"/>
        </w:rPr>
        <w:t xml:space="preserve">Trends by Gender and Age Group,2021. (A)Prevalence of </w:t>
      </w:r>
      <w:r>
        <w:rPr>
          <w:rFonts w:hint="default" w:ascii="Times New Roman" w:hAnsi="Times New Roman" w:cs="Times New Roman"/>
          <w:lang w:val="en-US" w:bidi="ar"/>
        </w:rPr>
        <w:t>Autism Spectrum Disorders</w:t>
      </w:r>
      <w:r>
        <w:rPr>
          <w:rFonts w:hint="eastAsia" w:ascii="Times New Roman" w:hAnsi="Times New Roman" w:cs="Times New Roman"/>
          <w:lang w:bidi="ar"/>
        </w:rPr>
        <w:t xml:space="preserve">. (B) YLDs of Prevalence of </w:t>
      </w:r>
      <w:r>
        <w:rPr>
          <w:rFonts w:hint="default" w:ascii="Times New Roman" w:hAnsi="Times New Roman" w:cs="Times New Roman"/>
          <w:lang w:val="en-US" w:bidi="ar"/>
        </w:rPr>
        <w:t>Autism Spectrum Disorders</w:t>
      </w:r>
      <w:r>
        <w:rPr>
          <w:rFonts w:hint="eastAsia" w:ascii="Times New Roman" w:hAnsi="Times New Roman" w:cs="Times New Roman"/>
          <w:lang w:bidi="ar"/>
        </w:rPr>
        <w:t>.</w:t>
      </w:r>
      <w:r>
        <w:tab/>
      </w:r>
      <w:r>
        <w:fldChar w:fldCharType="begin"/>
      </w:r>
      <w:r>
        <w:instrText xml:space="preserve"> PAGEREF _Toc987562999 \h </w:instrText>
      </w:r>
      <w:r>
        <w:fldChar w:fldCharType="separate"/>
      </w:r>
      <w:r>
        <w:t>16</w:t>
      </w:r>
      <w:r>
        <w:fldChar w:fldCharType="end"/>
      </w:r>
      <w:r>
        <w:rPr>
          <w:rFonts w:ascii="Times New Roman" w:hAnsi="Times New Roman" w:cs="Times New Roman"/>
          <w:szCs w:val="20"/>
        </w:rPr>
        <w:fldChar w:fldCharType="end"/>
      </w:r>
    </w:p>
    <w:p w14:paraId="0B973F42">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_Toc70216530 </w:instrText>
      </w:r>
      <w:r>
        <w:rPr>
          <w:rFonts w:ascii="Times New Roman" w:hAnsi="Times New Roman" w:cs="Times New Roman"/>
          <w:szCs w:val="20"/>
        </w:rPr>
        <w:fldChar w:fldCharType="separate"/>
      </w:r>
      <w:r>
        <w:rPr>
          <w:rFonts w:ascii="Times New Roman" w:hAnsi="Times New Roman" w:cs="Times New Roman"/>
          <w:szCs w:val="20"/>
        </w:rPr>
        <w:t xml:space="preserve">Figure 5. </w:t>
      </w:r>
      <w:r>
        <w:rPr>
          <w:rFonts w:hint="eastAsia" w:ascii="Times New Roman" w:hAnsi="Times New Roman" w:cs="Times New Roman"/>
          <w:szCs w:val="20"/>
        </w:rPr>
        <w:t>Different GBD Region Burden of Mental Disorders and Related Conditions Among Both Sexes, 1990–2021. (A)ASR Prevalence of Mental Disorders. (B)ASR YLDs of Mental Disorders</w:t>
      </w:r>
      <w:r>
        <w:rPr>
          <w:rFonts w:ascii="Times New Roman" w:hAnsi="Times New Roman" w:cs="Times New Roman"/>
          <w:szCs w:val="20"/>
          <w:lang w:bidi="ar"/>
        </w:rPr>
        <w:t>.</w:t>
      </w:r>
      <w:r>
        <w:tab/>
      </w:r>
      <w:r>
        <w:fldChar w:fldCharType="begin"/>
      </w:r>
      <w:r>
        <w:instrText xml:space="preserve"> PAGEREF _Toc70216530 \h </w:instrText>
      </w:r>
      <w:r>
        <w:fldChar w:fldCharType="separate"/>
      </w:r>
      <w:r>
        <w:t>17</w:t>
      </w:r>
      <w:r>
        <w:fldChar w:fldCharType="end"/>
      </w:r>
      <w:r>
        <w:rPr>
          <w:rFonts w:ascii="Times New Roman" w:hAnsi="Times New Roman" w:cs="Times New Roman"/>
          <w:szCs w:val="20"/>
        </w:rPr>
        <w:fldChar w:fldCharType="end"/>
      </w:r>
    </w:p>
    <w:p w14:paraId="5740FBC0">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_Toc1160697507 </w:instrText>
      </w:r>
      <w:r>
        <w:rPr>
          <w:rFonts w:ascii="Times New Roman" w:hAnsi="Times New Roman" w:cs="Times New Roman"/>
          <w:szCs w:val="20"/>
        </w:rPr>
        <w:fldChar w:fldCharType="separate"/>
      </w:r>
      <w:r>
        <w:rPr>
          <w:rFonts w:ascii="Times New Roman" w:hAnsi="Times New Roman" w:cs="Times New Roman"/>
          <w:szCs w:val="20"/>
        </w:rPr>
        <w:t xml:space="preserve">Figure 6. </w:t>
      </w:r>
      <w:r>
        <w:rPr>
          <w:rFonts w:hint="eastAsia" w:ascii="Times New Roman" w:hAnsi="Times New Roman" w:cs="Times New Roman"/>
          <w:szCs w:val="20"/>
        </w:rPr>
        <w:t>Country-Level Variations and Differences of Mental Disorders,2021. (A)ASR Prevalence of Mental Disorders. (B)ASR YLDs of Mental Disorders. (C)ASR Prevalence EAPC of Mental Disorders.(D)ASR YLDs EAPC of Mental Disorders</w:t>
      </w:r>
      <w:r>
        <w:rPr>
          <w:rFonts w:ascii="Times New Roman" w:hAnsi="Times New Roman" w:cs="Times New Roman"/>
          <w:szCs w:val="20"/>
          <w:lang w:bidi="ar"/>
        </w:rPr>
        <w:t>.</w:t>
      </w:r>
      <w:r>
        <w:tab/>
      </w:r>
      <w:r>
        <w:fldChar w:fldCharType="begin"/>
      </w:r>
      <w:r>
        <w:instrText xml:space="preserve"> PAGEREF _Toc1160697507 \h </w:instrText>
      </w:r>
      <w:r>
        <w:fldChar w:fldCharType="separate"/>
      </w:r>
      <w:r>
        <w:t>18</w:t>
      </w:r>
      <w:r>
        <w:fldChar w:fldCharType="end"/>
      </w:r>
      <w:r>
        <w:rPr>
          <w:rFonts w:ascii="Times New Roman" w:hAnsi="Times New Roman" w:cs="Times New Roman"/>
          <w:szCs w:val="20"/>
        </w:rPr>
        <w:fldChar w:fldCharType="end"/>
      </w:r>
    </w:p>
    <w:p w14:paraId="3E71356F">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_Toc101550801 </w:instrText>
      </w:r>
      <w:r>
        <w:rPr>
          <w:rFonts w:ascii="Times New Roman" w:hAnsi="Times New Roman" w:cs="Times New Roman"/>
          <w:szCs w:val="20"/>
        </w:rPr>
        <w:fldChar w:fldCharType="separate"/>
      </w:r>
      <w:r>
        <w:rPr>
          <w:rFonts w:ascii="Times New Roman" w:hAnsi="Times New Roman" w:cs="Times New Roman"/>
          <w:szCs w:val="20"/>
        </w:rPr>
        <w:t xml:space="preserve">Figure 7. </w:t>
      </w:r>
      <w:r>
        <w:rPr>
          <w:rFonts w:hint="eastAsia" w:ascii="Times New Roman" w:hAnsi="Times New Roman" w:cs="Times New Roman"/>
          <w:szCs w:val="20"/>
        </w:rPr>
        <w:t xml:space="preserve">Country-Level Variations and Differences of </w:t>
      </w:r>
      <w:r>
        <w:rPr>
          <w:rFonts w:hint="default" w:ascii="Times New Roman" w:hAnsi="Times New Roman" w:cs="Times New Roman"/>
          <w:lang w:val="en-US" w:bidi="ar"/>
        </w:rPr>
        <w:t>Developmental Intellcetual Disability</w:t>
      </w:r>
      <w:r>
        <w:rPr>
          <w:rFonts w:hint="eastAsia" w:ascii="Times New Roman" w:hAnsi="Times New Roman" w:cs="Times New Roman"/>
          <w:szCs w:val="20"/>
        </w:rPr>
        <w:t xml:space="preserve">,2021.(A)ASR Prevalence of </w:t>
      </w:r>
      <w:r>
        <w:rPr>
          <w:rFonts w:hint="default" w:ascii="Times New Roman" w:hAnsi="Times New Roman" w:cs="Times New Roman"/>
          <w:lang w:val="en-US" w:bidi="ar"/>
        </w:rPr>
        <w:t>Developmental Intellcetual Disability</w:t>
      </w:r>
      <w:r>
        <w:rPr>
          <w:rFonts w:hint="eastAsia" w:ascii="Times New Roman" w:hAnsi="Times New Roman" w:cs="Times New Roman"/>
          <w:szCs w:val="20"/>
        </w:rPr>
        <w:t xml:space="preserve">. (B)ASR YLDs of </w:t>
      </w:r>
      <w:r>
        <w:rPr>
          <w:rFonts w:hint="default" w:ascii="Times New Roman" w:hAnsi="Times New Roman" w:cs="Times New Roman"/>
          <w:lang w:val="en-US" w:bidi="ar"/>
        </w:rPr>
        <w:t>Developmental Intellcetual Disability</w:t>
      </w:r>
      <w:r>
        <w:rPr>
          <w:rFonts w:hint="eastAsia" w:ascii="Times New Roman" w:hAnsi="Times New Roman" w:cs="Times New Roman"/>
          <w:szCs w:val="20"/>
        </w:rPr>
        <w:t xml:space="preserve">. (C)ASR Prevalence EAPC of </w:t>
      </w:r>
      <w:r>
        <w:rPr>
          <w:rFonts w:hint="default" w:ascii="Times New Roman" w:hAnsi="Times New Roman" w:cs="Times New Roman"/>
          <w:lang w:val="en-US" w:bidi="ar"/>
        </w:rPr>
        <w:t>Developmental Intellcetual Disability</w:t>
      </w:r>
      <w:r>
        <w:rPr>
          <w:rFonts w:hint="eastAsia" w:ascii="Times New Roman" w:hAnsi="Times New Roman" w:cs="Times New Roman"/>
          <w:szCs w:val="20"/>
        </w:rPr>
        <w:t xml:space="preserve">.(D)ASR YLDs EAPC of </w:t>
      </w:r>
      <w:r>
        <w:rPr>
          <w:rFonts w:hint="default" w:ascii="Times New Roman" w:hAnsi="Times New Roman" w:cs="Times New Roman"/>
          <w:lang w:val="en-US" w:bidi="ar"/>
        </w:rPr>
        <w:t>Developmental Intellcetual Disability</w:t>
      </w:r>
      <w:r>
        <w:rPr>
          <w:rFonts w:ascii="Times New Roman" w:hAnsi="Times New Roman" w:cs="Times New Roman"/>
          <w:szCs w:val="20"/>
          <w:lang w:bidi="ar"/>
        </w:rPr>
        <w:t>.</w:t>
      </w:r>
      <w:r>
        <w:tab/>
      </w:r>
      <w:r>
        <w:fldChar w:fldCharType="begin"/>
      </w:r>
      <w:r>
        <w:instrText xml:space="preserve"> PAGEREF _Toc101550801 \h </w:instrText>
      </w:r>
      <w:r>
        <w:fldChar w:fldCharType="separate"/>
      </w:r>
      <w:r>
        <w:t>20</w:t>
      </w:r>
      <w:r>
        <w:fldChar w:fldCharType="end"/>
      </w:r>
      <w:r>
        <w:rPr>
          <w:rFonts w:ascii="Times New Roman" w:hAnsi="Times New Roman" w:cs="Times New Roman"/>
          <w:szCs w:val="20"/>
        </w:rPr>
        <w:fldChar w:fldCharType="end"/>
      </w:r>
    </w:p>
    <w:p w14:paraId="76B6D654">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_Toc1662296689 </w:instrText>
      </w:r>
      <w:r>
        <w:rPr>
          <w:rFonts w:ascii="Times New Roman" w:hAnsi="Times New Roman" w:cs="Times New Roman"/>
          <w:szCs w:val="20"/>
        </w:rPr>
        <w:fldChar w:fldCharType="separate"/>
      </w:r>
      <w:r>
        <w:rPr>
          <w:rFonts w:ascii="Times New Roman" w:hAnsi="Times New Roman" w:cs="Times New Roman"/>
          <w:szCs w:val="20"/>
        </w:rPr>
        <w:t xml:space="preserve">Figure 8. </w:t>
      </w:r>
      <w:r>
        <w:rPr>
          <w:rFonts w:hint="eastAsia" w:ascii="Times New Roman" w:hAnsi="Times New Roman" w:cs="Times New Roman"/>
          <w:szCs w:val="20"/>
        </w:rPr>
        <w:t xml:space="preserve">Country-Level Variations and Differences of </w:t>
      </w:r>
      <w:r>
        <w:rPr>
          <w:rFonts w:hint="default" w:ascii="Times New Roman" w:hAnsi="Times New Roman" w:cs="Times New Roman"/>
          <w:lang w:val="en-US" w:bidi="ar"/>
        </w:rPr>
        <w:t>Schizophrenia</w:t>
      </w:r>
      <w:r>
        <w:rPr>
          <w:rFonts w:hint="eastAsia" w:ascii="Times New Roman" w:hAnsi="Times New Roman" w:cs="Times New Roman"/>
          <w:szCs w:val="20"/>
        </w:rPr>
        <w:t xml:space="preserve">,2021.(A)ASR Prevalence of </w:t>
      </w:r>
      <w:r>
        <w:rPr>
          <w:rFonts w:hint="default" w:ascii="Times New Roman" w:hAnsi="Times New Roman" w:cs="Times New Roman"/>
          <w:lang w:val="en-US" w:bidi="ar"/>
        </w:rPr>
        <w:t>Schizophrenia</w:t>
      </w:r>
      <w:r>
        <w:rPr>
          <w:rFonts w:hint="eastAsia" w:ascii="Times New Roman" w:hAnsi="Times New Roman" w:cs="Times New Roman"/>
          <w:szCs w:val="20"/>
        </w:rPr>
        <w:t xml:space="preserve">. (B)ASR YLDs of </w:t>
      </w:r>
      <w:r>
        <w:rPr>
          <w:rFonts w:hint="default" w:ascii="Times New Roman" w:hAnsi="Times New Roman" w:cs="Times New Roman"/>
          <w:lang w:val="en-US" w:bidi="ar"/>
        </w:rPr>
        <w:t>Schizophrenia</w:t>
      </w:r>
      <w:r>
        <w:rPr>
          <w:rFonts w:hint="eastAsia" w:ascii="Times New Roman" w:hAnsi="Times New Roman" w:cs="Times New Roman"/>
          <w:szCs w:val="20"/>
        </w:rPr>
        <w:t xml:space="preserve">. (C)ASR Prevalence EAPC of </w:t>
      </w:r>
      <w:r>
        <w:rPr>
          <w:rFonts w:hint="default" w:ascii="Times New Roman" w:hAnsi="Times New Roman" w:cs="Times New Roman"/>
          <w:lang w:val="en-US" w:bidi="ar"/>
        </w:rPr>
        <w:t>Schizophrenia</w:t>
      </w:r>
      <w:r>
        <w:rPr>
          <w:rFonts w:hint="eastAsia" w:ascii="Times New Roman" w:hAnsi="Times New Roman" w:cs="Times New Roman"/>
          <w:szCs w:val="20"/>
        </w:rPr>
        <w:t xml:space="preserve">.(D)ASR YLDs EAPC of </w:t>
      </w:r>
      <w:r>
        <w:rPr>
          <w:rFonts w:hint="default" w:ascii="Times New Roman" w:hAnsi="Times New Roman" w:cs="Times New Roman"/>
          <w:lang w:val="en-US" w:bidi="ar"/>
        </w:rPr>
        <w:t>Schizophrenia</w:t>
      </w:r>
      <w:r>
        <w:rPr>
          <w:rFonts w:ascii="Times New Roman" w:hAnsi="Times New Roman" w:cs="Times New Roman"/>
          <w:szCs w:val="20"/>
          <w:lang w:bidi="ar"/>
        </w:rPr>
        <w:t>.</w:t>
      </w:r>
      <w:r>
        <w:tab/>
      </w:r>
      <w:r>
        <w:fldChar w:fldCharType="begin"/>
      </w:r>
      <w:r>
        <w:instrText xml:space="preserve"> PAGEREF _Toc1662296689 \h </w:instrText>
      </w:r>
      <w:r>
        <w:fldChar w:fldCharType="separate"/>
      </w:r>
      <w:r>
        <w:t>22</w:t>
      </w:r>
      <w:r>
        <w:fldChar w:fldCharType="end"/>
      </w:r>
      <w:r>
        <w:rPr>
          <w:rFonts w:ascii="Times New Roman" w:hAnsi="Times New Roman" w:cs="Times New Roman"/>
          <w:szCs w:val="20"/>
        </w:rPr>
        <w:fldChar w:fldCharType="end"/>
      </w:r>
    </w:p>
    <w:p w14:paraId="05661DF3">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_Toc1605688200 </w:instrText>
      </w:r>
      <w:r>
        <w:rPr>
          <w:rFonts w:ascii="Times New Roman" w:hAnsi="Times New Roman" w:cs="Times New Roman"/>
          <w:szCs w:val="20"/>
        </w:rPr>
        <w:fldChar w:fldCharType="separate"/>
      </w:r>
      <w:r>
        <w:rPr>
          <w:rFonts w:ascii="Times New Roman" w:hAnsi="Times New Roman" w:cs="Times New Roman"/>
          <w:szCs w:val="20"/>
        </w:rPr>
        <w:t xml:space="preserve">Figure 9. </w:t>
      </w:r>
      <w:r>
        <w:rPr>
          <w:rFonts w:hint="eastAsia" w:ascii="Times New Roman" w:hAnsi="Times New Roman" w:cs="Times New Roman"/>
          <w:szCs w:val="20"/>
        </w:rPr>
        <w:t xml:space="preserve">Country-Level Variations and Differences of </w:t>
      </w:r>
      <w:r>
        <w:rPr>
          <w:rFonts w:hint="default" w:ascii="Times New Roman" w:hAnsi="Times New Roman" w:cs="Times New Roman"/>
          <w:lang w:val="en-US" w:bidi="ar"/>
        </w:rPr>
        <w:t>Autism Spectrum Disorders</w:t>
      </w:r>
      <w:r>
        <w:rPr>
          <w:rFonts w:hint="eastAsia" w:ascii="Times New Roman" w:hAnsi="Times New Roman" w:cs="Times New Roman"/>
          <w:szCs w:val="20"/>
        </w:rPr>
        <w:t xml:space="preserve">,2021.(A)ASR Prevalence of </w:t>
      </w:r>
      <w:r>
        <w:rPr>
          <w:rFonts w:hint="default" w:ascii="Times New Roman" w:hAnsi="Times New Roman" w:cs="Times New Roman"/>
          <w:lang w:val="en-US" w:bidi="ar"/>
        </w:rPr>
        <w:t>Autism Spectrum Disorders</w:t>
      </w:r>
      <w:r>
        <w:rPr>
          <w:rFonts w:hint="eastAsia" w:ascii="Times New Roman" w:hAnsi="Times New Roman" w:cs="Times New Roman"/>
          <w:szCs w:val="20"/>
        </w:rPr>
        <w:t xml:space="preserve">. (B)ASR YLDs of </w:t>
      </w:r>
      <w:r>
        <w:rPr>
          <w:rFonts w:hint="default" w:ascii="Times New Roman" w:hAnsi="Times New Roman" w:cs="Times New Roman"/>
          <w:lang w:val="en-US" w:bidi="ar"/>
        </w:rPr>
        <w:t>Autism Spectrum Disorders</w:t>
      </w:r>
      <w:r>
        <w:rPr>
          <w:rFonts w:hint="eastAsia" w:ascii="Times New Roman" w:hAnsi="Times New Roman" w:cs="Times New Roman"/>
          <w:szCs w:val="20"/>
        </w:rPr>
        <w:t xml:space="preserve">. (C)ASR Prevalence EAPC of </w:t>
      </w:r>
      <w:r>
        <w:rPr>
          <w:rFonts w:hint="default" w:ascii="Times New Roman" w:hAnsi="Times New Roman" w:cs="Times New Roman"/>
          <w:lang w:val="en-US" w:bidi="ar"/>
        </w:rPr>
        <w:t>Autism Spectrum Disorders</w:t>
      </w:r>
      <w:r>
        <w:rPr>
          <w:rFonts w:hint="eastAsia" w:ascii="Times New Roman" w:hAnsi="Times New Roman" w:cs="Times New Roman"/>
          <w:szCs w:val="20"/>
        </w:rPr>
        <w:t xml:space="preserve">.(D)ASR YLDs EAPC of </w:t>
      </w:r>
      <w:r>
        <w:rPr>
          <w:rFonts w:hint="default" w:ascii="Times New Roman" w:hAnsi="Times New Roman" w:cs="Times New Roman"/>
          <w:lang w:val="en-US" w:bidi="ar"/>
        </w:rPr>
        <w:t>Autism Spectrum Disorders</w:t>
      </w:r>
      <w:r>
        <w:rPr>
          <w:rFonts w:ascii="Times New Roman" w:hAnsi="Times New Roman" w:cs="Times New Roman"/>
          <w:szCs w:val="20"/>
          <w:lang w:bidi="ar"/>
        </w:rPr>
        <w:t>.</w:t>
      </w:r>
      <w:r>
        <w:tab/>
      </w:r>
      <w:r>
        <w:fldChar w:fldCharType="begin"/>
      </w:r>
      <w:r>
        <w:instrText xml:space="preserve"> PAGEREF _Toc1605688200 \h </w:instrText>
      </w:r>
      <w:r>
        <w:fldChar w:fldCharType="separate"/>
      </w:r>
      <w:r>
        <w:t>24</w:t>
      </w:r>
      <w:r>
        <w:fldChar w:fldCharType="end"/>
      </w:r>
      <w:r>
        <w:rPr>
          <w:rFonts w:ascii="Times New Roman" w:hAnsi="Times New Roman" w:cs="Times New Roman"/>
          <w:szCs w:val="20"/>
        </w:rPr>
        <w:fldChar w:fldCharType="end"/>
      </w:r>
    </w:p>
    <w:p w14:paraId="5CB08FFD">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_Toc1522069198 </w:instrText>
      </w:r>
      <w:r>
        <w:rPr>
          <w:rFonts w:ascii="Times New Roman" w:hAnsi="Times New Roman" w:cs="Times New Roman"/>
          <w:szCs w:val="20"/>
        </w:rPr>
        <w:fldChar w:fldCharType="separate"/>
      </w:r>
      <w:r>
        <w:rPr>
          <w:rFonts w:ascii="Times New Roman" w:hAnsi="Times New Roman" w:cs="Times New Roman"/>
          <w:szCs w:val="20"/>
        </w:rPr>
        <w:t xml:space="preserve">Figure 10. </w:t>
      </w:r>
      <w:r>
        <w:rPr>
          <w:rFonts w:hint="eastAsia" w:ascii="Times New Roman" w:hAnsi="Times New Roman" w:cs="Times New Roman"/>
          <w:szCs w:val="20"/>
        </w:rPr>
        <w:t>Association Between Mental Disorders and SDI. (A)ASR Prevalence of Mental Disorders. (B)ASR YLDs of Mental Disorders</w:t>
      </w:r>
      <w:r>
        <w:rPr>
          <w:rFonts w:ascii="Times New Roman" w:hAnsi="Times New Roman" w:cs="Times New Roman"/>
          <w:szCs w:val="20"/>
          <w:lang w:bidi="ar"/>
        </w:rPr>
        <w:t>.</w:t>
      </w:r>
      <w:r>
        <w:tab/>
      </w:r>
      <w:r>
        <w:fldChar w:fldCharType="begin"/>
      </w:r>
      <w:r>
        <w:instrText xml:space="preserve"> PAGEREF _Toc1522069198 \h </w:instrText>
      </w:r>
      <w:r>
        <w:fldChar w:fldCharType="separate"/>
      </w:r>
      <w:r>
        <w:t>26</w:t>
      </w:r>
      <w:r>
        <w:fldChar w:fldCharType="end"/>
      </w:r>
      <w:r>
        <w:rPr>
          <w:rFonts w:ascii="Times New Roman" w:hAnsi="Times New Roman" w:cs="Times New Roman"/>
          <w:szCs w:val="20"/>
        </w:rPr>
        <w:fldChar w:fldCharType="end"/>
      </w:r>
    </w:p>
    <w:p w14:paraId="131A0609">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_Toc591807722 </w:instrText>
      </w:r>
      <w:r>
        <w:rPr>
          <w:rFonts w:ascii="Times New Roman" w:hAnsi="Times New Roman" w:cs="Times New Roman"/>
          <w:szCs w:val="20"/>
        </w:rPr>
        <w:fldChar w:fldCharType="separate"/>
      </w:r>
      <w:r>
        <w:rPr>
          <w:rFonts w:ascii="Times New Roman" w:hAnsi="Times New Roman" w:cs="Times New Roman"/>
          <w:szCs w:val="20"/>
        </w:rPr>
        <w:t xml:space="preserve">Figure 11. </w:t>
      </w:r>
      <w:r>
        <w:rPr>
          <w:rFonts w:hint="eastAsia" w:ascii="Times New Roman" w:hAnsi="Times New Roman" w:cs="Times New Roman"/>
          <w:szCs w:val="20"/>
        </w:rPr>
        <w:t xml:space="preserve">Association Between </w:t>
      </w:r>
      <w:r>
        <w:rPr>
          <w:rFonts w:hint="default" w:ascii="Times New Roman" w:hAnsi="Times New Roman" w:cs="Times New Roman"/>
          <w:lang w:val="en-US" w:bidi="ar"/>
        </w:rPr>
        <w:t>Developmental Intellcetual Disability</w:t>
      </w:r>
      <w:r>
        <w:rPr>
          <w:rFonts w:hint="eastAsia" w:ascii="Times New Roman" w:hAnsi="Times New Roman" w:cs="Times New Roman"/>
          <w:szCs w:val="20"/>
        </w:rPr>
        <w:t xml:space="preserve"> and SDI. (A)ASR Prevalence of </w:t>
      </w:r>
      <w:r>
        <w:rPr>
          <w:rFonts w:hint="default" w:ascii="Times New Roman" w:hAnsi="Times New Roman" w:cs="Times New Roman"/>
          <w:lang w:val="en-US" w:bidi="ar"/>
        </w:rPr>
        <w:t>Developmental Intellcetual Disability</w:t>
      </w:r>
      <w:r>
        <w:rPr>
          <w:rFonts w:hint="eastAsia" w:ascii="Times New Roman" w:hAnsi="Times New Roman" w:cs="Times New Roman"/>
          <w:szCs w:val="20"/>
        </w:rPr>
        <w:t xml:space="preserve">. (B)ASR YLDs of </w:t>
      </w:r>
      <w:r>
        <w:rPr>
          <w:rFonts w:hint="default" w:ascii="Times New Roman" w:hAnsi="Times New Roman" w:cs="Times New Roman"/>
          <w:lang w:val="en-US" w:bidi="ar"/>
        </w:rPr>
        <w:t>Developmental Intellcetual Disability</w:t>
      </w:r>
      <w:r>
        <w:rPr>
          <w:rFonts w:ascii="Times New Roman" w:hAnsi="Times New Roman" w:cs="Times New Roman"/>
          <w:szCs w:val="20"/>
          <w:lang w:bidi="ar"/>
        </w:rPr>
        <w:t>.</w:t>
      </w:r>
      <w:r>
        <w:tab/>
      </w:r>
      <w:r>
        <w:fldChar w:fldCharType="begin"/>
      </w:r>
      <w:r>
        <w:instrText xml:space="preserve"> PAGEREF _Toc591807722 \h </w:instrText>
      </w:r>
      <w:r>
        <w:fldChar w:fldCharType="separate"/>
      </w:r>
      <w:r>
        <w:t>27</w:t>
      </w:r>
      <w:r>
        <w:fldChar w:fldCharType="end"/>
      </w:r>
      <w:r>
        <w:rPr>
          <w:rFonts w:ascii="Times New Roman" w:hAnsi="Times New Roman" w:cs="Times New Roman"/>
          <w:szCs w:val="20"/>
        </w:rPr>
        <w:fldChar w:fldCharType="end"/>
      </w:r>
    </w:p>
    <w:p w14:paraId="03C5A348">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_Toc1515614397 </w:instrText>
      </w:r>
      <w:r>
        <w:rPr>
          <w:rFonts w:ascii="Times New Roman" w:hAnsi="Times New Roman" w:cs="Times New Roman"/>
          <w:szCs w:val="20"/>
        </w:rPr>
        <w:fldChar w:fldCharType="separate"/>
      </w:r>
      <w:r>
        <w:rPr>
          <w:rFonts w:ascii="Times New Roman" w:hAnsi="Times New Roman" w:cs="Times New Roman"/>
          <w:szCs w:val="20"/>
        </w:rPr>
        <w:t xml:space="preserve">Figure 12. </w:t>
      </w:r>
      <w:r>
        <w:rPr>
          <w:rFonts w:hint="eastAsia" w:ascii="Times New Roman" w:hAnsi="Times New Roman" w:cs="Times New Roman"/>
          <w:szCs w:val="20"/>
        </w:rPr>
        <w:t xml:space="preserve">Association Between </w:t>
      </w:r>
      <w:r>
        <w:rPr>
          <w:rFonts w:hint="default" w:ascii="Times New Roman" w:hAnsi="Times New Roman" w:cs="Times New Roman"/>
          <w:lang w:val="en-US" w:bidi="ar"/>
        </w:rPr>
        <w:t>Schizophrenia</w:t>
      </w:r>
      <w:r>
        <w:rPr>
          <w:rFonts w:hint="eastAsia" w:ascii="Times New Roman" w:hAnsi="Times New Roman" w:cs="Times New Roman"/>
          <w:szCs w:val="20"/>
        </w:rPr>
        <w:t xml:space="preserve"> and SDI. (A)ASR Prevalence of </w:t>
      </w:r>
      <w:r>
        <w:rPr>
          <w:rFonts w:hint="default" w:ascii="Times New Roman" w:hAnsi="Times New Roman" w:cs="Times New Roman"/>
          <w:lang w:val="en-US" w:bidi="ar"/>
        </w:rPr>
        <w:t>Schizophrenia</w:t>
      </w:r>
      <w:r>
        <w:rPr>
          <w:rFonts w:hint="eastAsia" w:ascii="Times New Roman" w:hAnsi="Times New Roman" w:cs="Times New Roman"/>
          <w:szCs w:val="20"/>
        </w:rPr>
        <w:t xml:space="preserve">. (B)ASR YLDs of </w:t>
      </w:r>
      <w:r>
        <w:rPr>
          <w:rFonts w:hint="default" w:ascii="Times New Roman" w:hAnsi="Times New Roman" w:cs="Times New Roman"/>
          <w:lang w:val="en-US" w:bidi="ar"/>
        </w:rPr>
        <w:t>Schizophrenia</w:t>
      </w:r>
      <w:r>
        <w:rPr>
          <w:rFonts w:ascii="Times New Roman" w:hAnsi="Times New Roman" w:cs="Times New Roman"/>
          <w:szCs w:val="20"/>
          <w:lang w:bidi="ar"/>
        </w:rPr>
        <w:t>.</w:t>
      </w:r>
      <w:r>
        <w:tab/>
      </w:r>
      <w:r>
        <w:fldChar w:fldCharType="begin"/>
      </w:r>
      <w:r>
        <w:instrText xml:space="preserve"> PAGEREF _Toc1515614397 \h </w:instrText>
      </w:r>
      <w:r>
        <w:fldChar w:fldCharType="separate"/>
      </w:r>
      <w:r>
        <w:t>28</w:t>
      </w:r>
      <w:r>
        <w:fldChar w:fldCharType="end"/>
      </w:r>
      <w:r>
        <w:rPr>
          <w:rFonts w:ascii="Times New Roman" w:hAnsi="Times New Roman" w:cs="Times New Roman"/>
          <w:szCs w:val="20"/>
        </w:rPr>
        <w:fldChar w:fldCharType="end"/>
      </w:r>
    </w:p>
    <w:p w14:paraId="4F69108E">
      <w:pPr>
        <w:pStyle w:val="15"/>
        <w:tabs>
          <w:tab w:val="right" w:leader="dot" w:pos="8306"/>
        </w:tabs>
      </w:pPr>
      <w:r>
        <w:rPr>
          <w:rFonts w:ascii="Times New Roman" w:hAnsi="Times New Roman" w:cs="Times New Roman"/>
          <w:szCs w:val="20"/>
        </w:rPr>
        <w:fldChar w:fldCharType="begin"/>
      </w:r>
      <w:r>
        <w:rPr>
          <w:rFonts w:ascii="Times New Roman" w:hAnsi="Times New Roman" w:cs="Times New Roman"/>
          <w:szCs w:val="20"/>
        </w:rPr>
        <w:instrText xml:space="preserve"> HYPERLINK \l _Toc1627633312 </w:instrText>
      </w:r>
      <w:r>
        <w:rPr>
          <w:rFonts w:ascii="Times New Roman" w:hAnsi="Times New Roman" w:cs="Times New Roman"/>
          <w:szCs w:val="20"/>
        </w:rPr>
        <w:fldChar w:fldCharType="separate"/>
      </w:r>
      <w:r>
        <w:rPr>
          <w:rFonts w:ascii="Times New Roman" w:hAnsi="Times New Roman" w:cs="Times New Roman"/>
          <w:szCs w:val="20"/>
        </w:rPr>
        <w:t xml:space="preserve">Figure 13. </w:t>
      </w:r>
      <w:r>
        <w:rPr>
          <w:rFonts w:hint="eastAsia" w:ascii="Times New Roman" w:hAnsi="Times New Roman" w:cs="Times New Roman"/>
          <w:szCs w:val="20"/>
        </w:rPr>
        <w:t xml:space="preserve">Association Between </w:t>
      </w:r>
      <w:r>
        <w:rPr>
          <w:rFonts w:hint="default" w:ascii="Times New Roman" w:hAnsi="Times New Roman" w:cs="Times New Roman"/>
          <w:lang w:val="en-US" w:bidi="ar"/>
        </w:rPr>
        <w:t>Autism Spectrum Disorders</w:t>
      </w:r>
      <w:r>
        <w:rPr>
          <w:rFonts w:hint="eastAsia" w:ascii="Times New Roman" w:hAnsi="Times New Roman" w:cs="Times New Roman"/>
          <w:szCs w:val="20"/>
        </w:rPr>
        <w:t xml:space="preserve"> and SDI. (A)ASR Prevalence of </w:t>
      </w:r>
      <w:r>
        <w:rPr>
          <w:rFonts w:hint="default" w:ascii="Times New Roman" w:hAnsi="Times New Roman" w:cs="Times New Roman"/>
          <w:lang w:val="en-US" w:bidi="ar"/>
        </w:rPr>
        <w:t>Autism Spectrum Disorders</w:t>
      </w:r>
      <w:r>
        <w:rPr>
          <w:rFonts w:hint="eastAsia" w:ascii="Times New Roman" w:hAnsi="Times New Roman" w:cs="Times New Roman"/>
          <w:szCs w:val="20"/>
        </w:rPr>
        <w:t xml:space="preserve">. (B)ASR YLDs of </w:t>
      </w:r>
      <w:r>
        <w:rPr>
          <w:rFonts w:hint="default" w:ascii="Times New Roman" w:hAnsi="Times New Roman" w:cs="Times New Roman"/>
          <w:lang w:val="en-US" w:bidi="ar"/>
        </w:rPr>
        <w:t>Autism Spectrum Disorders</w:t>
      </w:r>
      <w:r>
        <w:rPr>
          <w:rFonts w:ascii="Times New Roman" w:hAnsi="Times New Roman" w:cs="Times New Roman"/>
          <w:szCs w:val="20"/>
          <w:lang w:bidi="ar"/>
        </w:rPr>
        <w:t>.</w:t>
      </w:r>
      <w:r>
        <w:tab/>
      </w:r>
      <w:r>
        <w:fldChar w:fldCharType="begin"/>
      </w:r>
      <w:r>
        <w:instrText xml:space="preserve"> PAGEREF _Toc1627633312 \h </w:instrText>
      </w:r>
      <w:r>
        <w:fldChar w:fldCharType="separate"/>
      </w:r>
      <w:r>
        <w:t>29</w:t>
      </w:r>
      <w:r>
        <w:fldChar w:fldCharType="end"/>
      </w:r>
      <w:r>
        <w:rPr>
          <w:rFonts w:ascii="Times New Roman" w:hAnsi="Times New Roman" w:cs="Times New Roman"/>
          <w:szCs w:val="20"/>
        </w:rPr>
        <w:fldChar w:fldCharType="end"/>
      </w:r>
    </w:p>
    <w:p w14:paraId="63837937">
      <w:pPr>
        <w:rPr>
          <w:rFonts w:ascii="Times New Roman" w:hAnsi="Times New Roman" w:cs="Times New Roman"/>
        </w:rPr>
      </w:pPr>
      <w:r>
        <w:rPr>
          <w:rFonts w:ascii="Times New Roman" w:hAnsi="Times New Roman" w:cs="Times New Roman"/>
          <w:szCs w:val="20"/>
        </w:rPr>
        <w:fldChar w:fldCharType="end"/>
      </w:r>
    </w:p>
    <w:p w14:paraId="0E2F9156">
      <w:pPr>
        <w:rPr>
          <w:rFonts w:ascii="Times New Roman" w:hAnsi="Times New Roman" w:cs="Times New Roman"/>
        </w:rPr>
      </w:pPr>
    </w:p>
    <w:p w14:paraId="2FB44C26">
      <w:pPr>
        <w:rPr>
          <w:rFonts w:ascii="Times New Roman" w:hAnsi="Times New Roman" w:cs="Times New Roman"/>
        </w:rPr>
      </w:pPr>
    </w:p>
    <w:p w14:paraId="7229D8B0">
      <w:pPr>
        <w:rPr>
          <w:rFonts w:ascii="Times New Roman" w:hAnsi="Times New Roman" w:cs="Times New Roman"/>
        </w:rPr>
      </w:pPr>
      <w:bookmarkStart w:id="57" w:name="_GoBack"/>
      <w:bookmarkEnd w:id="57"/>
    </w:p>
    <w:p w14:paraId="3D6E9E84">
      <w:pPr>
        <w:rPr>
          <w:rFonts w:ascii="Times New Roman" w:hAnsi="Times New Roman" w:cs="Times New Roman"/>
        </w:rPr>
      </w:pPr>
    </w:p>
    <w:p w14:paraId="5B666B99">
      <w:pPr>
        <w:rPr>
          <w:rFonts w:ascii="Times New Roman" w:hAnsi="Times New Roman" w:cs="Times New Roman"/>
        </w:rPr>
      </w:pPr>
    </w:p>
    <w:p w14:paraId="6635A456">
      <w:pPr>
        <w:rPr>
          <w:rFonts w:ascii="Times New Roman" w:hAnsi="Times New Roman" w:cs="Times New Roman"/>
        </w:rPr>
      </w:pPr>
    </w:p>
    <w:p w14:paraId="1E949D25">
      <w:pPr>
        <w:rPr>
          <w:rFonts w:ascii="Times New Roman" w:hAnsi="Times New Roman" w:cs="Times New Roman"/>
        </w:rPr>
      </w:pPr>
    </w:p>
    <w:p w14:paraId="04C7C699">
      <w:pPr>
        <w:rPr>
          <w:rFonts w:ascii="Times New Roman" w:hAnsi="Times New Roman" w:cs="Times New Roman"/>
        </w:rPr>
      </w:pPr>
    </w:p>
    <w:p w14:paraId="7FA6D8C2">
      <w:pPr>
        <w:rPr>
          <w:rFonts w:ascii="Times New Roman" w:hAnsi="Times New Roman" w:cs="Times New Roman"/>
        </w:rPr>
      </w:pPr>
    </w:p>
    <w:p w14:paraId="512D2C20">
      <w:pPr>
        <w:rPr>
          <w:rFonts w:ascii="Times New Roman" w:hAnsi="Times New Roman" w:cs="Times New Roman"/>
        </w:rPr>
      </w:pPr>
    </w:p>
    <w:p w14:paraId="022E5F1F">
      <w:pPr>
        <w:rPr>
          <w:rFonts w:ascii="Times New Roman" w:hAnsi="Times New Roman" w:cs="Times New Roman"/>
        </w:rPr>
      </w:pPr>
    </w:p>
    <w:p w14:paraId="5C38CE67">
      <w:pPr>
        <w:rPr>
          <w:rFonts w:ascii="Times New Roman" w:hAnsi="Times New Roman" w:cs="Times New Roman"/>
        </w:rPr>
      </w:pPr>
    </w:p>
    <w:p w14:paraId="334A22BF">
      <w:pPr>
        <w:rPr>
          <w:rFonts w:ascii="Times New Roman" w:hAnsi="Times New Roman" w:cs="Times New Roman"/>
        </w:rPr>
      </w:pPr>
    </w:p>
    <w:p w14:paraId="28ADA72B">
      <w:pPr>
        <w:rPr>
          <w:rFonts w:ascii="Times New Roman" w:hAnsi="Times New Roman" w:cs="Times New Roman"/>
        </w:rPr>
      </w:pPr>
    </w:p>
    <w:p w14:paraId="0EBAC274">
      <w:pPr>
        <w:rPr>
          <w:rFonts w:ascii="Times New Roman" w:hAnsi="Times New Roman" w:cs="Times New Roman"/>
        </w:rPr>
      </w:pPr>
    </w:p>
    <w:p w14:paraId="540EAC22">
      <w:pPr>
        <w:rPr>
          <w:rFonts w:ascii="Times New Roman" w:hAnsi="Times New Roman" w:cs="Times New Roman"/>
        </w:rPr>
      </w:pPr>
    </w:p>
    <w:p w14:paraId="52C777B7">
      <w:pPr>
        <w:rPr>
          <w:rFonts w:ascii="Times New Roman" w:hAnsi="Times New Roman" w:cs="Times New Roman"/>
        </w:rPr>
      </w:pPr>
    </w:p>
    <w:p w14:paraId="321FF429">
      <w:pPr>
        <w:rPr>
          <w:rFonts w:ascii="Times New Roman" w:hAnsi="Times New Roman" w:cs="Times New Roman"/>
        </w:rPr>
      </w:pPr>
    </w:p>
    <w:p w14:paraId="3F05C1B0">
      <w:pPr>
        <w:rPr>
          <w:rFonts w:ascii="Times New Roman" w:hAnsi="Times New Roman" w:cs="Times New Roman"/>
        </w:rPr>
      </w:pPr>
    </w:p>
    <w:p w14:paraId="0C4DF4B8">
      <w:pPr>
        <w:rPr>
          <w:rFonts w:ascii="Times New Roman" w:hAnsi="Times New Roman" w:cs="Times New Roman"/>
        </w:rPr>
      </w:pPr>
    </w:p>
    <w:p w14:paraId="634D3819">
      <w:pPr>
        <w:rPr>
          <w:rFonts w:ascii="Times New Roman" w:hAnsi="Times New Roman" w:cs="Times New Roman"/>
        </w:rPr>
      </w:pPr>
    </w:p>
    <w:p w14:paraId="4B875A6A">
      <w:pPr>
        <w:rPr>
          <w:rFonts w:ascii="Times New Roman" w:hAnsi="Times New Roman" w:cs="Times New Roman"/>
        </w:rPr>
      </w:pPr>
    </w:p>
    <w:p w14:paraId="23ACEE29">
      <w:pPr>
        <w:rPr>
          <w:rFonts w:ascii="Times New Roman" w:hAnsi="Times New Roman" w:cs="Times New Roman"/>
        </w:rPr>
      </w:pPr>
    </w:p>
    <w:p w14:paraId="02DB8680">
      <w:pPr>
        <w:rPr>
          <w:rFonts w:ascii="Times New Roman" w:hAnsi="Times New Roman" w:cs="Times New Roman"/>
        </w:rPr>
      </w:pPr>
    </w:p>
    <w:p w14:paraId="7A046C2D">
      <w:pPr>
        <w:rPr>
          <w:rFonts w:ascii="Times New Roman" w:hAnsi="Times New Roman" w:cs="Times New Roman"/>
        </w:rPr>
      </w:pPr>
    </w:p>
    <w:p w14:paraId="2CD0DA56">
      <w:pPr>
        <w:rPr>
          <w:rFonts w:ascii="Times New Roman" w:hAnsi="Times New Roman" w:cs="Times New Roman"/>
        </w:rPr>
      </w:pPr>
    </w:p>
    <w:p w14:paraId="7C4D6BE7">
      <w:pPr>
        <w:pStyle w:val="2"/>
        <w:rPr>
          <w:rFonts w:ascii="Times New Roman" w:hAnsi="Times New Roman" w:cs="Times New Roman"/>
        </w:rPr>
      </w:pPr>
      <w:bookmarkStart w:id="1" w:name="_Toc63811547"/>
      <w:bookmarkStart w:id="2" w:name="_Hlk193538228"/>
      <w:r>
        <w:rPr>
          <w:rFonts w:ascii="Times New Roman" w:hAnsi="Times New Roman" w:cs="Times New Roman"/>
        </w:rPr>
        <w:t xml:space="preserve">STROBE Statement for the Study on </w:t>
      </w:r>
      <w:r>
        <w:rPr>
          <w:rFonts w:hint="eastAsia" w:ascii="Times New Roman" w:hAnsi="Times New Roman" w:cs="Times New Roman"/>
        </w:rPr>
        <w:t>Mental Disorders</w:t>
      </w:r>
      <w:r>
        <w:rPr>
          <w:rFonts w:hint="default" w:ascii="Times New Roman" w:hAnsi="Times New Roman" w:cs="Times New Roman"/>
          <w:lang w:val="en-US"/>
        </w:rPr>
        <w:t xml:space="preserve"> </w:t>
      </w:r>
      <w:r>
        <w:rPr>
          <w:rFonts w:ascii="Times New Roman" w:hAnsi="Times New Roman" w:cs="Times New Roman"/>
        </w:rPr>
        <w:t xml:space="preserve">Rehabilitation Needs in </w:t>
      </w:r>
      <w:r>
        <w:rPr>
          <w:rFonts w:hint="eastAsia" w:ascii="Times New Roman" w:hAnsi="Times New Roman" w:cs="Times New Roman"/>
        </w:rPr>
        <w:t>Global</w:t>
      </w:r>
      <w:r>
        <w:rPr>
          <w:rFonts w:ascii="Times New Roman" w:hAnsi="Times New Roman" w:cs="Times New Roman"/>
        </w:rPr>
        <w:t xml:space="preserve"> (1990–2021)</w:t>
      </w:r>
      <w:bookmarkEnd w:id="1"/>
    </w:p>
    <w:p w14:paraId="41316658">
      <w:pPr>
        <w:pStyle w:val="29"/>
        <w:numPr>
          <w:ilvl w:val="0"/>
          <w:numId w:val="1"/>
        </w:numPr>
        <w:spacing w:before="156" w:after="156"/>
        <w:rPr>
          <w:rFonts w:ascii="Times New Roman" w:hAnsi="Times New Roman" w:cs="Times New Roman"/>
          <w:b/>
          <w:bCs w:val="0"/>
          <w:szCs w:val="20"/>
        </w:rPr>
      </w:pPr>
      <w:bookmarkStart w:id="3" w:name="_Toc886330576"/>
      <w:r>
        <w:rPr>
          <w:rFonts w:ascii="Times New Roman" w:hAnsi="Times New Roman" w:cs="Times New Roman"/>
          <w:b/>
          <w:bCs w:val="0"/>
          <w:szCs w:val="20"/>
        </w:rPr>
        <w:t>Title and Abstract</w:t>
      </w:r>
      <w:bookmarkEnd w:id="3"/>
    </w:p>
    <w:p w14:paraId="1F300753">
      <w:pPr>
        <w:pStyle w:val="30"/>
        <w:spacing w:before="156" w:after="156"/>
        <w:rPr>
          <w:b/>
          <w:bCs/>
          <w:sz w:val="20"/>
          <w:szCs w:val="20"/>
        </w:rPr>
      </w:pPr>
      <w:bookmarkStart w:id="4" w:name="_Toc1611415240"/>
      <w:r>
        <w:rPr>
          <w:b/>
          <w:bCs/>
          <w:sz w:val="20"/>
          <w:szCs w:val="20"/>
        </w:rPr>
        <w:t>1.1 Title</w:t>
      </w:r>
      <w:bookmarkEnd w:id="4"/>
    </w:p>
    <w:p w14:paraId="05775B60">
      <w:pPr>
        <w:rPr>
          <w:rFonts w:ascii="Times New Roman" w:hAnsi="Times New Roman" w:cs="Times New Roman"/>
          <w:sz w:val="20"/>
          <w:szCs w:val="20"/>
        </w:rPr>
      </w:pPr>
      <w:r>
        <w:rPr>
          <w:rFonts w:hint="eastAsia" w:ascii="Times New Roman" w:hAnsi="Times New Roman" w:cs="Times New Roman"/>
          <w:sz w:val="20"/>
          <w:szCs w:val="20"/>
        </w:rPr>
        <w:t>Global Trends in Rehabilitation Needs for Mental Disorders in 204 Countries and Territories, 1990–2021: A Cross-sectional Analysis of the Global Burden of Disease Study 2021</w:t>
      </w:r>
    </w:p>
    <w:p w14:paraId="1095CE53">
      <w:pPr>
        <w:pStyle w:val="30"/>
        <w:spacing w:before="156" w:after="156"/>
        <w:rPr>
          <w:b/>
          <w:bCs/>
          <w:sz w:val="20"/>
          <w:szCs w:val="20"/>
        </w:rPr>
      </w:pPr>
      <w:bookmarkStart w:id="5" w:name="_Toc1139666363"/>
      <w:r>
        <w:rPr>
          <w:rFonts w:eastAsiaTheme="minorEastAsia"/>
          <w:b/>
          <w:bCs/>
          <w:sz w:val="20"/>
          <w:szCs w:val="20"/>
        </w:rPr>
        <w:t xml:space="preserve">1.2 </w:t>
      </w:r>
      <w:r>
        <w:rPr>
          <w:b/>
          <w:bCs/>
          <w:sz w:val="20"/>
          <w:szCs w:val="20"/>
        </w:rPr>
        <w:t>Abstract</w:t>
      </w:r>
      <w:bookmarkEnd w:id="5"/>
    </w:p>
    <w:p w14:paraId="2D7C5566">
      <w:pPr>
        <w:pStyle w:val="29"/>
        <w:numPr>
          <w:ilvl w:val="0"/>
          <w:numId w:val="0"/>
        </w:numPr>
        <w:spacing w:before="156" w:after="156"/>
        <w:ind w:leftChars="0"/>
        <w:outlineLvl w:val="9"/>
        <w:rPr>
          <w:rFonts w:hint="eastAsia" w:ascii="Times New Roman" w:hAnsi="Times New Roman" w:eastAsia="宋体" w:cs="Times New Roman"/>
          <w:b w:val="0"/>
          <w:bCs/>
          <w:szCs w:val="20"/>
          <w:lang w:val="en-US" w:eastAsia="zh-CN"/>
        </w:rPr>
      </w:pPr>
      <w:r>
        <w:rPr>
          <w:rFonts w:hint="eastAsia" w:ascii="Times New Roman" w:hAnsi="Times New Roman" w:eastAsia="宋体" w:cs="Times New Roman"/>
          <w:b w:val="0"/>
          <w:bCs/>
          <w:szCs w:val="20"/>
          <w:lang w:val="en-US" w:eastAsia="zh-CN"/>
        </w:rPr>
        <w:t>This study analyzes the global burden of mental disorders and rehabilitation needs based on the Global Burden of Disease Study 2021, focusing on prevalence, Years Lived with Disability (YLDs), and Estimated Annual Percentage Change (EAPC) across 204 countries and territories from 1990 to 2021. Major disorders examined include developmental intellectual disability, schizophrenia, and autism spectrum disorders, with correlations to Socio-Demographic Index (SDI) evaluated using Spearman analysis. Findings revealed a 34.8% increase in the absolute number of individuals requiring mental health rehabilitation globally, despite slight declines in age-standardized rates (-0.19% EAPC). Rehabilitation needs were particularly prominent among elderly women and young men, with the greatest burdens observed in low- and middle-income countries. SDI correlations highlighted disparities in resource distribution and regional improvements, with developmental intellectual disability showing strong negative associations with SDI, and schizophrenia and autism spectrum disorders exhibiting positive associations. These findings emphasize the need for targeted resource allocation, SDI-based strategies, and international collaboration to address inequities and meet rising rehabilitation demands worldwide.</w:t>
      </w:r>
    </w:p>
    <w:p w14:paraId="0599F059">
      <w:pPr>
        <w:pStyle w:val="29"/>
        <w:numPr>
          <w:ilvl w:val="0"/>
          <w:numId w:val="1"/>
        </w:numPr>
        <w:spacing w:before="156" w:after="156"/>
        <w:ind w:left="360" w:leftChars="0" w:hanging="360" w:firstLineChars="0"/>
        <w:rPr>
          <w:rFonts w:hint="eastAsia" w:ascii="Times New Roman" w:hAnsi="Times New Roman" w:eastAsia="宋体" w:cs="Times New Roman"/>
          <w:b w:val="0"/>
          <w:bCs/>
          <w:szCs w:val="20"/>
          <w:lang w:val="en-US" w:eastAsia="zh-CN"/>
        </w:rPr>
      </w:pPr>
      <w:bookmarkStart w:id="6" w:name="_Toc965915348"/>
      <w:r>
        <w:rPr>
          <w:rFonts w:hint="default" w:ascii="Times New Roman" w:hAnsi="Times New Roman" w:cs="Times New Roman"/>
          <w:b/>
          <w:bCs w:val="0"/>
          <w:szCs w:val="20"/>
          <w:lang w:val="en-US"/>
        </w:rPr>
        <w:t>Introduction</w:t>
      </w:r>
      <w:bookmarkEnd w:id="6"/>
    </w:p>
    <w:p w14:paraId="0752F285">
      <w:pPr>
        <w:pStyle w:val="30"/>
        <w:spacing w:before="156" w:after="156"/>
        <w:rPr>
          <w:rFonts w:eastAsiaTheme="minorEastAsia"/>
          <w:b/>
          <w:bCs/>
          <w:sz w:val="20"/>
          <w:szCs w:val="20"/>
        </w:rPr>
      </w:pPr>
      <w:bookmarkStart w:id="7" w:name="_Toc1310366163"/>
      <w:r>
        <w:rPr>
          <w:rFonts w:eastAsiaTheme="minorEastAsia"/>
          <w:b/>
          <w:bCs/>
          <w:sz w:val="20"/>
          <w:szCs w:val="20"/>
        </w:rPr>
        <w:t xml:space="preserve">2.1 </w:t>
      </w:r>
      <w:r>
        <w:rPr>
          <w:b/>
          <w:bCs/>
          <w:sz w:val="20"/>
          <w:szCs w:val="20"/>
        </w:rPr>
        <w:t>Background</w:t>
      </w:r>
      <w:bookmarkEnd w:id="7"/>
    </w:p>
    <w:p w14:paraId="7D69378C">
      <w:pPr>
        <w:rPr>
          <w:rFonts w:ascii="Times New Roman" w:hAnsi="Times New Roman" w:cs="Times New Roman"/>
          <w:sz w:val="20"/>
          <w:szCs w:val="20"/>
        </w:rPr>
      </w:pPr>
      <w:r>
        <w:rPr>
          <w:rFonts w:hint="eastAsia" w:ascii="Times New Roman" w:hAnsi="Times New Roman" w:cs="Times New Roman"/>
          <w:sz w:val="20"/>
          <w:szCs w:val="20"/>
        </w:rPr>
        <w:t>The prevalence of mental disorders has been steadily rising due to aging populations, rapid urbanization, and social structural changes, posing significant public health challenges globally. Despite advances in pharmacological treatments, limited social functionality, high relapse risk, and adaptation difficulties persist in patients with mental disorders, emphasizing the critical need for rehabilitation services.</w:t>
      </w:r>
    </w:p>
    <w:p w14:paraId="142E843B">
      <w:pPr>
        <w:pStyle w:val="30"/>
        <w:spacing w:before="156" w:after="156"/>
        <w:rPr>
          <w:b/>
          <w:bCs/>
          <w:sz w:val="20"/>
          <w:szCs w:val="20"/>
        </w:rPr>
      </w:pPr>
      <w:bookmarkStart w:id="8" w:name="_Toc879301556"/>
      <w:r>
        <w:rPr>
          <w:rFonts w:eastAsiaTheme="minorEastAsia"/>
          <w:b/>
          <w:bCs/>
          <w:sz w:val="20"/>
          <w:szCs w:val="20"/>
        </w:rPr>
        <w:t xml:space="preserve">2.2 </w:t>
      </w:r>
      <w:r>
        <w:rPr>
          <w:b/>
          <w:bCs/>
          <w:sz w:val="20"/>
          <w:szCs w:val="20"/>
        </w:rPr>
        <w:t>Objectives</w:t>
      </w:r>
      <w:bookmarkEnd w:id="8"/>
    </w:p>
    <w:p w14:paraId="2E33728A">
      <w:pPr>
        <w:rPr>
          <w:rFonts w:ascii="Times New Roman" w:hAnsi="Times New Roman" w:cs="Times New Roman"/>
          <w:sz w:val="20"/>
          <w:szCs w:val="20"/>
        </w:rPr>
      </w:pPr>
      <w:r>
        <w:rPr>
          <w:rFonts w:hint="eastAsia" w:ascii="Times New Roman" w:hAnsi="Times New Roman" w:cs="Times New Roman"/>
          <w:sz w:val="20"/>
          <w:szCs w:val="20"/>
        </w:rPr>
        <w:t>This study analyzes the global burden of mental disorders and associated rehabilitation needs</w:t>
      </w:r>
      <w:r>
        <w:rPr>
          <w:rFonts w:ascii="Times New Roman" w:hAnsi="Times New Roman" w:cs="Times New Roman"/>
          <w:sz w:val="20"/>
          <w:szCs w:val="20"/>
        </w:rPr>
        <w:t xml:space="preserve"> from 1990 to 2021, analyze trends in prevalence and years lived with disability (YLD), and identify the primary drivers of these needs.</w:t>
      </w:r>
    </w:p>
    <w:p w14:paraId="50B483A0">
      <w:pPr>
        <w:pStyle w:val="29"/>
        <w:numPr>
          <w:ilvl w:val="0"/>
          <w:numId w:val="1"/>
        </w:numPr>
        <w:spacing w:before="156" w:after="156"/>
        <w:rPr>
          <w:rFonts w:ascii="Times New Roman" w:hAnsi="Times New Roman" w:cs="Times New Roman"/>
          <w:b/>
          <w:bCs w:val="0"/>
          <w:szCs w:val="20"/>
        </w:rPr>
      </w:pPr>
      <w:bookmarkStart w:id="9" w:name="_Toc1586276685"/>
      <w:r>
        <w:rPr>
          <w:rFonts w:ascii="Times New Roman" w:hAnsi="Times New Roman" w:cs="Times New Roman"/>
          <w:b/>
          <w:bCs w:val="0"/>
          <w:szCs w:val="20"/>
        </w:rPr>
        <w:t>Methods</w:t>
      </w:r>
      <w:bookmarkEnd w:id="9"/>
    </w:p>
    <w:p w14:paraId="382A753B">
      <w:pPr>
        <w:pStyle w:val="30"/>
        <w:spacing w:before="156" w:after="156"/>
        <w:rPr>
          <w:rFonts w:eastAsiaTheme="minorEastAsia"/>
          <w:b/>
          <w:bCs/>
          <w:sz w:val="20"/>
          <w:szCs w:val="20"/>
        </w:rPr>
      </w:pPr>
      <w:bookmarkStart w:id="10" w:name="_Toc1690250937"/>
      <w:r>
        <w:rPr>
          <w:rFonts w:eastAsiaTheme="minorEastAsia"/>
          <w:b/>
          <w:bCs/>
          <w:sz w:val="20"/>
          <w:szCs w:val="20"/>
        </w:rPr>
        <w:t xml:space="preserve">3.1 </w:t>
      </w:r>
      <w:r>
        <w:rPr>
          <w:b/>
          <w:bCs/>
          <w:sz w:val="20"/>
          <w:szCs w:val="20"/>
        </w:rPr>
        <w:t>Study Design</w:t>
      </w:r>
      <w:bookmarkEnd w:id="10"/>
    </w:p>
    <w:p w14:paraId="37B30999">
      <w:pPr>
        <w:rPr>
          <w:rFonts w:ascii="Times New Roman" w:hAnsi="Times New Roman" w:cs="Times New Roman"/>
          <w:sz w:val="20"/>
          <w:szCs w:val="20"/>
        </w:rPr>
      </w:pPr>
      <w:r>
        <w:rPr>
          <w:rFonts w:ascii="Times New Roman" w:hAnsi="Times New Roman" w:cs="Times New Roman"/>
          <w:sz w:val="20"/>
          <w:szCs w:val="20"/>
        </w:rPr>
        <w:t>Observational study using modeled estimates from the GBD 2021 data.</w:t>
      </w:r>
    </w:p>
    <w:p w14:paraId="1C33C63A">
      <w:pPr>
        <w:pStyle w:val="30"/>
        <w:spacing w:before="156" w:after="156"/>
        <w:rPr>
          <w:b/>
          <w:bCs/>
          <w:sz w:val="20"/>
          <w:szCs w:val="20"/>
        </w:rPr>
      </w:pPr>
      <w:bookmarkStart w:id="11" w:name="_Toc1133815643"/>
      <w:r>
        <w:rPr>
          <w:rFonts w:eastAsiaTheme="minorEastAsia"/>
          <w:b/>
          <w:bCs/>
          <w:sz w:val="20"/>
          <w:szCs w:val="20"/>
        </w:rPr>
        <w:t xml:space="preserve">3.2 </w:t>
      </w:r>
      <w:r>
        <w:rPr>
          <w:b/>
          <w:bCs/>
          <w:sz w:val="20"/>
          <w:szCs w:val="20"/>
        </w:rPr>
        <w:t>Setting and Participants</w:t>
      </w:r>
      <w:bookmarkEnd w:id="11"/>
    </w:p>
    <w:p w14:paraId="7D63F4DD">
      <w:pPr>
        <w:rPr>
          <w:rFonts w:ascii="Times New Roman" w:hAnsi="Times New Roman" w:cs="Times New Roman"/>
          <w:sz w:val="20"/>
          <w:szCs w:val="20"/>
        </w:rPr>
      </w:pPr>
      <w:r>
        <w:rPr>
          <w:rFonts w:hint="eastAsia" w:ascii="Times New Roman" w:hAnsi="Times New Roman" w:cs="Times New Roman"/>
          <w:sz w:val="20"/>
          <w:szCs w:val="20"/>
        </w:rPr>
        <w:t>This study was conducted based on data from the Global Burden of Disease (GBD) 2021 study, which systematically assessed 371 diseases and injuries across 204 countries and territories, including seven super-regions and 811 subnational locations. Participants in this analysis encompassed all age groups and genders globally, with major mental disorders evaluated including developmental intellectual disability, schizophrenia, autism spectrum disorders, and other mental illnesses, excluding substance use disorders. Data were extracted to analyze age-standardized prevalence rates, Years Lived with Disability (YLDs), and Estimated Annual Percentage Change (EAPC) to identify trends and disparities across diverse socio-demographic and geographic contexts.</w:t>
      </w:r>
    </w:p>
    <w:p w14:paraId="4FE025AF">
      <w:pPr>
        <w:pStyle w:val="30"/>
        <w:spacing w:before="156" w:after="156"/>
        <w:rPr>
          <w:b/>
          <w:bCs/>
          <w:sz w:val="20"/>
          <w:szCs w:val="20"/>
        </w:rPr>
      </w:pPr>
      <w:bookmarkStart w:id="12" w:name="_Toc1417112070"/>
      <w:r>
        <w:rPr>
          <w:rFonts w:eastAsiaTheme="minorEastAsia"/>
          <w:b/>
          <w:bCs/>
          <w:sz w:val="20"/>
          <w:szCs w:val="20"/>
        </w:rPr>
        <w:t xml:space="preserve">3.3 </w:t>
      </w:r>
      <w:r>
        <w:rPr>
          <w:b/>
          <w:bCs/>
          <w:sz w:val="20"/>
          <w:szCs w:val="20"/>
        </w:rPr>
        <w:t>Variables</w:t>
      </w:r>
      <w:bookmarkEnd w:id="12"/>
    </w:p>
    <w:p w14:paraId="3AF97F23">
      <w:pPr>
        <w:rPr>
          <w:rFonts w:ascii="Times New Roman" w:hAnsi="Times New Roman" w:cs="Times New Roman"/>
          <w:sz w:val="20"/>
          <w:szCs w:val="20"/>
        </w:rPr>
      </w:pPr>
      <w:r>
        <w:rPr>
          <w:rFonts w:hint="eastAsia" w:ascii="Times New Roman" w:hAnsi="Times New Roman" w:cs="Times New Roman"/>
          <w:sz w:val="20"/>
          <w:szCs w:val="20"/>
        </w:rPr>
        <w:t>The study focused on multiple variables related to the burden of mental disorders, including age-standardized prevalence rates (ASR), Years Lived with Disability (YLDs), and Estimated Annual Percentage Change (EAPC). Rehabilitation needs were assessed for major mental disorders, including developmental intellectual disability, schizophrenia, and autism spectrum disorders, with comparisons across socio-demographic groups and global regions. Correlations with the Socio-Demographic Index (SDI) were also analyzed to evaluate disparities in burden and improvement rates.</w:t>
      </w:r>
    </w:p>
    <w:p w14:paraId="65128ED4">
      <w:pPr>
        <w:pStyle w:val="30"/>
        <w:spacing w:before="156" w:after="156"/>
        <w:rPr>
          <w:b/>
          <w:bCs/>
          <w:sz w:val="20"/>
          <w:szCs w:val="20"/>
        </w:rPr>
      </w:pPr>
      <w:bookmarkStart w:id="13" w:name="_Toc1808915260"/>
      <w:r>
        <w:rPr>
          <w:rFonts w:eastAsiaTheme="minorEastAsia"/>
          <w:b/>
          <w:bCs/>
          <w:sz w:val="20"/>
          <w:szCs w:val="20"/>
        </w:rPr>
        <w:t xml:space="preserve">3.4 </w:t>
      </w:r>
      <w:r>
        <w:rPr>
          <w:b/>
          <w:bCs/>
          <w:sz w:val="20"/>
          <w:szCs w:val="20"/>
        </w:rPr>
        <w:t>Data Sources</w:t>
      </w:r>
      <w:bookmarkEnd w:id="13"/>
    </w:p>
    <w:p w14:paraId="2AFC9B39">
      <w:pPr>
        <w:rPr>
          <w:rFonts w:ascii="Times New Roman" w:hAnsi="Times New Roman" w:cs="Times New Roman"/>
          <w:sz w:val="20"/>
          <w:szCs w:val="20"/>
        </w:rPr>
      </w:pPr>
      <w:r>
        <w:rPr>
          <w:rFonts w:hint="eastAsia" w:ascii="Times New Roman" w:hAnsi="Times New Roman" w:cs="Times New Roman"/>
          <w:sz w:val="20"/>
          <w:szCs w:val="20"/>
        </w:rPr>
        <w:t>Data were extracted from the Global Burden of Disease (GBD) Study 2021, which comprehensively assessed 371 diseases and injuries across 204 countries and territories. This study utilized the standardized methodology of the GBD project for estimating disease prevalence, disability weights, and measures of health loss. Additional statistical data were obtained to construct 95% uncertainty intervals (UI) through random sampling procedures.</w:t>
      </w:r>
    </w:p>
    <w:p w14:paraId="66FD5A01">
      <w:pPr>
        <w:pStyle w:val="30"/>
        <w:spacing w:before="156" w:after="156"/>
        <w:rPr>
          <w:b/>
          <w:bCs/>
          <w:sz w:val="20"/>
          <w:szCs w:val="20"/>
        </w:rPr>
      </w:pPr>
      <w:bookmarkStart w:id="14" w:name="_Toc512784241"/>
      <w:r>
        <w:rPr>
          <w:rFonts w:eastAsiaTheme="minorEastAsia"/>
          <w:b/>
          <w:bCs/>
          <w:sz w:val="20"/>
          <w:szCs w:val="20"/>
        </w:rPr>
        <w:t xml:space="preserve">3.5 </w:t>
      </w:r>
      <w:r>
        <w:rPr>
          <w:b/>
          <w:bCs/>
          <w:sz w:val="20"/>
          <w:szCs w:val="20"/>
        </w:rPr>
        <w:t>Statistical Methods</w:t>
      </w:r>
      <w:bookmarkEnd w:id="14"/>
    </w:p>
    <w:p w14:paraId="320C8208">
      <w:pPr>
        <w:rPr>
          <w:rFonts w:ascii="Times New Roman" w:hAnsi="Times New Roman" w:cs="Times New Roman"/>
          <w:sz w:val="20"/>
          <w:szCs w:val="20"/>
        </w:rPr>
      </w:pPr>
      <w:r>
        <w:rPr>
          <w:rFonts w:ascii="Times New Roman" w:hAnsi="Times New Roman" w:cs="Times New Roman"/>
          <w:sz w:val="20"/>
          <w:szCs w:val="20"/>
          <w:lang w:val="en-US" w:eastAsia="zh-CN"/>
        </w:rPr>
        <w:t>Age-standardized prevalence rates (ASR) and YLDs were calculated to ensure comparability across populations</w:t>
      </w:r>
      <w:r>
        <w:rPr>
          <w:rFonts w:hint="default" w:ascii="Times New Roman" w:hAnsi="Times New Roman" w:cs="Times New Roman"/>
          <w:sz w:val="20"/>
          <w:szCs w:val="20"/>
          <w:lang w:val="en-US" w:eastAsia="zh-CN"/>
        </w:rPr>
        <w:t xml:space="preserve"> </w:t>
      </w:r>
      <w:r>
        <w:rPr>
          <w:rFonts w:ascii="Times New Roman" w:hAnsi="Times New Roman" w:cs="Times New Roman"/>
          <w:sz w:val="20"/>
          <w:szCs w:val="20"/>
          <w:lang w:val="en-US" w:eastAsia="zh-CN"/>
        </w:rPr>
        <w:t>using an establishe</w:t>
      </w:r>
      <w:r>
        <w:rPr>
          <w:rFonts w:hint="default" w:ascii="Times New Roman" w:hAnsi="Times New Roman" w:cs="Times New Roman"/>
          <w:sz w:val="20"/>
          <w:szCs w:val="20"/>
          <w:lang w:val="en-US" w:eastAsia="zh-CN"/>
        </w:rPr>
        <w:t>d f</w:t>
      </w:r>
      <w:r>
        <w:rPr>
          <w:rFonts w:ascii="Times New Roman" w:hAnsi="Times New Roman" w:cs="Times New Roman"/>
          <w:sz w:val="20"/>
          <w:szCs w:val="20"/>
          <w:lang w:val="en-US" w:eastAsia="zh-CN"/>
        </w:rPr>
        <w:t>ormula:A</w:t>
      </w:r>
      <w:r>
        <w:rPr>
          <w:rFonts w:hint="default" w:ascii="Times New Roman" w:hAnsi="Times New Roman" w:cs="Times New Roman"/>
          <w:sz w:val="20"/>
          <w:szCs w:val="20"/>
          <w:lang w:val="en-US" w:eastAsia="zh-CN"/>
        </w:rPr>
        <w:t>SR=∑(αi⋅wi)/A,where αi represents age-specific rates,wi denotes the standard population weight for the i-th age group, and A indicates the total number of age groups. EAPC trends were assessed through linear regression models,using y=α+βx+ϵy=α+βx+ϵ, where y=ln(ASR) and x=calendar year. EAPC was calculated as 100×[exp⁡(β)−1], with 95% confidence intervals (CI) provided to interpret trends. Spearman correlation analysis was performed to evaluate the strength of associations between SDI and rehabilitation needs for mental disorders. All data analyses and visualizations were conducted using Microsoft Excel (version 2019) and R (version 4.2.1).</w:t>
      </w:r>
    </w:p>
    <w:p w14:paraId="13FE3635">
      <w:pPr>
        <w:rPr>
          <w:rFonts w:ascii="Times New Roman" w:hAnsi="Times New Roman" w:cs="Times New Roman"/>
          <w:sz w:val="20"/>
          <w:szCs w:val="20"/>
        </w:rPr>
      </w:pPr>
    </w:p>
    <w:p w14:paraId="1A7244E8">
      <w:pPr>
        <w:pStyle w:val="29"/>
        <w:numPr>
          <w:ilvl w:val="0"/>
          <w:numId w:val="1"/>
        </w:numPr>
        <w:spacing w:before="156" w:after="156"/>
        <w:rPr>
          <w:rFonts w:ascii="Times New Roman" w:hAnsi="Times New Roman" w:cs="Times New Roman"/>
          <w:b/>
          <w:bCs w:val="0"/>
          <w:szCs w:val="20"/>
        </w:rPr>
      </w:pPr>
      <w:bookmarkStart w:id="15" w:name="_Toc512863076"/>
      <w:r>
        <w:rPr>
          <w:rFonts w:ascii="Times New Roman" w:hAnsi="Times New Roman" w:cs="Times New Roman"/>
          <w:b/>
          <w:bCs w:val="0"/>
          <w:szCs w:val="20"/>
        </w:rPr>
        <w:t>Results</w:t>
      </w:r>
      <w:bookmarkEnd w:id="15"/>
    </w:p>
    <w:p w14:paraId="2CCA2DDB">
      <w:pPr>
        <w:pStyle w:val="30"/>
        <w:spacing w:before="156" w:after="156"/>
        <w:rPr>
          <w:b/>
          <w:bCs/>
          <w:sz w:val="20"/>
          <w:szCs w:val="20"/>
        </w:rPr>
      </w:pPr>
      <w:bookmarkStart w:id="16" w:name="_Toc1837842921"/>
      <w:r>
        <w:rPr>
          <w:rFonts w:eastAsiaTheme="minorEastAsia"/>
          <w:b/>
          <w:bCs/>
          <w:sz w:val="20"/>
          <w:szCs w:val="20"/>
        </w:rPr>
        <w:t xml:space="preserve">4.1 </w:t>
      </w:r>
      <w:r>
        <w:rPr>
          <w:b/>
          <w:bCs/>
          <w:sz w:val="20"/>
          <w:szCs w:val="20"/>
        </w:rPr>
        <w:t>Participants</w:t>
      </w:r>
      <w:bookmarkEnd w:id="16"/>
    </w:p>
    <w:p w14:paraId="1BE00E52">
      <w:pPr>
        <w:rPr>
          <w:rFonts w:ascii="Times New Roman" w:hAnsi="Times New Roman" w:cs="Times New Roman"/>
          <w:sz w:val="20"/>
          <w:szCs w:val="20"/>
        </w:rPr>
      </w:pPr>
      <w:r>
        <w:rPr>
          <w:rFonts w:hint="eastAsia" w:ascii="Times New Roman" w:hAnsi="Times New Roman" w:cs="Times New Roman"/>
          <w:sz w:val="20"/>
          <w:szCs w:val="20"/>
        </w:rPr>
        <w:t>The study analyzed data from the Global Burden of Disease (GBD) Study 2021, encompassing participants from 204 countries and territories across all age groups and genders. Major mental disorders assessed included developmental intellectual disability, schizophrenia, autism spectrum disorders, among others, excluding substance use disorders.</w:t>
      </w:r>
    </w:p>
    <w:p w14:paraId="69C95B66">
      <w:pPr>
        <w:pStyle w:val="30"/>
        <w:spacing w:before="156" w:after="156"/>
        <w:rPr>
          <w:b/>
          <w:bCs/>
          <w:sz w:val="20"/>
          <w:szCs w:val="20"/>
        </w:rPr>
      </w:pPr>
      <w:bookmarkStart w:id="17" w:name="_Toc1368678446"/>
      <w:r>
        <w:rPr>
          <w:rFonts w:eastAsiaTheme="minorEastAsia"/>
          <w:b/>
          <w:bCs/>
          <w:sz w:val="20"/>
          <w:szCs w:val="20"/>
        </w:rPr>
        <w:t>4.</w:t>
      </w:r>
      <w:r>
        <w:rPr>
          <w:rFonts w:hint="eastAsia" w:eastAsiaTheme="minorEastAsia"/>
          <w:b/>
          <w:bCs/>
          <w:sz w:val="20"/>
          <w:szCs w:val="20"/>
          <w:lang w:val="en-US" w:eastAsia="zh-CN"/>
        </w:rPr>
        <w:t>2</w:t>
      </w:r>
      <w:r>
        <w:rPr>
          <w:rFonts w:eastAsiaTheme="minorEastAsia"/>
          <w:b/>
          <w:bCs/>
          <w:sz w:val="20"/>
          <w:szCs w:val="20"/>
        </w:rPr>
        <w:t xml:space="preserve"> </w:t>
      </w:r>
      <w:r>
        <w:rPr>
          <w:b/>
          <w:bCs/>
          <w:sz w:val="20"/>
          <w:szCs w:val="20"/>
        </w:rPr>
        <w:t>Descriptive Data</w:t>
      </w:r>
      <w:bookmarkEnd w:id="17"/>
    </w:p>
    <w:p w14:paraId="6AF686F9">
      <w:pPr>
        <w:rPr>
          <w:rFonts w:ascii="Times New Roman" w:hAnsi="Times New Roman" w:cs="Times New Roman"/>
          <w:sz w:val="20"/>
          <w:szCs w:val="20"/>
        </w:rPr>
      </w:pPr>
      <w:r>
        <w:rPr>
          <w:rFonts w:hint="eastAsia" w:ascii="Times New Roman" w:hAnsi="Times New Roman" w:cs="Times New Roman"/>
          <w:sz w:val="20"/>
          <w:szCs w:val="20"/>
        </w:rPr>
        <w:t>The global prevalence of mental disorders increased from 166.18 million (95% UI, 130.93–201.49) in 1990 to 224.02 million (95% UI, 183.52–265.15) in 2021. The age-standardized prevalence rate (ASR) decreased from 3028.75 per 100,000 (95% UI, 2406.38–3656.49) in 1990 to 2869.83 per 100,000 (95% UI, 2340.49–3405.24) in 2021, while YLDs rose from 24.44 million (95% UI, 19.22–29.64) in 1990 to 36.58 million (95% UI, 29.10–44.15) by 2021.</w:t>
      </w:r>
    </w:p>
    <w:p w14:paraId="634DFF87">
      <w:pPr>
        <w:pStyle w:val="30"/>
        <w:spacing w:before="156" w:after="156"/>
        <w:rPr>
          <w:b/>
          <w:bCs/>
          <w:sz w:val="20"/>
          <w:szCs w:val="20"/>
        </w:rPr>
      </w:pPr>
      <w:bookmarkStart w:id="18" w:name="_Toc1681298905"/>
      <w:r>
        <w:rPr>
          <w:rFonts w:eastAsiaTheme="minorEastAsia"/>
          <w:b/>
          <w:bCs/>
          <w:sz w:val="20"/>
          <w:szCs w:val="20"/>
        </w:rPr>
        <w:t xml:space="preserve">4.3 </w:t>
      </w:r>
      <w:r>
        <w:rPr>
          <w:b/>
          <w:bCs/>
          <w:sz w:val="20"/>
          <w:szCs w:val="20"/>
        </w:rPr>
        <w:t>Outcome Data</w:t>
      </w:r>
      <w:bookmarkEnd w:id="18"/>
    </w:p>
    <w:p w14:paraId="687DA9F6">
      <w:pPr>
        <w:rPr>
          <w:rFonts w:ascii="Times New Roman" w:hAnsi="Times New Roman" w:cs="Times New Roman"/>
          <w:sz w:val="20"/>
          <w:szCs w:val="20"/>
        </w:rPr>
      </w:pPr>
      <w:r>
        <w:rPr>
          <w:rFonts w:hint="eastAsia" w:ascii="Times New Roman" w:hAnsi="Times New Roman" w:cs="Times New Roman"/>
          <w:sz w:val="20"/>
          <w:szCs w:val="20"/>
        </w:rPr>
        <w:t>Analysis revealed a significant increase in rehabilitation needs, with a 34.8% rise in the number of people requiring services for mental health conditions globally. The Estimated Annual Percentage Change (EAPC) for ASR was -0.19% (95% UI, -0.22 to -0.16), indicating a slight decline in relative prevalence. Contrastingly, developmental intellectual disability demonstrated a strong negative correlation with Socio-Demographic Index (SDI), while schizophrenia and autism spectrum disorders showed positive correlations, highlighting disparities in rehabilitation demands.</w:t>
      </w:r>
    </w:p>
    <w:p w14:paraId="4250B722">
      <w:pPr>
        <w:pStyle w:val="30"/>
        <w:spacing w:before="156" w:after="156"/>
        <w:rPr>
          <w:b/>
          <w:bCs/>
          <w:sz w:val="20"/>
          <w:szCs w:val="20"/>
        </w:rPr>
      </w:pPr>
      <w:bookmarkStart w:id="19" w:name="_Toc1000869109"/>
      <w:r>
        <w:rPr>
          <w:rFonts w:eastAsiaTheme="minorEastAsia"/>
          <w:b/>
          <w:bCs/>
          <w:sz w:val="20"/>
          <w:szCs w:val="20"/>
        </w:rPr>
        <w:t xml:space="preserve">4.4 </w:t>
      </w:r>
      <w:r>
        <w:rPr>
          <w:b/>
          <w:bCs/>
          <w:sz w:val="20"/>
          <w:szCs w:val="20"/>
        </w:rPr>
        <w:t>Other Analyses</w:t>
      </w:r>
      <w:bookmarkEnd w:id="19"/>
    </w:p>
    <w:p w14:paraId="5F35E99A">
      <w:pPr>
        <w:rPr>
          <w:rFonts w:ascii="Times New Roman" w:hAnsi="Times New Roman" w:cs="Times New Roman"/>
          <w:sz w:val="20"/>
          <w:szCs w:val="20"/>
        </w:rPr>
      </w:pPr>
      <w:r>
        <w:rPr>
          <w:rFonts w:hint="eastAsia" w:ascii="Times New Roman" w:hAnsi="Times New Roman" w:cs="Times New Roman"/>
          <w:sz w:val="20"/>
          <w:szCs w:val="20"/>
        </w:rPr>
        <w:t>Further examination of data highlighted the disparity in resource allocation and access to rehabilitation services, particularly among elderly women and young men, with pronounced needs in low- and middle-income countries. Spearman correlation analysis confirmed varied associations between SDI and mental health rehabilitation needs, emphasizing the socio-economic impacts on mental disorder structures. This study underscores the importance of targeted policies and interventions to address these inequities.</w:t>
      </w:r>
    </w:p>
    <w:p w14:paraId="4BD4A46A">
      <w:pPr>
        <w:pStyle w:val="29"/>
        <w:numPr>
          <w:ilvl w:val="0"/>
          <w:numId w:val="1"/>
        </w:numPr>
        <w:spacing w:before="156" w:after="156"/>
        <w:rPr>
          <w:rFonts w:ascii="Times New Roman" w:hAnsi="Times New Roman" w:cs="Times New Roman"/>
          <w:b/>
          <w:bCs w:val="0"/>
          <w:szCs w:val="20"/>
        </w:rPr>
      </w:pPr>
      <w:bookmarkStart w:id="20" w:name="_Toc367708012"/>
      <w:r>
        <w:rPr>
          <w:rFonts w:ascii="Times New Roman" w:hAnsi="Times New Roman" w:cs="Times New Roman"/>
          <w:b/>
          <w:bCs w:val="0"/>
          <w:szCs w:val="20"/>
        </w:rPr>
        <w:t>Discussion</w:t>
      </w:r>
      <w:bookmarkEnd w:id="20"/>
    </w:p>
    <w:p w14:paraId="37B440FD">
      <w:pPr>
        <w:pStyle w:val="30"/>
        <w:spacing w:before="156" w:after="156"/>
        <w:rPr>
          <w:b/>
          <w:bCs/>
          <w:sz w:val="20"/>
          <w:szCs w:val="20"/>
        </w:rPr>
      </w:pPr>
      <w:bookmarkStart w:id="21" w:name="_Toc1758105265"/>
      <w:r>
        <w:rPr>
          <w:rFonts w:eastAsiaTheme="minorEastAsia"/>
          <w:b/>
          <w:bCs/>
          <w:sz w:val="20"/>
          <w:szCs w:val="20"/>
        </w:rPr>
        <w:t xml:space="preserve">5.1 </w:t>
      </w:r>
      <w:r>
        <w:rPr>
          <w:b/>
          <w:bCs/>
          <w:sz w:val="20"/>
          <w:szCs w:val="20"/>
        </w:rPr>
        <w:t>Key Results</w:t>
      </w:r>
      <w:bookmarkEnd w:id="21"/>
    </w:p>
    <w:p w14:paraId="54C52E21">
      <w:pPr>
        <w:rPr>
          <w:rFonts w:ascii="Times New Roman" w:hAnsi="Times New Roman" w:cs="Times New Roman"/>
          <w:sz w:val="20"/>
          <w:szCs w:val="20"/>
        </w:rPr>
      </w:pPr>
      <w:r>
        <w:rPr>
          <w:rFonts w:hint="eastAsia" w:ascii="Times New Roman" w:hAnsi="Times New Roman" w:cs="Times New Roman"/>
          <w:sz w:val="20"/>
          <w:szCs w:val="20"/>
        </w:rPr>
        <w:t>The analysis of the Global Burden of Disease Study 2021 reveals a substantial rise in mental disorder rehabilitation needs, with the global prevalence increasing by 34.8% from 1990 to 2021. Despite a slight decline in age-standardized rates (ASR), the overall burden in Years Lived with Disability (YLDs) heightened, indicating growing challenges in addressing mental health worldwide.</w:t>
      </w:r>
    </w:p>
    <w:p w14:paraId="192DF285">
      <w:pPr>
        <w:pStyle w:val="30"/>
        <w:spacing w:before="156" w:after="156"/>
        <w:rPr>
          <w:b/>
          <w:bCs/>
          <w:sz w:val="20"/>
          <w:szCs w:val="20"/>
        </w:rPr>
      </w:pPr>
      <w:bookmarkStart w:id="22" w:name="_Toc1247689782"/>
      <w:r>
        <w:rPr>
          <w:rFonts w:eastAsiaTheme="minorEastAsia"/>
          <w:b/>
          <w:bCs/>
          <w:sz w:val="20"/>
          <w:szCs w:val="20"/>
        </w:rPr>
        <w:t xml:space="preserve">5.2 </w:t>
      </w:r>
      <w:r>
        <w:rPr>
          <w:b/>
          <w:bCs/>
          <w:sz w:val="20"/>
          <w:szCs w:val="20"/>
        </w:rPr>
        <w:t>Interpretation</w:t>
      </w:r>
      <w:bookmarkEnd w:id="22"/>
    </w:p>
    <w:p w14:paraId="63D2FF41">
      <w:pPr>
        <w:rPr>
          <w:rFonts w:ascii="Times New Roman" w:hAnsi="Times New Roman" w:cs="Times New Roman"/>
          <w:sz w:val="20"/>
          <w:szCs w:val="20"/>
        </w:rPr>
      </w:pPr>
      <w:r>
        <w:rPr>
          <w:rFonts w:hint="eastAsia" w:ascii="Times New Roman" w:hAnsi="Times New Roman" w:cs="Times New Roman"/>
          <w:sz w:val="20"/>
          <w:szCs w:val="20"/>
        </w:rPr>
        <w:t>This study highlights socio-demographic disparities, underscoring significant rehabilitation needs, particularly among vulnerable groups such as elderly women and young men in low- and middle-income countries. The positive correlations between Socio-Demographic Index (SDI) and certain mental disorders reflect the implications of socio-economic development on mental health infrastructure. Integrated approaches targeting Universal Health Coverage (UHC) and SDI-specific strategies are essential in mitigating the global rehabilitation burden.</w:t>
      </w:r>
    </w:p>
    <w:p w14:paraId="12BD8C2B">
      <w:pPr>
        <w:pStyle w:val="30"/>
        <w:spacing w:before="156" w:after="156"/>
        <w:rPr>
          <w:b/>
          <w:bCs/>
          <w:sz w:val="20"/>
          <w:szCs w:val="20"/>
        </w:rPr>
      </w:pPr>
      <w:bookmarkStart w:id="23" w:name="_Toc1891836766"/>
      <w:r>
        <w:rPr>
          <w:rFonts w:eastAsiaTheme="minorEastAsia"/>
          <w:b/>
          <w:bCs/>
          <w:sz w:val="20"/>
          <w:szCs w:val="20"/>
        </w:rPr>
        <w:t xml:space="preserve">5.3 </w:t>
      </w:r>
      <w:r>
        <w:rPr>
          <w:b/>
          <w:bCs/>
          <w:sz w:val="20"/>
          <w:szCs w:val="20"/>
        </w:rPr>
        <w:t>Limitations</w:t>
      </w:r>
      <w:bookmarkEnd w:id="23"/>
    </w:p>
    <w:p w14:paraId="0CB71BC6">
      <w:pPr>
        <w:rPr>
          <w:rFonts w:ascii="Times New Roman" w:hAnsi="Times New Roman" w:cs="Times New Roman"/>
          <w:sz w:val="20"/>
          <w:szCs w:val="20"/>
        </w:rPr>
      </w:pPr>
      <w:r>
        <w:rPr>
          <w:rFonts w:hint="eastAsia" w:ascii="Times New Roman" w:hAnsi="Times New Roman" w:cs="Times New Roman"/>
          <w:sz w:val="20"/>
          <w:szCs w:val="20"/>
        </w:rPr>
        <w:t>Despite utilizing comprehensive data from the Global Burden of Disease Study, limitations include potential biases in data collection and the exclusion of substance use disorders, which may impact the overall representation of mental health rehabilitation needs. Additionally, the reliance on specific indices such as SDI may not fully capture local variations, necessitating nuanced studies to better understand region-specific dynamics.</w:t>
      </w:r>
    </w:p>
    <w:p w14:paraId="67B13FB6">
      <w:pPr>
        <w:pStyle w:val="29"/>
        <w:numPr>
          <w:ilvl w:val="0"/>
          <w:numId w:val="1"/>
        </w:numPr>
        <w:spacing w:before="156" w:after="156"/>
        <w:rPr>
          <w:rFonts w:ascii="Times New Roman" w:hAnsi="Times New Roman" w:cs="Times New Roman"/>
          <w:b/>
          <w:bCs w:val="0"/>
          <w:szCs w:val="20"/>
        </w:rPr>
      </w:pPr>
      <w:bookmarkStart w:id="24" w:name="_Toc457648680"/>
      <w:r>
        <w:rPr>
          <w:rFonts w:ascii="Times New Roman" w:hAnsi="Times New Roman" w:cs="Times New Roman"/>
          <w:b/>
          <w:bCs w:val="0"/>
          <w:szCs w:val="20"/>
        </w:rPr>
        <w:t>Other Information</w:t>
      </w:r>
      <w:bookmarkEnd w:id="24"/>
    </w:p>
    <w:p w14:paraId="15E61F95">
      <w:pPr>
        <w:pStyle w:val="30"/>
        <w:spacing w:before="156" w:after="156"/>
        <w:rPr>
          <w:b/>
          <w:bCs/>
          <w:sz w:val="20"/>
          <w:szCs w:val="20"/>
        </w:rPr>
      </w:pPr>
      <w:bookmarkStart w:id="25" w:name="_Toc1562424853"/>
      <w:r>
        <w:rPr>
          <w:rFonts w:eastAsiaTheme="minorEastAsia"/>
          <w:b/>
          <w:bCs/>
          <w:sz w:val="20"/>
          <w:szCs w:val="20"/>
        </w:rPr>
        <w:t xml:space="preserve">6.1 </w:t>
      </w:r>
      <w:r>
        <w:rPr>
          <w:b/>
          <w:bCs/>
          <w:sz w:val="20"/>
          <w:szCs w:val="20"/>
        </w:rPr>
        <w:t>Funding</w:t>
      </w:r>
      <w:bookmarkEnd w:id="25"/>
    </w:p>
    <w:bookmarkEnd w:id="2"/>
    <w:p w14:paraId="2E5D1E4F">
      <w:pPr>
        <w:rPr>
          <w:rFonts w:ascii="Times New Roman" w:hAnsi="Times New Roman" w:cs="Times New Roman"/>
          <w:sz w:val="20"/>
          <w:szCs w:val="20"/>
        </w:rPr>
      </w:pPr>
      <w:r>
        <w:rPr>
          <w:rFonts w:ascii="Times New Roman" w:hAnsi="Times New Roman" w:cs="Times New Roman"/>
          <w:sz w:val="20"/>
          <w:szCs w:val="20"/>
        </w:rPr>
        <w:t>The study was supported by the National Natural Science Foundation of China (Grants No. 82272612, 82202787) and the 2024 Pujiang Talents Program (24PJA065). Funders had no role in study design, analysis, or reporting.</w:t>
      </w:r>
    </w:p>
    <w:p w14:paraId="25EC0EE2">
      <w:pPr>
        <w:pStyle w:val="30"/>
        <w:spacing w:before="156" w:after="156"/>
        <w:rPr>
          <w:b/>
          <w:bCs/>
          <w:sz w:val="20"/>
          <w:szCs w:val="20"/>
        </w:rPr>
      </w:pPr>
      <w:bookmarkStart w:id="26" w:name="_Toc244468855"/>
      <w:r>
        <w:rPr>
          <w:rFonts w:eastAsiaTheme="minorEastAsia"/>
          <w:b/>
          <w:bCs/>
          <w:sz w:val="20"/>
          <w:szCs w:val="20"/>
        </w:rPr>
        <w:t xml:space="preserve">6.2 </w:t>
      </w:r>
      <w:r>
        <w:rPr>
          <w:b/>
          <w:bCs/>
          <w:sz w:val="20"/>
          <w:szCs w:val="20"/>
        </w:rPr>
        <w:t>Ethical Approval</w:t>
      </w:r>
      <w:bookmarkEnd w:id="26"/>
    </w:p>
    <w:p w14:paraId="7CDFD255">
      <w:pPr>
        <w:rPr>
          <w:rFonts w:ascii="Times New Roman" w:hAnsi="Times New Roman" w:cs="Times New Roman"/>
          <w:sz w:val="20"/>
          <w:szCs w:val="20"/>
        </w:rPr>
      </w:pPr>
      <w:r>
        <w:rPr>
          <w:rFonts w:ascii="Times New Roman" w:hAnsi="Times New Roman" w:cs="Times New Roman"/>
          <w:sz w:val="20"/>
          <w:szCs w:val="20"/>
        </w:rPr>
        <w:t>Ethical approval was not required for this study as it used publicly available, anonymized data from the GBD 2021 study.</w:t>
      </w:r>
    </w:p>
    <w:p w14:paraId="438ECA1E">
      <w:pPr>
        <w:rPr>
          <w:rFonts w:ascii="Times New Roman" w:hAnsi="Times New Roman" w:cs="Times New Roman"/>
          <w:sz w:val="20"/>
          <w:szCs w:val="20"/>
        </w:rPr>
      </w:pPr>
    </w:p>
    <w:p w14:paraId="59605C74">
      <w:pPr>
        <w:rPr>
          <w:rFonts w:ascii="Times New Roman" w:hAnsi="Times New Roman" w:cs="Times New Roman"/>
          <w:sz w:val="20"/>
          <w:szCs w:val="20"/>
        </w:rPr>
      </w:pPr>
    </w:p>
    <w:p w14:paraId="61888F3A">
      <w:pPr>
        <w:rPr>
          <w:rFonts w:ascii="Times New Roman" w:hAnsi="Times New Roman" w:cs="Times New Roman"/>
          <w:sz w:val="20"/>
          <w:szCs w:val="20"/>
        </w:rPr>
      </w:pPr>
    </w:p>
    <w:p w14:paraId="3CDBB09D">
      <w:pPr>
        <w:rPr>
          <w:rFonts w:ascii="Times New Roman" w:hAnsi="Times New Roman" w:cs="Times New Roman"/>
          <w:sz w:val="20"/>
          <w:szCs w:val="20"/>
        </w:rPr>
      </w:pPr>
    </w:p>
    <w:p w14:paraId="4EC5239D">
      <w:pPr>
        <w:rPr>
          <w:rFonts w:ascii="Times New Roman" w:hAnsi="Times New Roman" w:cs="Times New Roman"/>
          <w:sz w:val="20"/>
          <w:szCs w:val="20"/>
        </w:rPr>
      </w:pPr>
    </w:p>
    <w:p w14:paraId="53B30F3D">
      <w:pPr>
        <w:rPr>
          <w:rFonts w:ascii="Times New Roman" w:hAnsi="Times New Roman" w:cs="Times New Roman"/>
          <w:sz w:val="20"/>
          <w:szCs w:val="20"/>
        </w:rPr>
      </w:pPr>
    </w:p>
    <w:p w14:paraId="5C7BDC4A">
      <w:pPr>
        <w:rPr>
          <w:rFonts w:ascii="Times New Roman" w:hAnsi="Times New Roman" w:cs="Times New Roman"/>
          <w:sz w:val="20"/>
          <w:szCs w:val="20"/>
        </w:rPr>
      </w:pPr>
    </w:p>
    <w:p w14:paraId="5459243C">
      <w:pPr>
        <w:rPr>
          <w:rFonts w:ascii="Times New Roman" w:hAnsi="Times New Roman" w:cs="Times New Roman"/>
          <w:sz w:val="20"/>
          <w:szCs w:val="20"/>
        </w:rPr>
      </w:pPr>
    </w:p>
    <w:p w14:paraId="0215B585">
      <w:pPr>
        <w:rPr>
          <w:rFonts w:ascii="Times New Roman" w:hAnsi="Times New Roman" w:cs="Times New Roman"/>
          <w:sz w:val="20"/>
          <w:szCs w:val="20"/>
        </w:rPr>
      </w:pPr>
    </w:p>
    <w:p w14:paraId="340C90A4">
      <w:pPr>
        <w:rPr>
          <w:rFonts w:ascii="Times New Roman" w:hAnsi="Times New Roman" w:cs="Times New Roman"/>
          <w:sz w:val="20"/>
          <w:szCs w:val="20"/>
        </w:rPr>
      </w:pPr>
    </w:p>
    <w:p w14:paraId="52BCAE20">
      <w:pPr>
        <w:rPr>
          <w:rFonts w:ascii="Times New Roman" w:hAnsi="Times New Roman" w:cs="Times New Roman"/>
          <w:sz w:val="20"/>
          <w:szCs w:val="20"/>
        </w:rPr>
      </w:pPr>
    </w:p>
    <w:p w14:paraId="12A1681B">
      <w:pPr>
        <w:rPr>
          <w:rFonts w:ascii="Times New Roman" w:hAnsi="Times New Roman" w:cs="Times New Roman"/>
          <w:sz w:val="20"/>
          <w:szCs w:val="20"/>
        </w:rPr>
      </w:pPr>
    </w:p>
    <w:p w14:paraId="02105869">
      <w:pPr>
        <w:rPr>
          <w:rFonts w:ascii="Times New Roman" w:hAnsi="Times New Roman" w:cs="Times New Roman"/>
          <w:sz w:val="20"/>
          <w:szCs w:val="20"/>
        </w:rPr>
      </w:pPr>
    </w:p>
    <w:p w14:paraId="05C02786">
      <w:pPr>
        <w:rPr>
          <w:rFonts w:ascii="Times New Roman" w:hAnsi="Times New Roman" w:cs="Times New Roman"/>
          <w:sz w:val="20"/>
          <w:szCs w:val="20"/>
        </w:rPr>
      </w:pPr>
    </w:p>
    <w:p w14:paraId="2754F2FC">
      <w:pPr>
        <w:rPr>
          <w:rFonts w:ascii="Times New Roman" w:hAnsi="Times New Roman" w:cs="Times New Roman"/>
          <w:sz w:val="20"/>
          <w:szCs w:val="20"/>
        </w:rPr>
      </w:pPr>
    </w:p>
    <w:p w14:paraId="7265D975">
      <w:pPr>
        <w:rPr>
          <w:rFonts w:ascii="Times New Roman" w:hAnsi="Times New Roman" w:cs="Times New Roman"/>
          <w:sz w:val="20"/>
          <w:szCs w:val="20"/>
        </w:rPr>
      </w:pPr>
    </w:p>
    <w:p w14:paraId="0AF6C092">
      <w:pPr>
        <w:rPr>
          <w:rFonts w:ascii="Times New Roman" w:hAnsi="Times New Roman" w:cs="Times New Roman"/>
          <w:sz w:val="20"/>
          <w:szCs w:val="20"/>
        </w:rPr>
      </w:pPr>
    </w:p>
    <w:p w14:paraId="1A06C745">
      <w:pPr>
        <w:rPr>
          <w:rFonts w:ascii="Times New Roman" w:hAnsi="Times New Roman" w:cs="Times New Roman"/>
          <w:sz w:val="20"/>
          <w:szCs w:val="20"/>
        </w:rPr>
      </w:pPr>
    </w:p>
    <w:p w14:paraId="1A512FC3">
      <w:pPr>
        <w:rPr>
          <w:rFonts w:ascii="Times New Roman" w:hAnsi="Times New Roman" w:cs="Times New Roman"/>
          <w:sz w:val="20"/>
          <w:szCs w:val="20"/>
        </w:rPr>
      </w:pPr>
    </w:p>
    <w:p w14:paraId="585429A9">
      <w:pPr>
        <w:rPr>
          <w:rFonts w:ascii="Times New Roman" w:hAnsi="Times New Roman" w:cs="Times New Roman"/>
          <w:sz w:val="20"/>
          <w:szCs w:val="20"/>
        </w:rPr>
      </w:pPr>
    </w:p>
    <w:p w14:paraId="515FDF39">
      <w:pPr>
        <w:rPr>
          <w:rFonts w:ascii="Times New Roman" w:hAnsi="Times New Roman" w:cs="Times New Roman"/>
          <w:sz w:val="20"/>
          <w:szCs w:val="20"/>
        </w:rPr>
      </w:pPr>
    </w:p>
    <w:p w14:paraId="2CABD2CE">
      <w:pPr>
        <w:rPr>
          <w:rFonts w:ascii="Times New Roman" w:hAnsi="Times New Roman" w:cs="Times New Roman"/>
          <w:sz w:val="20"/>
          <w:szCs w:val="20"/>
        </w:rPr>
      </w:pPr>
    </w:p>
    <w:p w14:paraId="0B9E4F5D">
      <w:pPr>
        <w:rPr>
          <w:rFonts w:ascii="Times New Roman" w:hAnsi="Times New Roman" w:cs="Times New Roman"/>
          <w:sz w:val="20"/>
          <w:szCs w:val="20"/>
        </w:rPr>
      </w:pPr>
    </w:p>
    <w:p w14:paraId="07B08E14">
      <w:pPr>
        <w:rPr>
          <w:rFonts w:ascii="Times New Roman" w:hAnsi="Times New Roman" w:cs="Times New Roman"/>
          <w:sz w:val="20"/>
          <w:szCs w:val="20"/>
        </w:rPr>
      </w:pPr>
    </w:p>
    <w:p w14:paraId="6D05A86D">
      <w:pPr>
        <w:rPr>
          <w:rFonts w:ascii="Times New Roman" w:hAnsi="Times New Roman" w:cs="Times New Roman"/>
          <w:sz w:val="20"/>
          <w:szCs w:val="20"/>
        </w:rPr>
      </w:pPr>
    </w:p>
    <w:p w14:paraId="3171B38A">
      <w:pPr>
        <w:pStyle w:val="2"/>
        <w:spacing w:before="0" w:after="0" w:line="360" w:lineRule="auto"/>
        <w:rPr>
          <w:rFonts w:ascii="Times New Roman" w:hAnsi="Times New Roman" w:cs="Times New Roman"/>
          <w:szCs w:val="16"/>
        </w:rPr>
      </w:pPr>
      <w:bookmarkStart w:id="27" w:name="_Toc651829274"/>
      <w:r>
        <w:rPr>
          <w:rFonts w:ascii="Times New Roman" w:hAnsi="Times New Roman" w:cs="Times New Roman"/>
          <w:szCs w:val="16"/>
        </w:rPr>
        <w:t>Additional Results in tables and Figures</w:t>
      </w:r>
      <w:bookmarkEnd w:id="0"/>
      <w:bookmarkEnd w:id="27"/>
    </w:p>
    <w:p w14:paraId="6EA9CB24">
      <w:pPr>
        <w:pStyle w:val="29"/>
        <w:spacing w:before="156" w:after="156"/>
        <w:rPr>
          <w:rFonts w:hint="default" w:ascii="Times New Roman" w:hAnsi="Times New Roman" w:cs="Times New Roman"/>
          <w:b/>
          <w:sz w:val="16"/>
          <w:szCs w:val="16"/>
          <w:lang w:val="en-US" w:eastAsia="zh-CN"/>
        </w:rPr>
      </w:pPr>
      <w:bookmarkStart w:id="28" w:name="_Toc1382905132"/>
      <w:bookmarkStart w:id="29" w:name="_Toc980524771"/>
      <w:r>
        <w:rPr>
          <w:rFonts w:ascii="Times New Roman" w:hAnsi="Times New Roman" w:cs="Times New Roman"/>
          <w:b/>
          <w:sz w:val="16"/>
          <w:szCs w:val="16"/>
        </w:rPr>
        <w:t xml:space="preserve">Table S1. </w:t>
      </w:r>
      <w:bookmarkEnd w:id="28"/>
      <w:r>
        <w:rPr>
          <w:rFonts w:hint="eastAsia" w:ascii="Times New Roman" w:hAnsi="Times New Roman" w:cs="Times New Roman"/>
          <w:b/>
          <w:sz w:val="16"/>
          <w:szCs w:val="16"/>
        </w:rPr>
        <w:t>Global Burden of Mental Disorders and Related Conditions Among Both Sexes, 1990–2021</w:t>
      </w:r>
      <w:r>
        <w:rPr>
          <w:rFonts w:hint="default" w:ascii="Times New Roman" w:hAnsi="Times New Roman" w:cs="Times New Roman"/>
          <w:b/>
          <w:sz w:val="16"/>
          <w:szCs w:val="16"/>
          <w:lang w:val="en-US"/>
        </w:rPr>
        <w:t>.95% UI=95% uncertainty interval. 95% CI=95% confidence interva.</w:t>
      </w:r>
      <w:bookmarkEnd w:id="29"/>
    </w:p>
    <w:tbl>
      <w:tblPr>
        <w:tblStyle w:val="18"/>
        <w:tblpPr w:leftFromText="180" w:rightFromText="180" w:vertAnchor="text" w:horzAnchor="page" w:tblpX="1521" w:tblpY="284"/>
        <w:tblOverlap w:val="never"/>
        <w:tblW w:w="0" w:type="auto"/>
        <w:tblInd w:w="0"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61"/>
        <w:gridCol w:w="769"/>
        <w:gridCol w:w="769"/>
        <w:gridCol w:w="856"/>
        <w:gridCol w:w="856"/>
        <w:gridCol w:w="640"/>
        <w:gridCol w:w="684"/>
        <w:gridCol w:w="684"/>
        <w:gridCol w:w="770"/>
        <w:gridCol w:w="793"/>
        <w:gridCol w:w="640"/>
      </w:tblGrid>
      <w:tr w14:paraId="5667DACD">
        <w:trPr>
          <w:trHeight w:val="366" w:hRule="atLeast"/>
        </w:trPr>
        <w:tc>
          <w:tcPr>
            <w:tcW w:w="0" w:type="auto"/>
            <w:vMerge w:val="restart"/>
            <w:tcBorders>
              <w:top w:val="single" w:color="auto" w:sz="4" w:space="0"/>
              <w:left w:val="nil"/>
              <w:bottom w:val="nil"/>
              <w:right w:val="nil"/>
            </w:tcBorders>
            <w:shd w:val="clear" w:color="auto" w:fill="FFFFFF"/>
            <w:noWrap/>
            <w:vAlign w:val="center"/>
          </w:tcPr>
          <w:p w14:paraId="6FA32A50">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Characteristic</w:t>
            </w:r>
          </w:p>
        </w:tc>
        <w:tc>
          <w:tcPr>
            <w:tcW w:w="0" w:type="auto"/>
            <w:gridSpan w:val="5"/>
            <w:tcBorders>
              <w:top w:val="single" w:color="auto" w:sz="4" w:space="0"/>
              <w:left w:val="nil"/>
              <w:bottom w:val="single" w:color="auto" w:sz="6" w:space="0"/>
              <w:right w:val="nil"/>
            </w:tcBorders>
            <w:shd w:val="clear" w:color="auto" w:fill="FFFFFF"/>
            <w:noWrap/>
            <w:vAlign w:val="center"/>
          </w:tcPr>
          <w:p w14:paraId="4A1C9642">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Prevalence</w:t>
            </w:r>
          </w:p>
        </w:tc>
        <w:tc>
          <w:tcPr>
            <w:tcW w:w="0" w:type="auto"/>
            <w:gridSpan w:val="5"/>
            <w:tcBorders>
              <w:top w:val="single" w:color="auto" w:sz="12" w:space="0"/>
              <w:left w:val="nil"/>
              <w:bottom w:val="single" w:color="auto" w:sz="6" w:space="0"/>
              <w:right w:val="nil"/>
            </w:tcBorders>
            <w:shd w:val="clear" w:color="auto" w:fill="FFFFFF"/>
            <w:noWrap/>
            <w:vAlign w:val="center"/>
          </w:tcPr>
          <w:p w14:paraId="679BF141">
            <w:pPr>
              <w:jc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YLDs</w:t>
            </w:r>
          </w:p>
        </w:tc>
      </w:tr>
      <w:tr w14:paraId="33DC0064">
        <w:trPr>
          <w:trHeight w:val="370" w:hRule="atLeast"/>
        </w:trPr>
        <w:tc>
          <w:tcPr>
            <w:tcW w:w="0" w:type="auto"/>
            <w:vMerge w:val="continue"/>
            <w:tcBorders>
              <w:top w:val="single" w:color="auto" w:sz="4" w:space="0"/>
              <w:left w:val="nil"/>
              <w:bottom w:val="nil"/>
              <w:right w:val="nil"/>
            </w:tcBorders>
            <w:vAlign w:val="center"/>
          </w:tcPr>
          <w:p w14:paraId="7236C663">
            <w:pPr>
              <w:widowControl/>
              <w:jc w:val="left"/>
              <w:rPr>
                <w:rFonts w:hint="default" w:ascii="Times New Roman Regular" w:hAnsi="Times New Roman Regular" w:cs="Times New Roman Regular"/>
                <w:color w:val="000000"/>
                <w:sz w:val="20"/>
                <w:szCs w:val="20"/>
              </w:rPr>
            </w:pPr>
          </w:p>
        </w:tc>
        <w:tc>
          <w:tcPr>
            <w:tcW w:w="0" w:type="auto"/>
            <w:tcBorders>
              <w:top w:val="single" w:color="auto" w:sz="6" w:space="0"/>
              <w:left w:val="nil"/>
              <w:bottom w:val="single" w:color="auto" w:sz="6" w:space="0"/>
              <w:right w:val="nil"/>
            </w:tcBorders>
            <w:shd w:val="clear" w:color="auto" w:fill="FFFFFF"/>
            <w:vAlign w:val="center"/>
          </w:tcPr>
          <w:p w14:paraId="0A2C9ADB">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1990</w:t>
            </w:r>
          </w:p>
        </w:tc>
        <w:tc>
          <w:tcPr>
            <w:tcW w:w="0" w:type="auto"/>
            <w:tcBorders>
              <w:top w:val="single" w:color="auto" w:sz="6" w:space="0"/>
              <w:left w:val="nil"/>
              <w:bottom w:val="single" w:color="auto" w:sz="6" w:space="0"/>
              <w:right w:val="nil"/>
            </w:tcBorders>
            <w:shd w:val="clear" w:color="auto" w:fill="FFFFFF"/>
            <w:vAlign w:val="center"/>
          </w:tcPr>
          <w:p w14:paraId="40092BBF">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2021</w:t>
            </w:r>
          </w:p>
        </w:tc>
        <w:tc>
          <w:tcPr>
            <w:tcW w:w="0" w:type="auto"/>
            <w:tcBorders>
              <w:top w:val="single" w:color="auto" w:sz="6" w:space="0"/>
              <w:left w:val="nil"/>
              <w:bottom w:val="single" w:color="auto" w:sz="6" w:space="0"/>
              <w:right w:val="nil"/>
            </w:tcBorders>
            <w:shd w:val="clear" w:color="auto" w:fill="FFFFFF"/>
            <w:vAlign w:val="center"/>
          </w:tcPr>
          <w:p w14:paraId="69585AFB">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1990</w:t>
            </w:r>
          </w:p>
        </w:tc>
        <w:tc>
          <w:tcPr>
            <w:tcW w:w="0" w:type="auto"/>
            <w:tcBorders>
              <w:top w:val="single" w:color="auto" w:sz="6" w:space="0"/>
              <w:left w:val="nil"/>
              <w:bottom w:val="single" w:color="auto" w:sz="6" w:space="0"/>
              <w:right w:val="nil"/>
            </w:tcBorders>
            <w:shd w:val="clear" w:color="auto" w:fill="FFFFFF"/>
            <w:vAlign w:val="center"/>
          </w:tcPr>
          <w:p w14:paraId="3C9DEB8B">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2021</w:t>
            </w:r>
          </w:p>
        </w:tc>
        <w:tc>
          <w:tcPr>
            <w:tcW w:w="0" w:type="auto"/>
            <w:tcBorders>
              <w:top w:val="single" w:color="auto" w:sz="6" w:space="0"/>
              <w:left w:val="nil"/>
              <w:bottom w:val="single" w:color="auto" w:sz="6" w:space="0"/>
              <w:right w:val="nil"/>
            </w:tcBorders>
            <w:shd w:val="clear" w:color="auto" w:fill="FFFFFF"/>
            <w:vAlign w:val="center"/>
          </w:tcPr>
          <w:p w14:paraId="14D7C9FC">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EAPC</w:t>
            </w:r>
          </w:p>
        </w:tc>
        <w:tc>
          <w:tcPr>
            <w:tcW w:w="0" w:type="auto"/>
            <w:tcBorders>
              <w:top w:val="single" w:color="auto" w:sz="6" w:space="0"/>
              <w:left w:val="nil"/>
              <w:bottom w:val="single" w:color="auto" w:sz="6" w:space="0"/>
              <w:right w:val="nil"/>
            </w:tcBorders>
            <w:shd w:val="clear" w:color="auto" w:fill="FFFFFF"/>
            <w:vAlign w:val="center"/>
          </w:tcPr>
          <w:p w14:paraId="2BFA431F">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1990</w:t>
            </w:r>
          </w:p>
        </w:tc>
        <w:tc>
          <w:tcPr>
            <w:tcW w:w="0" w:type="auto"/>
            <w:tcBorders>
              <w:top w:val="single" w:color="auto" w:sz="6" w:space="0"/>
              <w:left w:val="nil"/>
              <w:bottom w:val="single" w:color="auto" w:sz="6" w:space="0"/>
              <w:right w:val="nil"/>
            </w:tcBorders>
            <w:shd w:val="clear" w:color="auto" w:fill="FFFFFF"/>
            <w:vAlign w:val="center"/>
          </w:tcPr>
          <w:p w14:paraId="089BBB25">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2021</w:t>
            </w:r>
          </w:p>
        </w:tc>
        <w:tc>
          <w:tcPr>
            <w:tcW w:w="0" w:type="auto"/>
            <w:tcBorders>
              <w:top w:val="single" w:color="auto" w:sz="6" w:space="0"/>
              <w:left w:val="nil"/>
              <w:bottom w:val="single" w:color="auto" w:sz="6" w:space="0"/>
              <w:right w:val="nil"/>
            </w:tcBorders>
            <w:shd w:val="clear" w:color="auto" w:fill="FFFFFF"/>
            <w:vAlign w:val="center"/>
          </w:tcPr>
          <w:p w14:paraId="10DBE7FC">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1990</w:t>
            </w:r>
          </w:p>
        </w:tc>
        <w:tc>
          <w:tcPr>
            <w:tcW w:w="0" w:type="auto"/>
            <w:tcBorders>
              <w:top w:val="single" w:color="auto" w:sz="6" w:space="0"/>
              <w:left w:val="nil"/>
              <w:bottom w:val="single" w:color="auto" w:sz="6" w:space="0"/>
              <w:right w:val="nil"/>
            </w:tcBorders>
            <w:shd w:val="clear" w:color="auto" w:fill="FFFFFF"/>
            <w:vAlign w:val="center"/>
          </w:tcPr>
          <w:p w14:paraId="03398C66">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2021</w:t>
            </w:r>
          </w:p>
        </w:tc>
        <w:tc>
          <w:tcPr>
            <w:tcW w:w="0" w:type="auto"/>
            <w:tcBorders>
              <w:top w:val="single" w:color="auto" w:sz="6" w:space="0"/>
              <w:left w:val="nil"/>
              <w:bottom w:val="single" w:color="auto" w:sz="6" w:space="0"/>
              <w:right w:val="nil"/>
            </w:tcBorders>
            <w:shd w:val="clear" w:color="auto" w:fill="FFFFFF"/>
            <w:vAlign w:val="center"/>
          </w:tcPr>
          <w:p w14:paraId="478C0A7B">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EAPC</w:t>
            </w:r>
          </w:p>
        </w:tc>
      </w:tr>
      <w:tr w14:paraId="656BAFAD">
        <w:trPr>
          <w:trHeight w:val="366" w:hRule="atLeast"/>
        </w:trPr>
        <w:tc>
          <w:tcPr>
            <w:tcW w:w="0" w:type="auto"/>
            <w:vMerge w:val="continue"/>
            <w:tcBorders>
              <w:top w:val="single" w:color="auto" w:sz="4" w:space="0"/>
              <w:left w:val="nil"/>
              <w:bottom w:val="nil"/>
              <w:right w:val="nil"/>
            </w:tcBorders>
            <w:vAlign w:val="center"/>
          </w:tcPr>
          <w:p w14:paraId="589F83F4">
            <w:pPr>
              <w:widowControl/>
              <w:jc w:val="left"/>
              <w:rPr>
                <w:rFonts w:hint="default" w:ascii="Times New Roman Regular" w:hAnsi="Times New Roman Regular" w:cs="Times New Roman Regular"/>
                <w:color w:val="000000"/>
                <w:sz w:val="20"/>
                <w:szCs w:val="20"/>
              </w:rPr>
            </w:pPr>
          </w:p>
        </w:tc>
        <w:tc>
          <w:tcPr>
            <w:tcW w:w="0" w:type="auto"/>
            <w:tcBorders>
              <w:top w:val="single" w:color="auto" w:sz="6" w:space="0"/>
              <w:left w:val="nil"/>
              <w:bottom w:val="single" w:color="auto" w:sz="4" w:space="0"/>
              <w:right w:val="nil"/>
            </w:tcBorders>
            <w:shd w:val="clear" w:color="auto" w:fill="FFFFFF"/>
            <w:vAlign w:val="center"/>
          </w:tcPr>
          <w:p w14:paraId="26929E36">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Number (95%UI)(millions)</w:t>
            </w:r>
          </w:p>
        </w:tc>
        <w:tc>
          <w:tcPr>
            <w:tcW w:w="0" w:type="auto"/>
            <w:tcBorders>
              <w:top w:val="single" w:color="auto" w:sz="6" w:space="0"/>
              <w:left w:val="nil"/>
              <w:bottom w:val="single" w:color="auto" w:sz="4" w:space="0"/>
              <w:right w:val="nil"/>
            </w:tcBorders>
            <w:shd w:val="clear" w:color="auto" w:fill="FFFFFF"/>
            <w:vAlign w:val="center"/>
          </w:tcPr>
          <w:p w14:paraId="0E1E770D">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Number (95%UI)(millions)</w:t>
            </w:r>
          </w:p>
        </w:tc>
        <w:tc>
          <w:tcPr>
            <w:tcW w:w="0" w:type="auto"/>
            <w:tcBorders>
              <w:top w:val="single" w:color="auto" w:sz="6" w:space="0"/>
              <w:left w:val="nil"/>
              <w:bottom w:val="single" w:color="auto" w:sz="4" w:space="0"/>
              <w:right w:val="nil"/>
            </w:tcBorders>
            <w:shd w:val="clear" w:color="auto" w:fill="FFFFFF"/>
            <w:vAlign w:val="center"/>
          </w:tcPr>
          <w:p w14:paraId="5D4E5B44">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Rate (95%UI)(per 100,000)</w:t>
            </w:r>
          </w:p>
        </w:tc>
        <w:tc>
          <w:tcPr>
            <w:tcW w:w="0" w:type="auto"/>
            <w:tcBorders>
              <w:top w:val="single" w:color="auto" w:sz="6" w:space="0"/>
              <w:left w:val="nil"/>
              <w:bottom w:val="single" w:color="auto" w:sz="4" w:space="0"/>
              <w:right w:val="nil"/>
            </w:tcBorders>
            <w:shd w:val="clear" w:color="auto" w:fill="FFFFFF"/>
            <w:vAlign w:val="center"/>
          </w:tcPr>
          <w:p w14:paraId="7F3852E6">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Rate (95%UI)(per 100,000)</w:t>
            </w:r>
          </w:p>
        </w:tc>
        <w:tc>
          <w:tcPr>
            <w:tcW w:w="0" w:type="auto"/>
            <w:tcBorders>
              <w:top w:val="single" w:color="auto" w:sz="6" w:space="0"/>
              <w:left w:val="nil"/>
              <w:bottom w:val="single" w:color="auto" w:sz="4" w:space="0"/>
              <w:right w:val="nil"/>
            </w:tcBorders>
            <w:shd w:val="clear" w:color="auto" w:fill="FFFFFF"/>
            <w:noWrap/>
            <w:vAlign w:val="center"/>
          </w:tcPr>
          <w:p w14:paraId="375E215C">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Rate Chage(95%CI)</w:t>
            </w:r>
          </w:p>
        </w:tc>
        <w:tc>
          <w:tcPr>
            <w:tcW w:w="0" w:type="auto"/>
            <w:tcBorders>
              <w:top w:val="single" w:color="auto" w:sz="6" w:space="0"/>
              <w:left w:val="nil"/>
              <w:bottom w:val="single" w:color="auto" w:sz="4" w:space="0"/>
              <w:right w:val="nil"/>
            </w:tcBorders>
            <w:shd w:val="clear" w:color="auto" w:fill="FFFFFF"/>
            <w:vAlign w:val="center"/>
          </w:tcPr>
          <w:p w14:paraId="711A9939">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Number (95%UI)(millions)</w:t>
            </w:r>
          </w:p>
        </w:tc>
        <w:tc>
          <w:tcPr>
            <w:tcW w:w="0" w:type="auto"/>
            <w:tcBorders>
              <w:top w:val="single" w:color="auto" w:sz="6" w:space="0"/>
              <w:left w:val="nil"/>
              <w:bottom w:val="single" w:color="auto" w:sz="4" w:space="0"/>
              <w:right w:val="nil"/>
            </w:tcBorders>
            <w:shd w:val="clear" w:color="auto" w:fill="FFFFFF"/>
            <w:vAlign w:val="center"/>
          </w:tcPr>
          <w:p w14:paraId="4766322A">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Number (95%UI)(millions)</w:t>
            </w:r>
          </w:p>
        </w:tc>
        <w:tc>
          <w:tcPr>
            <w:tcW w:w="0" w:type="auto"/>
            <w:tcBorders>
              <w:top w:val="single" w:color="auto" w:sz="6" w:space="0"/>
              <w:left w:val="nil"/>
              <w:bottom w:val="single" w:color="auto" w:sz="4" w:space="0"/>
              <w:right w:val="nil"/>
            </w:tcBorders>
            <w:shd w:val="clear" w:color="auto" w:fill="FFFFFF"/>
            <w:vAlign w:val="center"/>
          </w:tcPr>
          <w:p w14:paraId="66A08440">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Rate (95%UI)(per 100,000)</w:t>
            </w:r>
          </w:p>
        </w:tc>
        <w:tc>
          <w:tcPr>
            <w:tcW w:w="0" w:type="auto"/>
            <w:tcBorders>
              <w:top w:val="single" w:color="auto" w:sz="6" w:space="0"/>
              <w:left w:val="nil"/>
              <w:bottom w:val="single" w:color="auto" w:sz="4" w:space="0"/>
              <w:right w:val="nil"/>
            </w:tcBorders>
            <w:shd w:val="clear" w:color="auto" w:fill="FFFFFF"/>
            <w:noWrap/>
            <w:vAlign w:val="center"/>
          </w:tcPr>
          <w:p w14:paraId="7EC23EB0">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Rate (95%UI)(per 100,000)</w:t>
            </w:r>
          </w:p>
        </w:tc>
        <w:tc>
          <w:tcPr>
            <w:tcW w:w="0" w:type="auto"/>
            <w:tcBorders>
              <w:top w:val="single" w:color="auto" w:sz="6" w:space="0"/>
              <w:left w:val="nil"/>
              <w:bottom w:val="single" w:color="auto" w:sz="4" w:space="0"/>
              <w:right w:val="nil"/>
            </w:tcBorders>
            <w:shd w:val="clear" w:color="auto" w:fill="FFFFFF"/>
            <w:noWrap/>
            <w:vAlign w:val="center"/>
          </w:tcPr>
          <w:p w14:paraId="6B4FF095">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Rate Chage(95%CI)</w:t>
            </w:r>
          </w:p>
        </w:tc>
      </w:tr>
      <w:tr w14:paraId="7B9E0B96">
        <w:trPr>
          <w:trHeight w:val="336" w:hRule="atLeast"/>
        </w:trPr>
        <w:tc>
          <w:tcPr>
            <w:tcW w:w="0" w:type="auto"/>
            <w:tcBorders>
              <w:top w:val="single" w:color="auto" w:sz="4" w:space="0"/>
              <w:left w:val="nil"/>
              <w:bottom w:val="nil"/>
              <w:right w:val="nil"/>
            </w:tcBorders>
            <w:shd w:val="clear" w:color="auto" w:fill="FFFFFF"/>
            <w:noWrap/>
            <w:vAlign w:val="center"/>
          </w:tcPr>
          <w:p w14:paraId="34D4EAA2">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Mental disorders</w:t>
            </w:r>
          </w:p>
        </w:tc>
        <w:tc>
          <w:tcPr>
            <w:tcW w:w="0" w:type="auto"/>
            <w:tcBorders>
              <w:top w:val="single" w:color="auto" w:sz="4" w:space="0"/>
              <w:left w:val="nil"/>
              <w:bottom w:val="nil"/>
              <w:right w:val="nil"/>
            </w:tcBorders>
            <w:shd w:val="clear" w:color="auto" w:fill="FFFFFF"/>
            <w:noWrap/>
            <w:vAlign w:val="center"/>
          </w:tcPr>
          <w:p w14:paraId="43ABB22E">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166.18 (130.93, 201.49)</w:t>
            </w:r>
          </w:p>
        </w:tc>
        <w:tc>
          <w:tcPr>
            <w:tcW w:w="0" w:type="auto"/>
            <w:tcBorders>
              <w:top w:val="single" w:color="auto" w:sz="4" w:space="0"/>
              <w:left w:val="nil"/>
              <w:bottom w:val="nil"/>
              <w:right w:val="nil"/>
            </w:tcBorders>
            <w:shd w:val="clear" w:color="auto" w:fill="FFFFFF"/>
            <w:noWrap/>
            <w:vAlign w:val="center"/>
          </w:tcPr>
          <w:p w14:paraId="3D8149AC">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224.02 (183.52, 265.15)</w:t>
            </w:r>
          </w:p>
        </w:tc>
        <w:tc>
          <w:tcPr>
            <w:tcW w:w="0" w:type="auto"/>
            <w:tcBorders>
              <w:top w:val="single" w:color="auto" w:sz="4" w:space="0"/>
              <w:left w:val="nil"/>
              <w:bottom w:val="nil"/>
              <w:right w:val="nil"/>
            </w:tcBorders>
            <w:shd w:val="clear" w:color="auto" w:fill="FFFFFF"/>
            <w:noWrap/>
            <w:vAlign w:val="center"/>
          </w:tcPr>
          <w:p w14:paraId="2D55A730">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3028.75 (2406.38, 3656.49)</w:t>
            </w:r>
          </w:p>
        </w:tc>
        <w:tc>
          <w:tcPr>
            <w:tcW w:w="0" w:type="auto"/>
            <w:tcBorders>
              <w:top w:val="single" w:color="auto" w:sz="4" w:space="0"/>
              <w:left w:val="nil"/>
              <w:bottom w:val="nil"/>
              <w:right w:val="nil"/>
            </w:tcBorders>
            <w:shd w:val="clear" w:color="auto" w:fill="FFFFFF"/>
            <w:noWrap/>
            <w:vAlign w:val="center"/>
          </w:tcPr>
          <w:p w14:paraId="64EF829D">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2869.83 (2340.49, 3405.24)</w:t>
            </w:r>
          </w:p>
        </w:tc>
        <w:tc>
          <w:tcPr>
            <w:tcW w:w="0" w:type="auto"/>
            <w:tcBorders>
              <w:top w:val="single" w:color="auto" w:sz="4" w:space="0"/>
              <w:left w:val="nil"/>
              <w:bottom w:val="nil"/>
              <w:right w:val="nil"/>
            </w:tcBorders>
            <w:shd w:val="clear" w:color="auto" w:fill="FFFFFF"/>
            <w:noWrap/>
            <w:vAlign w:val="center"/>
          </w:tcPr>
          <w:p w14:paraId="79883FE5">
            <w:pPr>
              <w:widowControl/>
              <w:jc w:val="center"/>
              <w:textAlignment w:val="bottom"/>
              <w:rPr>
                <w:rFonts w:hint="default" w:ascii="Times New Roman Regular" w:hAnsi="Times New Roman Regular" w:cs="Times New Roman Regular"/>
                <w:color w:val="000000"/>
                <w:kern w:val="0"/>
                <w:sz w:val="20"/>
                <w:szCs w:val="20"/>
              </w:rPr>
            </w:pPr>
            <w:r>
              <w:rPr>
                <w:rFonts w:hint="default" w:ascii="Times New Roman Regular" w:hAnsi="Times New Roman Regular" w:cs="Times New Roman Regular"/>
                <w:color w:val="000000"/>
                <w:kern w:val="0"/>
                <w:sz w:val="20"/>
                <w:szCs w:val="20"/>
              </w:rPr>
              <w:t xml:space="preserve">-0.19 </w:t>
            </w:r>
          </w:p>
          <w:p w14:paraId="3B712926">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(-0.22, -0.16)</w:t>
            </w:r>
          </w:p>
        </w:tc>
        <w:tc>
          <w:tcPr>
            <w:tcW w:w="0" w:type="auto"/>
            <w:tcBorders>
              <w:top w:val="single" w:color="auto" w:sz="4" w:space="0"/>
              <w:left w:val="nil"/>
              <w:bottom w:val="nil"/>
              <w:right w:val="nil"/>
            </w:tcBorders>
            <w:shd w:val="clear" w:color="auto" w:fill="FFFFFF"/>
            <w:noWrap/>
            <w:vAlign w:val="center"/>
          </w:tcPr>
          <w:p w14:paraId="4D3D17F5">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24.44 (19.22, 29.64)</w:t>
            </w:r>
          </w:p>
        </w:tc>
        <w:tc>
          <w:tcPr>
            <w:tcW w:w="0" w:type="auto"/>
            <w:tcBorders>
              <w:top w:val="single" w:color="auto" w:sz="4" w:space="0"/>
              <w:left w:val="nil"/>
              <w:bottom w:val="nil"/>
              <w:right w:val="nil"/>
            </w:tcBorders>
            <w:shd w:val="clear" w:color="auto" w:fill="FFFFFF"/>
            <w:noWrap/>
            <w:vAlign w:val="center"/>
          </w:tcPr>
          <w:p w14:paraId="6757FD03">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36.58 (29.10, 44.15)</w:t>
            </w:r>
          </w:p>
        </w:tc>
        <w:tc>
          <w:tcPr>
            <w:tcW w:w="0" w:type="auto"/>
            <w:tcBorders>
              <w:top w:val="single" w:color="auto" w:sz="4" w:space="0"/>
              <w:left w:val="nil"/>
              <w:bottom w:val="nil"/>
              <w:right w:val="nil"/>
            </w:tcBorders>
            <w:shd w:val="clear" w:color="auto" w:fill="FFFFFF"/>
            <w:noWrap/>
            <w:vAlign w:val="center"/>
          </w:tcPr>
          <w:p w14:paraId="198CD224">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460.92 (364.63, 557.87)</w:t>
            </w:r>
          </w:p>
        </w:tc>
        <w:tc>
          <w:tcPr>
            <w:tcW w:w="0" w:type="auto"/>
            <w:tcBorders>
              <w:top w:val="single" w:color="auto" w:sz="4" w:space="0"/>
              <w:left w:val="nil"/>
              <w:bottom w:val="nil"/>
              <w:right w:val="nil"/>
            </w:tcBorders>
            <w:shd w:val="clear" w:color="auto" w:fill="FFFFFF"/>
            <w:noWrap/>
            <w:vAlign w:val="center"/>
          </w:tcPr>
          <w:p w14:paraId="064AA10C">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457.78 (365.21, 554.03)</w:t>
            </w:r>
          </w:p>
        </w:tc>
        <w:tc>
          <w:tcPr>
            <w:tcW w:w="0" w:type="auto"/>
            <w:tcBorders>
              <w:top w:val="single" w:color="auto" w:sz="4" w:space="0"/>
              <w:left w:val="nil"/>
              <w:bottom w:val="nil"/>
              <w:right w:val="nil"/>
            </w:tcBorders>
            <w:shd w:val="clear" w:color="auto" w:fill="FFFFFF"/>
            <w:noWrap/>
            <w:vAlign w:val="center"/>
          </w:tcPr>
          <w:p w14:paraId="60EF9F2E">
            <w:pPr>
              <w:widowControl/>
              <w:jc w:val="center"/>
              <w:textAlignment w:val="center"/>
              <w:rPr>
                <w:rFonts w:hint="default" w:ascii="Times New Roman Regular" w:hAnsi="Times New Roman Regular" w:cs="Times New Roman Regular"/>
                <w:color w:val="000000"/>
                <w:kern w:val="0"/>
                <w:sz w:val="20"/>
                <w:szCs w:val="20"/>
              </w:rPr>
            </w:pPr>
            <w:r>
              <w:rPr>
                <w:rFonts w:hint="default" w:ascii="Times New Roman Regular" w:hAnsi="Times New Roman Regular" w:cs="Times New Roman Regular"/>
                <w:color w:val="000000"/>
                <w:kern w:val="0"/>
                <w:sz w:val="20"/>
                <w:szCs w:val="20"/>
              </w:rPr>
              <w:t>-0.02</w:t>
            </w:r>
          </w:p>
          <w:p w14:paraId="3DCC0D69">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(-0.03, -0.01)</w:t>
            </w:r>
          </w:p>
        </w:tc>
      </w:tr>
      <w:tr w14:paraId="13750FBE">
        <w:trPr>
          <w:trHeight w:val="336" w:hRule="atLeast"/>
        </w:trPr>
        <w:tc>
          <w:tcPr>
            <w:tcW w:w="0" w:type="auto"/>
            <w:tcBorders>
              <w:top w:val="nil"/>
              <w:left w:val="nil"/>
              <w:bottom w:val="nil"/>
              <w:right w:val="nil"/>
            </w:tcBorders>
            <w:shd w:val="clear" w:color="auto" w:fill="FFFFFF"/>
            <w:noWrap/>
            <w:vAlign w:val="center"/>
          </w:tcPr>
          <w:p w14:paraId="7C922F02">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Developmental intellectual disability</w:t>
            </w:r>
          </w:p>
        </w:tc>
        <w:tc>
          <w:tcPr>
            <w:tcW w:w="0" w:type="auto"/>
            <w:tcBorders>
              <w:top w:val="nil"/>
              <w:left w:val="nil"/>
              <w:bottom w:val="nil"/>
              <w:right w:val="nil"/>
            </w:tcBorders>
            <w:shd w:val="clear" w:color="auto" w:fill="FFFFFF"/>
            <w:noWrap/>
            <w:vAlign w:val="center"/>
          </w:tcPr>
          <w:p w14:paraId="56AAB340">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112.05 (77.92, 147.58)</w:t>
            </w:r>
          </w:p>
        </w:tc>
        <w:tc>
          <w:tcPr>
            <w:tcW w:w="0" w:type="auto"/>
            <w:tcBorders>
              <w:top w:val="nil"/>
              <w:left w:val="nil"/>
              <w:bottom w:val="nil"/>
              <w:right w:val="nil"/>
            </w:tcBorders>
            <w:shd w:val="clear" w:color="auto" w:fill="FFFFFF"/>
            <w:noWrap/>
            <w:vAlign w:val="center"/>
          </w:tcPr>
          <w:p w14:paraId="255C5C2E">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140.95 (99.97, 183.23)</w:t>
            </w:r>
          </w:p>
        </w:tc>
        <w:tc>
          <w:tcPr>
            <w:tcW w:w="0" w:type="auto"/>
            <w:tcBorders>
              <w:top w:val="nil"/>
              <w:left w:val="nil"/>
              <w:bottom w:val="nil"/>
              <w:right w:val="nil"/>
            </w:tcBorders>
            <w:shd w:val="clear" w:color="auto" w:fill="FFFFFF"/>
            <w:noWrap/>
            <w:vAlign w:val="center"/>
          </w:tcPr>
          <w:p w14:paraId="7B3075EF">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2005.72 (1398.07, 2639.37)</w:t>
            </w:r>
          </w:p>
        </w:tc>
        <w:tc>
          <w:tcPr>
            <w:tcW w:w="0" w:type="auto"/>
            <w:tcBorders>
              <w:top w:val="nil"/>
              <w:left w:val="nil"/>
              <w:bottom w:val="nil"/>
              <w:right w:val="nil"/>
            </w:tcBorders>
            <w:shd w:val="clear" w:color="auto" w:fill="FFFFFF"/>
            <w:noWrap/>
            <w:vAlign w:val="center"/>
          </w:tcPr>
          <w:p w14:paraId="31CBA88B">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1828.31 (1294.77, 2378.37)</w:t>
            </w:r>
          </w:p>
        </w:tc>
        <w:tc>
          <w:tcPr>
            <w:tcW w:w="0" w:type="auto"/>
            <w:tcBorders>
              <w:top w:val="nil"/>
              <w:left w:val="nil"/>
              <w:bottom w:val="nil"/>
              <w:right w:val="nil"/>
            </w:tcBorders>
            <w:shd w:val="clear" w:color="auto" w:fill="FFFFFF"/>
            <w:noWrap/>
            <w:vAlign w:val="center"/>
          </w:tcPr>
          <w:p w14:paraId="12096D0A">
            <w:pPr>
              <w:widowControl/>
              <w:jc w:val="center"/>
              <w:textAlignment w:val="bottom"/>
              <w:rPr>
                <w:rFonts w:hint="default" w:ascii="Times New Roman Regular" w:hAnsi="Times New Roman Regular" w:cs="Times New Roman Regular"/>
                <w:color w:val="000000"/>
                <w:kern w:val="0"/>
                <w:sz w:val="20"/>
                <w:szCs w:val="20"/>
              </w:rPr>
            </w:pPr>
            <w:r>
              <w:rPr>
                <w:rFonts w:hint="default" w:ascii="Times New Roman Regular" w:hAnsi="Times New Roman Regular" w:cs="Times New Roman Regular"/>
                <w:color w:val="000000"/>
                <w:kern w:val="0"/>
                <w:sz w:val="20"/>
                <w:szCs w:val="20"/>
              </w:rPr>
              <w:t>-0.34</w:t>
            </w:r>
          </w:p>
          <w:p w14:paraId="1CD7A16E">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(-0.38, -0.29)</w:t>
            </w:r>
          </w:p>
        </w:tc>
        <w:tc>
          <w:tcPr>
            <w:tcW w:w="0" w:type="auto"/>
            <w:tcBorders>
              <w:top w:val="nil"/>
              <w:left w:val="nil"/>
              <w:bottom w:val="nil"/>
              <w:right w:val="nil"/>
            </w:tcBorders>
            <w:shd w:val="clear" w:color="auto" w:fill="FFFFFF"/>
            <w:noWrap/>
            <w:vAlign w:val="center"/>
          </w:tcPr>
          <w:p w14:paraId="5EDC5644">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7.81 (4.96, 11.41)</w:t>
            </w:r>
          </w:p>
        </w:tc>
        <w:tc>
          <w:tcPr>
            <w:tcW w:w="0" w:type="auto"/>
            <w:tcBorders>
              <w:top w:val="nil"/>
              <w:left w:val="nil"/>
              <w:bottom w:val="nil"/>
              <w:right w:val="nil"/>
            </w:tcBorders>
            <w:shd w:val="clear" w:color="auto" w:fill="FFFFFF"/>
            <w:noWrap/>
            <w:vAlign w:val="center"/>
          </w:tcPr>
          <w:p w14:paraId="31C66509">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10.21 (6.58, 14.68)</w:t>
            </w:r>
          </w:p>
        </w:tc>
        <w:tc>
          <w:tcPr>
            <w:tcW w:w="0" w:type="auto"/>
            <w:tcBorders>
              <w:top w:val="nil"/>
              <w:left w:val="nil"/>
              <w:bottom w:val="nil"/>
              <w:right w:val="nil"/>
            </w:tcBorders>
            <w:shd w:val="clear" w:color="auto" w:fill="FFFFFF"/>
            <w:noWrap/>
            <w:vAlign w:val="center"/>
          </w:tcPr>
          <w:p w14:paraId="2DF1213D">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139.79 (88.80, 204.00)</w:t>
            </w:r>
          </w:p>
        </w:tc>
        <w:tc>
          <w:tcPr>
            <w:tcW w:w="0" w:type="auto"/>
            <w:tcBorders>
              <w:top w:val="nil"/>
              <w:left w:val="nil"/>
              <w:bottom w:val="nil"/>
              <w:right w:val="nil"/>
            </w:tcBorders>
            <w:shd w:val="clear" w:color="auto" w:fill="FFFFFF"/>
            <w:noWrap/>
            <w:vAlign w:val="center"/>
          </w:tcPr>
          <w:p w14:paraId="6300B4FD">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132.47 (85.31, 190.44)</w:t>
            </w:r>
          </w:p>
        </w:tc>
        <w:tc>
          <w:tcPr>
            <w:tcW w:w="0" w:type="auto"/>
            <w:tcBorders>
              <w:top w:val="nil"/>
              <w:left w:val="nil"/>
              <w:bottom w:val="nil"/>
              <w:right w:val="nil"/>
            </w:tcBorders>
            <w:shd w:val="clear" w:color="auto" w:fill="FFFFFF"/>
            <w:noWrap/>
            <w:vAlign w:val="center"/>
          </w:tcPr>
          <w:p w14:paraId="7E98EA0F">
            <w:pPr>
              <w:widowControl/>
              <w:jc w:val="center"/>
              <w:textAlignment w:val="center"/>
              <w:rPr>
                <w:rFonts w:hint="default" w:ascii="Times New Roman Regular" w:hAnsi="Times New Roman Regular" w:cs="Times New Roman Regular"/>
                <w:color w:val="000000"/>
                <w:kern w:val="0"/>
                <w:sz w:val="20"/>
                <w:szCs w:val="20"/>
              </w:rPr>
            </w:pPr>
            <w:r>
              <w:rPr>
                <w:rFonts w:hint="default" w:ascii="Times New Roman Regular" w:hAnsi="Times New Roman Regular" w:cs="Times New Roman Regular"/>
                <w:color w:val="000000"/>
                <w:kern w:val="0"/>
                <w:sz w:val="20"/>
                <w:szCs w:val="20"/>
              </w:rPr>
              <w:t>-0.19</w:t>
            </w:r>
          </w:p>
          <w:p w14:paraId="1420A89C">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(-0.23, -0.16)</w:t>
            </w:r>
          </w:p>
        </w:tc>
      </w:tr>
      <w:tr w14:paraId="0C713E15">
        <w:trPr>
          <w:trHeight w:val="336" w:hRule="atLeast"/>
        </w:trPr>
        <w:tc>
          <w:tcPr>
            <w:tcW w:w="0" w:type="auto"/>
            <w:tcBorders>
              <w:top w:val="nil"/>
              <w:left w:val="nil"/>
              <w:bottom w:val="nil"/>
              <w:right w:val="nil"/>
            </w:tcBorders>
            <w:shd w:val="clear" w:color="auto" w:fill="FFFFFF"/>
            <w:noWrap/>
            <w:vAlign w:val="center"/>
          </w:tcPr>
          <w:p w14:paraId="156788E5">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Schizophrenia</w:t>
            </w:r>
          </w:p>
        </w:tc>
        <w:tc>
          <w:tcPr>
            <w:tcW w:w="0" w:type="auto"/>
            <w:tcBorders>
              <w:top w:val="nil"/>
              <w:left w:val="nil"/>
              <w:bottom w:val="nil"/>
              <w:right w:val="nil"/>
            </w:tcBorders>
            <w:shd w:val="clear" w:color="auto" w:fill="FFFFFF"/>
            <w:noWrap/>
            <w:vAlign w:val="center"/>
          </w:tcPr>
          <w:p w14:paraId="2A32B5F4">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13.61 (11.32, 16.15)</w:t>
            </w:r>
          </w:p>
        </w:tc>
        <w:tc>
          <w:tcPr>
            <w:tcW w:w="0" w:type="auto"/>
            <w:tcBorders>
              <w:top w:val="nil"/>
              <w:left w:val="nil"/>
              <w:bottom w:val="nil"/>
              <w:right w:val="nil"/>
            </w:tcBorders>
            <w:shd w:val="clear" w:color="auto" w:fill="FFFFFF"/>
            <w:noWrap/>
            <w:vAlign w:val="center"/>
          </w:tcPr>
          <w:p w14:paraId="5829F99B">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23.16 (19.19, 27.39)</w:t>
            </w:r>
          </w:p>
        </w:tc>
        <w:tc>
          <w:tcPr>
            <w:tcW w:w="0" w:type="auto"/>
            <w:tcBorders>
              <w:top w:val="nil"/>
              <w:left w:val="nil"/>
              <w:bottom w:val="nil"/>
              <w:right w:val="nil"/>
            </w:tcBorders>
            <w:shd w:val="clear" w:color="auto" w:fill="FFFFFF"/>
            <w:noWrap/>
            <w:vAlign w:val="center"/>
          </w:tcPr>
          <w:p w14:paraId="05677CCE">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275.51 (229.77, 323.59)</w:t>
            </w:r>
          </w:p>
        </w:tc>
        <w:tc>
          <w:tcPr>
            <w:tcW w:w="0" w:type="auto"/>
            <w:tcBorders>
              <w:top w:val="nil"/>
              <w:left w:val="nil"/>
              <w:bottom w:val="nil"/>
              <w:right w:val="nil"/>
            </w:tcBorders>
            <w:shd w:val="clear" w:color="auto" w:fill="FFFFFF"/>
            <w:noWrap/>
            <w:vAlign w:val="center"/>
          </w:tcPr>
          <w:p w14:paraId="6518CE2C">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277.43 (229.61, 328.61)</w:t>
            </w:r>
          </w:p>
        </w:tc>
        <w:tc>
          <w:tcPr>
            <w:tcW w:w="0" w:type="auto"/>
            <w:tcBorders>
              <w:top w:val="nil"/>
              <w:left w:val="nil"/>
              <w:bottom w:val="nil"/>
              <w:right w:val="nil"/>
            </w:tcBorders>
            <w:shd w:val="clear" w:color="auto" w:fill="FFFFFF"/>
            <w:noWrap/>
            <w:vAlign w:val="center"/>
          </w:tcPr>
          <w:p w14:paraId="1499CF55">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0.03 (0.02, 0.04)</w:t>
            </w:r>
          </w:p>
        </w:tc>
        <w:tc>
          <w:tcPr>
            <w:tcW w:w="0" w:type="auto"/>
            <w:tcBorders>
              <w:top w:val="nil"/>
              <w:left w:val="nil"/>
              <w:bottom w:val="nil"/>
              <w:right w:val="nil"/>
            </w:tcBorders>
            <w:shd w:val="clear" w:color="auto" w:fill="FFFFFF"/>
            <w:noWrap/>
            <w:vAlign w:val="center"/>
          </w:tcPr>
          <w:p w14:paraId="310BFDF8">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8.76 (6.48, 11.26)</w:t>
            </w:r>
          </w:p>
        </w:tc>
        <w:tc>
          <w:tcPr>
            <w:tcW w:w="0" w:type="auto"/>
            <w:tcBorders>
              <w:top w:val="nil"/>
              <w:left w:val="nil"/>
              <w:bottom w:val="nil"/>
              <w:right w:val="nil"/>
            </w:tcBorders>
            <w:shd w:val="clear" w:color="auto" w:fill="FFFFFF"/>
            <w:noWrap/>
            <w:vAlign w:val="center"/>
          </w:tcPr>
          <w:p w14:paraId="37718E1F">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14.82 (10.93, 19.10)</w:t>
            </w:r>
          </w:p>
        </w:tc>
        <w:tc>
          <w:tcPr>
            <w:tcW w:w="0" w:type="auto"/>
            <w:tcBorders>
              <w:top w:val="nil"/>
              <w:left w:val="nil"/>
              <w:bottom w:val="nil"/>
              <w:right w:val="nil"/>
            </w:tcBorders>
            <w:shd w:val="clear" w:color="auto" w:fill="FFFFFF"/>
            <w:noWrap/>
            <w:vAlign w:val="center"/>
          </w:tcPr>
          <w:p w14:paraId="441A7E0C">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176.61 (130.85, 226.02)</w:t>
            </w:r>
          </w:p>
        </w:tc>
        <w:tc>
          <w:tcPr>
            <w:tcW w:w="0" w:type="auto"/>
            <w:tcBorders>
              <w:top w:val="nil"/>
              <w:left w:val="nil"/>
              <w:bottom w:val="nil"/>
              <w:right w:val="nil"/>
            </w:tcBorders>
            <w:shd w:val="clear" w:color="auto" w:fill="FFFFFF"/>
            <w:noWrap/>
            <w:vAlign w:val="center"/>
          </w:tcPr>
          <w:p w14:paraId="4BDA4E10">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177.75 (131.51, 228.80)</w:t>
            </w:r>
          </w:p>
        </w:tc>
        <w:tc>
          <w:tcPr>
            <w:tcW w:w="0" w:type="auto"/>
            <w:tcBorders>
              <w:top w:val="nil"/>
              <w:left w:val="nil"/>
              <w:bottom w:val="nil"/>
              <w:right w:val="nil"/>
            </w:tcBorders>
            <w:shd w:val="clear" w:color="auto" w:fill="FFFFFF"/>
            <w:noWrap/>
            <w:vAlign w:val="center"/>
          </w:tcPr>
          <w:p w14:paraId="13CF32DF">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0.04 (0.03, 0.05)</w:t>
            </w:r>
          </w:p>
        </w:tc>
      </w:tr>
      <w:tr w14:paraId="05B0487B">
        <w:trPr>
          <w:trHeight w:val="351" w:hRule="atLeast"/>
        </w:trPr>
        <w:tc>
          <w:tcPr>
            <w:tcW w:w="0" w:type="auto"/>
            <w:tcBorders>
              <w:top w:val="nil"/>
              <w:left w:val="nil"/>
              <w:bottom w:val="single" w:color="auto" w:sz="12" w:space="0"/>
              <w:right w:val="nil"/>
            </w:tcBorders>
            <w:shd w:val="clear" w:color="auto" w:fill="FFFFFF"/>
            <w:noWrap/>
            <w:vAlign w:val="center"/>
          </w:tcPr>
          <w:p w14:paraId="0256B4FB">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Autism spectrum disorders</w:t>
            </w:r>
          </w:p>
        </w:tc>
        <w:tc>
          <w:tcPr>
            <w:tcW w:w="0" w:type="auto"/>
            <w:tcBorders>
              <w:top w:val="nil"/>
              <w:left w:val="nil"/>
              <w:bottom w:val="single" w:color="auto" w:sz="12" w:space="0"/>
              <w:right w:val="nil"/>
            </w:tcBorders>
            <w:shd w:val="clear" w:color="auto" w:fill="FFFFFF"/>
            <w:noWrap/>
            <w:vAlign w:val="center"/>
          </w:tcPr>
          <w:p w14:paraId="403735E1">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41.80 (35.25, 49.44)</w:t>
            </w:r>
          </w:p>
        </w:tc>
        <w:tc>
          <w:tcPr>
            <w:tcW w:w="0" w:type="auto"/>
            <w:tcBorders>
              <w:top w:val="nil"/>
              <w:left w:val="nil"/>
              <w:bottom w:val="single" w:color="auto" w:sz="12" w:space="0"/>
              <w:right w:val="nil"/>
            </w:tcBorders>
            <w:shd w:val="clear" w:color="auto" w:fill="FFFFFF"/>
            <w:noWrap/>
            <w:vAlign w:val="center"/>
          </w:tcPr>
          <w:p w14:paraId="5AA31A62">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61.62 (51.93, 72.44)</w:t>
            </w:r>
          </w:p>
        </w:tc>
        <w:tc>
          <w:tcPr>
            <w:tcW w:w="0" w:type="auto"/>
            <w:tcBorders>
              <w:top w:val="nil"/>
              <w:left w:val="nil"/>
              <w:bottom w:val="single" w:color="auto" w:sz="12" w:space="0"/>
              <w:right w:val="nil"/>
            </w:tcBorders>
            <w:shd w:val="clear" w:color="auto" w:fill="FFFFFF"/>
            <w:noWrap/>
            <w:vAlign w:val="center"/>
          </w:tcPr>
          <w:p w14:paraId="3A20E708">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770.79 (649.60, 911.18)</w:t>
            </w:r>
          </w:p>
        </w:tc>
        <w:tc>
          <w:tcPr>
            <w:tcW w:w="0" w:type="auto"/>
            <w:tcBorders>
              <w:top w:val="nil"/>
              <w:left w:val="nil"/>
              <w:bottom w:val="single" w:color="auto" w:sz="12" w:space="0"/>
              <w:right w:val="nil"/>
            </w:tcBorders>
            <w:shd w:val="clear" w:color="auto" w:fill="FFFFFF"/>
            <w:noWrap/>
            <w:vAlign w:val="center"/>
          </w:tcPr>
          <w:p w14:paraId="770E255C">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785.80 (662.03, 923.71)</w:t>
            </w:r>
          </w:p>
        </w:tc>
        <w:tc>
          <w:tcPr>
            <w:tcW w:w="0" w:type="auto"/>
            <w:tcBorders>
              <w:top w:val="nil"/>
              <w:left w:val="nil"/>
              <w:bottom w:val="single" w:color="auto" w:sz="12" w:space="0"/>
              <w:right w:val="nil"/>
            </w:tcBorders>
            <w:shd w:val="clear" w:color="auto" w:fill="FFFFFF"/>
            <w:noWrap/>
            <w:vAlign w:val="center"/>
          </w:tcPr>
          <w:p w14:paraId="6CABFA4D">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0.07 (0.07, 0.08)</w:t>
            </w:r>
          </w:p>
        </w:tc>
        <w:tc>
          <w:tcPr>
            <w:tcW w:w="0" w:type="auto"/>
            <w:tcBorders>
              <w:top w:val="nil"/>
              <w:left w:val="nil"/>
              <w:bottom w:val="single" w:color="auto" w:sz="12" w:space="0"/>
              <w:right w:val="nil"/>
            </w:tcBorders>
            <w:shd w:val="clear" w:color="auto" w:fill="FFFFFF"/>
            <w:noWrap/>
            <w:vAlign w:val="center"/>
          </w:tcPr>
          <w:p w14:paraId="12170196">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7.87 (5.35, 11.07)</w:t>
            </w:r>
          </w:p>
        </w:tc>
        <w:tc>
          <w:tcPr>
            <w:tcW w:w="0" w:type="auto"/>
            <w:tcBorders>
              <w:top w:val="nil"/>
              <w:left w:val="nil"/>
              <w:bottom w:val="single" w:color="auto" w:sz="12" w:space="0"/>
              <w:right w:val="nil"/>
            </w:tcBorders>
            <w:shd w:val="clear" w:color="auto" w:fill="FFFFFF"/>
            <w:noWrap/>
            <w:vAlign w:val="center"/>
          </w:tcPr>
          <w:p w14:paraId="152D8A2B">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11.54 (7.84, 16.29)</w:t>
            </w:r>
          </w:p>
        </w:tc>
        <w:tc>
          <w:tcPr>
            <w:tcW w:w="0" w:type="auto"/>
            <w:tcBorders>
              <w:top w:val="nil"/>
              <w:left w:val="nil"/>
              <w:bottom w:val="single" w:color="auto" w:sz="12" w:space="0"/>
              <w:right w:val="nil"/>
            </w:tcBorders>
            <w:shd w:val="clear" w:color="auto" w:fill="FFFFFF"/>
            <w:noWrap/>
            <w:vAlign w:val="center"/>
          </w:tcPr>
          <w:p w14:paraId="6DC7F45B">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144.51 (98.30, 203.28)</w:t>
            </w:r>
          </w:p>
        </w:tc>
        <w:tc>
          <w:tcPr>
            <w:tcW w:w="0" w:type="auto"/>
            <w:tcBorders>
              <w:top w:val="nil"/>
              <w:left w:val="nil"/>
              <w:bottom w:val="single" w:color="auto" w:sz="12" w:space="0"/>
              <w:right w:val="nil"/>
            </w:tcBorders>
            <w:shd w:val="clear" w:color="auto" w:fill="FFFFFF"/>
            <w:noWrap/>
            <w:vAlign w:val="center"/>
          </w:tcPr>
          <w:p w14:paraId="6E860024">
            <w:pPr>
              <w:widowControl/>
              <w:jc w:val="center"/>
              <w:textAlignment w:val="bottom"/>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147.56 (100.21, 208.16)</w:t>
            </w:r>
          </w:p>
        </w:tc>
        <w:tc>
          <w:tcPr>
            <w:tcW w:w="0" w:type="auto"/>
            <w:tcBorders>
              <w:top w:val="nil"/>
              <w:left w:val="nil"/>
              <w:bottom w:val="single" w:color="auto" w:sz="12" w:space="0"/>
              <w:right w:val="nil"/>
            </w:tcBorders>
            <w:shd w:val="clear" w:color="auto" w:fill="FFFFFF"/>
            <w:noWrap/>
            <w:vAlign w:val="center"/>
          </w:tcPr>
          <w:p w14:paraId="382F5308">
            <w:pPr>
              <w:widowControl/>
              <w:jc w:val="center"/>
              <w:textAlignment w:val="center"/>
              <w:rPr>
                <w:rFonts w:hint="default" w:ascii="Times New Roman Regular" w:hAnsi="Times New Roman Regular" w:cs="Times New Roman Regular"/>
                <w:color w:val="000000"/>
                <w:sz w:val="20"/>
                <w:szCs w:val="20"/>
              </w:rPr>
            </w:pPr>
            <w:r>
              <w:rPr>
                <w:rFonts w:hint="default" w:ascii="Times New Roman Regular" w:hAnsi="Times New Roman Regular" w:cs="Times New Roman Regular"/>
                <w:color w:val="000000"/>
                <w:kern w:val="0"/>
                <w:sz w:val="20"/>
                <w:szCs w:val="20"/>
              </w:rPr>
              <w:t>0.08 (0.08, 0.09)</w:t>
            </w:r>
          </w:p>
        </w:tc>
      </w:tr>
    </w:tbl>
    <w:p w14:paraId="77C82164">
      <w:pPr>
        <w:rPr>
          <w:rFonts w:ascii="Times New Roman" w:hAnsi="Times New Roman" w:cs="Times New Roman"/>
          <w:sz w:val="16"/>
          <w:szCs w:val="16"/>
        </w:rPr>
      </w:pPr>
    </w:p>
    <w:p w14:paraId="432BADC9">
      <w:pPr>
        <w:rPr>
          <w:rFonts w:ascii="Times New Roman" w:hAnsi="Times New Roman" w:cs="Times New Roman"/>
          <w:sz w:val="16"/>
          <w:szCs w:val="16"/>
        </w:rPr>
      </w:pPr>
    </w:p>
    <w:p w14:paraId="5626428F">
      <w:pPr>
        <w:rPr>
          <w:rFonts w:ascii="Times New Roman" w:hAnsi="Times New Roman" w:eastAsia="宋体" w:cs="Times New Roman"/>
          <w:kern w:val="0"/>
          <w:sz w:val="16"/>
          <w:szCs w:val="16"/>
          <w:lang w:bidi="ar"/>
        </w:rPr>
      </w:pPr>
    </w:p>
    <w:p w14:paraId="55A0A44C">
      <w:pPr>
        <w:rPr>
          <w:rFonts w:ascii="Times New Roman" w:hAnsi="Times New Roman" w:eastAsia="宋体" w:cs="Times New Roman"/>
          <w:kern w:val="0"/>
          <w:sz w:val="16"/>
          <w:szCs w:val="16"/>
          <w:lang w:bidi="ar"/>
        </w:rPr>
      </w:pPr>
    </w:p>
    <w:p w14:paraId="3249737B">
      <w:pPr>
        <w:rPr>
          <w:rFonts w:ascii="Times New Roman" w:hAnsi="Times New Roman" w:eastAsia="宋体" w:cs="Times New Roman"/>
          <w:kern w:val="0"/>
          <w:sz w:val="16"/>
          <w:szCs w:val="16"/>
          <w:lang w:bidi="ar"/>
        </w:rPr>
      </w:pPr>
    </w:p>
    <w:p w14:paraId="76AC2F05">
      <w:pPr>
        <w:rPr>
          <w:rFonts w:ascii="Times New Roman" w:hAnsi="Times New Roman" w:eastAsia="宋体" w:cs="Times New Roman"/>
          <w:kern w:val="0"/>
          <w:sz w:val="16"/>
          <w:szCs w:val="16"/>
          <w:lang w:bidi="ar"/>
        </w:rPr>
      </w:pPr>
    </w:p>
    <w:p w14:paraId="06D540D2">
      <w:pPr>
        <w:rPr>
          <w:rFonts w:ascii="Times New Roman" w:hAnsi="Times New Roman" w:eastAsia="宋体" w:cs="Times New Roman"/>
          <w:kern w:val="0"/>
          <w:sz w:val="16"/>
          <w:szCs w:val="16"/>
          <w:lang w:bidi="ar"/>
        </w:rPr>
      </w:pPr>
    </w:p>
    <w:p w14:paraId="55DFC41E">
      <w:pPr>
        <w:rPr>
          <w:rFonts w:ascii="Times New Roman" w:hAnsi="Times New Roman" w:eastAsia="宋体" w:cs="Times New Roman"/>
          <w:kern w:val="0"/>
          <w:sz w:val="16"/>
          <w:szCs w:val="16"/>
          <w:lang w:bidi="ar"/>
        </w:rPr>
      </w:pPr>
    </w:p>
    <w:p w14:paraId="674F454A">
      <w:pPr>
        <w:rPr>
          <w:rFonts w:ascii="Times New Roman" w:hAnsi="Times New Roman" w:eastAsia="宋体" w:cs="Times New Roman"/>
          <w:kern w:val="0"/>
          <w:sz w:val="16"/>
          <w:szCs w:val="16"/>
          <w:lang w:bidi="ar"/>
        </w:rPr>
      </w:pPr>
    </w:p>
    <w:p w14:paraId="3947FDAF">
      <w:pPr>
        <w:rPr>
          <w:rFonts w:ascii="Times New Roman" w:hAnsi="Times New Roman" w:eastAsia="宋体" w:cs="Times New Roman"/>
          <w:kern w:val="0"/>
          <w:sz w:val="16"/>
          <w:szCs w:val="16"/>
          <w:lang w:bidi="ar"/>
        </w:rPr>
      </w:pPr>
    </w:p>
    <w:p w14:paraId="6332EF5B">
      <w:pPr>
        <w:pStyle w:val="29"/>
        <w:spacing w:before="156" w:after="156"/>
        <w:rPr>
          <w:rFonts w:ascii="Times New Roman" w:hAnsi="Times New Roman" w:cs="Times New Roman"/>
          <w:sz w:val="16"/>
          <w:szCs w:val="16"/>
        </w:rPr>
      </w:pPr>
      <w:bookmarkStart w:id="30" w:name="_Toc271042043"/>
      <w:bookmarkStart w:id="31" w:name="_Toc2037802766"/>
      <w:r>
        <w:rPr>
          <w:rFonts w:ascii="Times New Roman" w:hAnsi="Times New Roman" w:cs="Times New Roman"/>
          <w:b/>
          <w:sz w:val="16"/>
          <w:szCs w:val="16"/>
        </w:rPr>
        <w:t xml:space="preserve">Table S2. </w:t>
      </w:r>
      <w:r>
        <w:rPr>
          <w:rFonts w:hint="eastAsia" w:ascii="Times New Roman" w:hAnsi="Times New Roman" w:cs="Times New Roman"/>
          <w:b/>
          <w:sz w:val="16"/>
          <w:szCs w:val="16"/>
        </w:rPr>
        <w:t>Different GBD Region Burden of Mental Disorders and Related Conditions Among Both Sexes, 1990–2021</w:t>
      </w:r>
      <w:r>
        <w:rPr>
          <w:rFonts w:ascii="Times New Roman" w:hAnsi="Times New Roman" w:cs="Times New Roman"/>
          <w:b/>
          <w:sz w:val="16"/>
          <w:szCs w:val="16"/>
          <w:lang w:bidi="ar"/>
        </w:rPr>
        <w:t>.</w:t>
      </w:r>
      <w:bookmarkEnd w:id="30"/>
      <w:r>
        <w:rPr>
          <w:rFonts w:hint="eastAsia" w:ascii="Times New Roman" w:hAnsi="Times New Roman" w:cs="Times New Roman"/>
          <w:b/>
          <w:sz w:val="16"/>
          <w:szCs w:val="16"/>
          <w:lang w:bidi="ar"/>
        </w:rPr>
        <w:t>95% UI=95% uncertainty interval. 95% CI=95% confidence interval.</w:t>
      </w:r>
      <w:bookmarkEnd w:id="31"/>
    </w:p>
    <w:tbl>
      <w:tblPr>
        <w:tblStyle w:val="18"/>
        <w:tblpPr w:leftFromText="180" w:rightFromText="180" w:vertAnchor="text" w:horzAnchor="page" w:tblpX="1869" w:tblpY="622"/>
        <w:tblOverlap w:val="never"/>
        <w:tblW w:w="0" w:type="auto"/>
        <w:tblInd w:w="0"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44"/>
        <w:gridCol w:w="976"/>
        <w:gridCol w:w="636"/>
        <w:gridCol w:w="662"/>
        <w:gridCol w:w="790"/>
        <w:gridCol w:w="790"/>
        <w:gridCol w:w="610"/>
        <w:gridCol w:w="567"/>
        <w:gridCol w:w="610"/>
        <w:gridCol w:w="713"/>
        <w:gridCol w:w="713"/>
        <w:gridCol w:w="611"/>
      </w:tblGrid>
      <w:tr w14:paraId="109DF2DC">
        <w:trPr>
          <w:trHeight w:val="366" w:hRule="atLeast"/>
        </w:trPr>
        <w:tc>
          <w:tcPr>
            <w:tcW w:w="0" w:type="auto"/>
            <w:vMerge w:val="restart"/>
            <w:tcBorders>
              <w:left w:val="nil"/>
              <w:bottom w:val="nil"/>
              <w:right w:val="nil"/>
              <w:tl2br w:val="nil"/>
            </w:tcBorders>
            <w:shd w:val="clear" w:color="auto" w:fill="FFFFFF"/>
            <w:noWrap/>
            <w:vAlign w:val="center"/>
          </w:tcPr>
          <w:p w14:paraId="4E068247">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location</w:t>
            </w:r>
          </w:p>
        </w:tc>
        <w:tc>
          <w:tcPr>
            <w:tcW w:w="0" w:type="auto"/>
            <w:vMerge w:val="restart"/>
            <w:tcBorders>
              <w:left w:val="nil"/>
              <w:bottom w:val="nil"/>
              <w:right w:val="nil"/>
            </w:tcBorders>
            <w:shd w:val="clear" w:color="auto" w:fill="FFFFFF"/>
            <w:noWrap/>
            <w:vAlign w:val="center"/>
          </w:tcPr>
          <w:p w14:paraId="6AC0CFAF">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Characteristic</w:t>
            </w:r>
          </w:p>
        </w:tc>
        <w:tc>
          <w:tcPr>
            <w:tcW w:w="0" w:type="auto"/>
            <w:gridSpan w:val="5"/>
            <w:tcBorders>
              <w:left w:val="nil"/>
              <w:bottom w:val="single" w:color="auto" w:sz="6" w:space="0"/>
              <w:right w:val="nil"/>
            </w:tcBorders>
            <w:shd w:val="clear" w:color="auto" w:fill="FFFFFF"/>
            <w:noWrap/>
            <w:vAlign w:val="center"/>
          </w:tcPr>
          <w:p w14:paraId="01EC4A04">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Prevalence</w:t>
            </w:r>
          </w:p>
        </w:tc>
        <w:tc>
          <w:tcPr>
            <w:tcW w:w="0" w:type="auto"/>
            <w:gridSpan w:val="5"/>
            <w:tcBorders>
              <w:left w:val="nil"/>
              <w:bottom w:val="single" w:color="auto" w:sz="6" w:space="0"/>
              <w:right w:val="nil"/>
            </w:tcBorders>
            <w:shd w:val="clear" w:color="auto" w:fill="FFFFFF"/>
            <w:noWrap/>
            <w:vAlign w:val="center"/>
          </w:tcPr>
          <w:p w14:paraId="60E01BF8">
            <w:pPr>
              <w:jc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YLDs</w:t>
            </w:r>
          </w:p>
        </w:tc>
      </w:tr>
      <w:tr w14:paraId="1AAB944C">
        <w:trPr>
          <w:trHeight w:val="370" w:hRule="atLeast"/>
        </w:trPr>
        <w:tc>
          <w:tcPr>
            <w:tcW w:w="0" w:type="auto"/>
            <w:vMerge w:val="continue"/>
            <w:tcBorders>
              <w:top w:val="nil"/>
              <w:left w:val="nil"/>
              <w:bottom w:val="nil"/>
              <w:right w:val="nil"/>
            </w:tcBorders>
            <w:shd w:val="clear" w:color="auto" w:fill="FFFFFF"/>
            <w:noWrap/>
            <w:vAlign w:val="center"/>
          </w:tcPr>
          <w:p w14:paraId="167A8C69">
            <w:pPr>
              <w:jc w:val="center"/>
              <w:rPr>
                <w:rFonts w:hint="default" w:ascii="Times New Roman Regular" w:hAnsi="Times New Roman Regular" w:eastAsia="Times New Roman Regular" w:cs="Times New Roman Regular"/>
                <w:color w:val="000000"/>
                <w:sz w:val="20"/>
                <w:szCs w:val="20"/>
              </w:rPr>
            </w:pPr>
          </w:p>
        </w:tc>
        <w:tc>
          <w:tcPr>
            <w:tcW w:w="0" w:type="auto"/>
            <w:vMerge w:val="continue"/>
            <w:tcBorders>
              <w:top w:val="nil"/>
              <w:left w:val="nil"/>
              <w:bottom w:val="nil"/>
              <w:right w:val="nil"/>
            </w:tcBorders>
            <w:shd w:val="clear" w:color="auto" w:fill="FFFFFF"/>
            <w:noWrap/>
            <w:vAlign w:val="center"/>
          </w:tcPr>
          <w:p w14:paraId="76694B3E">
            <w:pPr>
              <w:jc w:val="center"/>
              <w:rPr>
                <w:rFonts w:hint="default" w:ascii="Times New Roman Regular" w:hAnsi="Times New Roman Regular" w:eastAsia="Times New Roman Regular" w:cs="Times New Roman Regular"/>
                <w:color w:val="000000"/>
                <w:sz w:val="20"/>
                <w:szCs w:val="20"/>
              </w:rPr>
            </w:pPr>
          </w:p>
        </w:tc>
        <w:tc>
          <w:tcPr>
            <w:tcW w:w="0" w:type="auto"/>
            <w:tcBorders>
              <w:top w:val="single" w:color="auto" w:sz="6" w:space="0"/>
              <w:left w:val="nil"/>
              <w:bottom w:val="single" w:color="auto" w:sz="6" w:space="0"/>
              <w:right w:val="nil"/>
            </w:tcBorders>
            <w:shd w:val="clear" w:color="auto" w:fill="FFFFFF"/>
            <w:vAlign w:val="center"/>
          </w:tcPr>
          <w:p w14:paraId="40788515">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1990</w:t>
            </w:r>
          </w:p>
        </w:tc>
        <w:tc>
          <w:tcPr>
            <w:tcW w:w="0" w:type="auto"/>
            <w:tcBorders>
              <w:top w:val="single" w:color="auto" w:sz="6" w:space="0"/>
              <w:left w:val="nil"/>
              <w:bottom w:val="single" w:color="auto" w:sz="6" w:space="0"/>
              <w:right w:val="nil"/>
            </w:tcBorders>
            <w:shd w:val="clear" w:color="auto" w:fill="FFFFFF"/>
            <w:vAlign w:val="center"/>
          </w:tcPr>
          <w:p w14:paraId="6A963E55">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2021</w:t>
            </w:r>
          </w:p>
        </w:tc>
        <w:tc>
          <w:tcPr>
            <w:tcW w:w="0" w:type="auto"/>
            <w:tcBorders>
              <w:top w:val="single" w:color="auto" w:sz="6" w:space="0"/>
              <w:left w:val="nil"/>
              <w:bottom w:val="single" w:color="auto" w:sz="6" w:space="0"/>
              <w:right w:val="nil"/>
            </w:tcBorders>
            <w:shd w:val="clear" w:color="auto" w:fill="FFFFFF"/>
            <w:vAlign w:val="center"/>
          </w:tcPr>
          <w:p w14:paraId="20E23C91">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1990</w:t>
            </w:r>
          </w:p>
        </w:tc>
        <w:tc>
          <w:tcPr>
            <w:tcW w:w="0" w:type="auto"/>
            <w:tcBorders>
              <w:top w:val="single" w:color="auto" w:sz="6" w:space="0"/>
              <w:left w:val="nil"/>
              <w:bottom w:val="single" w:color="auto" w:sz="6" w:space="0"/>
              <w:right w:val="nil"/>
            </w:tcBorders>
            <w:shd w:val="clear" w:color="auto" w:fill="FFFFFF"/>
            <w:vAlign w:val="center"/>
          </w:tcPr>
          <w:p w14:paraId="223A398E">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2021</w:t>
            </w:r>
          </w:p>
        </w:tc>
        <w:tc>
          <w:tcPr>
            <w:tcW w:w="0" w:type="auto"/>
            <w:tcBorders>
              <w:top w:val="single" w:color="auto" w:sz="6" w:space="0"/>
              <w:left w:val="nil"/>
              <w:bottom w:val="single" w:color="auto" w:sz="6" w:space="0"/>
              <w:right w:val="nil"/>
            </w:tcBorders>
            <w:shd w:val="clear" w:color="auto" w:fill="FFFFFF"/>
            <w:vAlign w:val="center"/>
          </w:tcPr>
          <w:p w14:paraId="2EBEBCE0">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EAPC</w:t>
            </w:r>
          </w:p>
        </w:tc>
        <w:tc>
          <w:tcPr>
            <w:tcW w:w="0" w:type="auto"/>
            <w:tcBorders>
              <w:top w:val="single" w:color="auto" w:sz="6" w:space="0"/>
              <w:left w:val="nil"/>
              <w:bottom w:val="single" w:color="auto" w:sz="6" w:space="0"/>
              <w:right w:val="nil"/>
            </w:tcBorders>
            <w:shd w:val="clear" w:color="auto" w:fill="FFFFFF"/>
            <w:vAlign w:val="center"/>
          </w:tcPr>
          <w:p w14:paraId="6660B15E">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1990</w:t>
            </w:r>
          </w:p>
        </w:tc>
        <w:tc>
          <w:tcPr>
            <w:tcW w:w="0" w:type="auto"/>
            <w:tcBorders>
              <w:top w:val="single" w:color="auto" w:sz="6" w:space="0"/>
              <w:left w:val="nil"/>
              <w:bottom w:val="single" w:color="auto" w:sz="6" w:space="0"/>
              <w:right w:val="nil"/>
            </w:tcBorders>
            <w:shd w:val="clear" w:color="auto" w:fill="FFFFFF"/>
            <w:vAlign w:val="center"/>
          </w:tcPr>
          <w:p w14:paraId="268154BE">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2021</w:t>
            </w:r>
          </w:p>
        </w:tc>
        <w:tc>
          <w:tcPr>
            <w:tcW w:w="0" w:type="auto"/>
            <w:tcBorders>
              <w:top w:val="single" w:color="auto" w:sz="6" w:space="0"/>
              <w:left w:val="nil"/>
              <w:bottom w:val="single" w:color="auto" w:sz="6" w:space="0"/>
              <w:right w:val="nil"/>
            </w:tcBorders>
            <w:shd w:val="clear" w:color="auto" w:fill="FFFFFF"/>
            <w:vAlign w:val="center"/>
          </w:tcPr>
          <w:p w14:paraId="4A9CBE96">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1990</w:t>
            </w:r>
          </w:p>
        </w:tc>
        <w:tc>
          <w:tcPr>
            <w:tcW w:w="0" w:type="auto"/>
            <w:tcBorders>
              <w:top w:val="single" w:color="auto" w:sz="6" w:space="0"/>
              <w:left w:val="nil"/>
              <w:bottom w:val="single" w:color="auto" w:sz="6" w:space="0"/>
              <w:right w:val="nil"/>
            </w:tcBorders>
            <w:shd w:val="clear" w:color="auto" w:fill="FFFFFF"/>
            <w:vAlign w:val="center"/>
          </w:tcPr>
          <w:p w14:paraId="7A4857DB">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2021</w:t>
            </w:r>
          </w:p>
        </w:tc>
        <w:tc>
          <w:tcPr>
            <w:tcW w:w="0" w:type="auto"/>
            <w:tcBorders>
              <w:top w:val="single" w:color="auto" w:sz="6" w:space="0"/>
              <w:left w:val="nil"/>
              <w:bottom w:val="single" w:color="auto" w:sz="6" w:space="0"/>
              <w:right w:val="nil"/>
            </w:tcBorders>
            <w:shd w:val="clear" w:color="auto" w:fill="FFFFFF"/>
            <w:vAlign w:val="center"/>
          </w:tcPr>
          <w:p w14:paraId="445F64D2">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EAPC</w:t>
            </w:r>
          </w:p>
        </w:tc>
      </w:tr>
      <w:tr w14:paraId="259091C8">
        <w:trPr>
          <w:trHeight w:val="366" w:hRule="atLeast"/>
        </w:trPr>
        <w:tc>
          <w:tcPr>
            <w:tcW w:w="0" w:type="auto"/>
            <w:vMerge w:val="continue"/>
            <w:tcBorders>
              <w:top w:val="nil"/>
              <w:left w:val="nil"/>
              <w:bottom w:val="single" w:color="auto" w:sz="6" w:space="0"/>
              <w:right w:val="nil"/>
            </w:tcBorders>
            <w:shd w:val="clear" w:color="auto" w:fill="FFFFFF"/>
            <w:noWrap/>
            <w:vAlign w:val="center"/>
          </w:tcPr>
          <w:p w14:paraId="4364F071">
            <w:pPr>
              <w:jc w:val="center"/>
              <w:rPr>
                <w:rFonts w:hint="default" w:ascii="Times New Roman Regular" w:hAnsi="Times New Roman Regular" w:eastAsia="Times New Roman Regular" w:cs="Times New Roman Regular"/>
                <w:color w:val="000000"/>
                <w:sz w:val="20"/>
                <w:szCs w:val="20"/>
              </w:rPr>
            </w:pPr>
          </w:p>
        </w:tc>
        <w:tc>
          <w:tcPr>
            <w:tcW w:w="0" w:type="auto"/>
            <w:vMerge w:val="continue"/>
            <w:tcBorders>
              <w:top w:val="nil"/>
              <w:left w:val="nil"/>
              <w:bottom w:val="single" w:color="auto" w:sz="6" w:space="0"/>
              <w:right w:val="nil"/>
            </w:tcBorders>
            <w:shd w:val="clear" w:color="auto" w:fill="FFFFFF"/>
            <w:noWrap/>
            <w:vAlign w:val="center"/>
          </w:tcPr>
          <w:p w14:paraId="1268E7CF">
            <w:pPr>
              <w:jc w:val="center"/>
              <w:rPr>
                <w:rFonts w:hint="default" w:ascii="Times New Roman Regular" w:hAnsi="Times New Roman Regular" w:eastAsia="Times New Roman Regular" w:cs="Times New Roman Regular"/>
                <w:color w:val="000000"/>
                <w:sz w:val="20"/>
                <w:szCs w:val="20"/>
              </w:rPr>
            </w:pPr>
          </w:p>
        </w:tc>
        <w:tc>
          <w:tcPr>
            <w:tcW w:w="0" w:type="auto"/>
            <w:tcBorders>
              <w:top w:val="single" w:color="auto" w:sz="6" w:space="0"/>
              <w:left w:val="nil"/>
              <w:bottom w:val="single" w:color="auto" w:sz="6" w:space="0"/>
              <w:right w:val="nil"/>
            </w:tcBorders>
            <w:shd w:val="clear" w:color="auto" w:fill="FFFFFF"/>
            <w:vAlign w:val="center"/>
          </w:tcPr>
          <w:p w14:paraId="5D91B1FC">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Number (95%UI)(millions)</w:t>
            </w:r>
          </w:p>
        </w:tc>
        <w:tc>
          <w:tcPr>
            <w:tcW w:w="0" w:type="auto"/>
            <w:tcBorders>
              <w:top w:val="single" w:color="auto" w:sz="6" w:space="0"/>
              <w:left w:val="nil"/>
              <w:bottom w:val="single" w:color="auto" w:sz="6" w:space="0"/>
              <w:right w:val="nil"/>
            </w:tcBorders>
            <w:shd w:val="clear" w:color="auto" w:fill="FFFFFF"/>
            <w:vAlign w:val="center"/>
          </w:tcPr>
          <w:p w14:paraId="3965FCD2">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Number (95%UI)(millions)</w:t>
            </w:r>
          </w:p>
        </w:tc>
        <w:tc>
          <w:tcPr>
            <w:tcW w:w="0" w:type="auto"/>
            <w:tcBorders>
              <w:top w:val="single" w:color="auto" w:sz="6" w:space="0"/>
              <w:left w:val="nil"/>
              <w:bottom w:val="single" w:color="auto" w:sz="6" w:space="0"/>
              <w:right w:val="nil"/>
            </w:tcBorders>
            <w:shd w:val="clear" w:color="auto" w:fill="FFFFFF"/>
            <w:vAlign w:val="center"/>
          </w:tcPr>
          <w:p w14:paraId="18A0C9D3">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Rate (95%UI)</w:t>
            </w:r>
          </w:p>
        </w:tc>
        <w:tc>
          <w:tcPr>
            <w:tcW w:w="0" w:type="auto"/>
            <w:tcBorders>
              <w:top w:val="single" w:color="auto" w:sz="6" w:space="0"/>
              <w:left w:val="nil"/>
              <w:bottom w:val="single" w:color="auto" w:sz="6" w:space="0"/>
              <w:right w:val="nil"/>
            </w:tcBorders>
            <w:shd w:val="clear" w:color="auto" w:fill="FFFFFF"/>
            <w:vAlign w:val="center"/>
          </w:tcPr>
          <w:p w14:paraId="6B6B6CB5">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Rate (95%UI)</w:t>
            </w:r>
          </w:p>
        </w:tc>
        <w:tc>
          <w:tcPr>
            <w:tcW w:w="0" w:type="auto"/>
            <w:tcBorders>
              <w:top w:val="single" w:color="auto" w:sz="6" w:space="0"/>
              <w:left w:val="nil"/>
              <w:bottom w:val="single" w:color="auto" w:sz="6" w:space="0"/>
              <w:right w:val="nil"/>
            </w:tcBorders>
            <w:shd w:val="clear" w:color="auto" w:fill="FFFFFF"/>
            <w:noWrap/>
            <w:vAlign w:val="center"/>
          </w:tcPr>
          <w:p w14:paraId="1336396B">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Rate Chage(95%CI)</w:t>
            </w:r>
          </w:p>
        </w:tc>
        <w:tc>
          <w:tcPr>
            <w:tcW w:w="0" w:type="auto"/>
            <w:tcBorders>
              <w:top w:val="single" w:color="auto" w:sz="6" w:space="0"/>
              <w:left w:val="nil"/>
              <w:bottom w:val="single" w:color="auto" w:sz="6" w:space="0"/>
              <w:right w:val="nil"/>
            </w:tcBorders>
            <w:shd w:val="clear" w:color="auto" w:fill="FFFFFF"/>
            <w:vAlign w:val="center"/>
          </w:tcPr>
          <w:p w14:paraId="22457372">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Number (95%UI)(millions)</w:t>
            </w:r>
          </w:p>
        </w:tc>
        <w:tc>
          <w:tcPr>
            <w:tcW w:w="0" w:type="auto"/>
            <w:tcBorders>
              <w:top w:val="single" w:color="auto" w:sz="6" w:space="0"/>
              <w:left w:val="nil"/>
              <w:bottom w:val="single" w:color="auto" w:sz="6" w:space="0"/>
              <w:right w:val="nil"/>
            </w:tcBorders>
            <w:shd w:val="clear" w:color="auto" w:fill="FFFFFF"/>
            <w:vAlign w:val="center"/>
          </w:tcPr>
          <w:p w14:paraId="5D6AB162">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Number (95%UI)(millions)</w:t>
            </w:r>
          </w:p>
        </w:tc>
        <w:tc>
          <w:tcPr>
            <w:tcW w:w="0" w:type="auto"/>
            <w:tcBorders>
              <w:top w:val="single" w:color="auto" w:sz="6" w:space="0"/>
              <w:left w:val="nil"/>
              <w:bottom w:val="single" w:color="auto" w:sz="6" w:space="0"/>
              <w:right w:val="nil"/>
            </w:tcBorders>
            <w:shd w:val="clear" w:color="auto" w:fill="FFFFFF"/>
            <w:vAlign w:val="center"/>
          </w:tcPr>
          <w:p w14:paraId="6123D5B1">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Rate (95%UI)</w:t>
            </w:r>
          </w:p>
        </w:tc>
        <w:tc>
          <w:tcPr>
            <w:tcW w:w="0" w:type="auto"/>
            <w:tcBorders>
              <w:top w:val="single" w:color="auto" w:sz="6" w:space="0"/>
              <w:left w:val="nil"/>
              <w:bottom w:val="single" w:color="auto" w:sz="6" w:space="0"/>
              <w:right w:val="nil"/>
            </w:tcBorders>
            <w:shd w:val="clear" w:color="auto" w:fill="FFFFFF"/>
            <w:noWrap/>
            <w:vAlign w:val="center"/>
          </w:tcPr>
          <w:p w14:paraId="36C9C004">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Rate (95%UI)</w:t>
            </w:r>
          </w:p>
        </w:tc>
        <w:tc>
          <w:tcPr>
            <w:tcW w:w="0" w:type="auto"/>
            <w:tcBorders>
              <w:top w:val="single" w:color="auto" w:sz="6" w:space="0"/>
              <w:left w:val="nil"/>
              <w:bottom w:val="single" w:color="auto" w:sz="6" w:space="0"/>
              <w:right w:val="nil"/>
            </w:tcBorders>
            <w:shd w:val="clear" w:color="auto" w:fill="FFFFFF"/>
            <w:noWrap/>
            <w:vAlign w:val="center"/>
          </w:tcPr>
          <w:p w14:paraId="74D835B0">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Rate Chage(95%CI)</w:t>
            </w:r>
          </w:p>
        </w:tc>
      </w:tr>
      <w:tr w14:paraId="14176E60">
        <w:trPr>
          <w:trHeight w:val="336" w:hRule="atLeast"/>
        </w:trPr>
        <w:tc>
          <w:tcPr>
            <w:tcW w:w="0" w:type="auto"/>
            <w:vMerge w:val="restart"/>
            <w:tcBorders>
              <w:top w:val="single" w:color="auto" w:sz="6" w:space="0"/>
              <w:left w:val="nil"/>
              <w:bottom w:val="nil"/>
              <w:right w:val="nil"/>
            </w:tcBorders>
            <w:shd w:val="clear" w:color="auto" w:fill="FFFFFF"/>
            <w:noWrap/>
            <w:vAlign w:val="center"/>
          </w:tcPr>
          <w:p w14:paraId="36356E6A">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African Region</w:t>
            </w:r>
          </w:p>
        </w:tc>
        <w:tc>
          <w:tcPr>
            <w:tcW w:w="0" w:type="auto"/>
            <w:tcBorders>
              <w:top w:val="single" w:color="auto" w:sz="6" w:space="0"/>
              <w:left w:val="nil"/>
              <w:bottom w:val="nil"/>
              <w:right w:val="nil"/>
            </w:tcBorders>
            <w:shd w:val="clear" w:color="auto" w:fill="FFFFFF"/>
            <w:noWrap/>
            <w:vAlign w:val="center"/>
          </w:tcPr>
          <w:p w14:paraId="3AD99A4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Mental disorders</w:t>
            </w:r>
          </w:p>
        </w:tc>
        <w:tc>
          <w:tcPr>
            <w:tcW w:w="0" w:type="auto"/>
            <w:tcBorders>
              <w:top w:val="single" w:color="auto" w:sz="6" w:space="0"/>
              <w:left w:val="nil"/>
              <w:bottom w:val="nil"/>
              <w:right w:val="nil"/>
            </w:tcBorders>
            <w:shd w:val="clear" w:color="auto" w:fill="FFFFFF"/>
            <w:noWrap/>
            <w:vAlign w:val="center"/>
          </w:tcPr>
          <w:p w14:paraId="49011B84">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12.81 (10.59, 15.22)</w:t>
            </w:r>
          </w:p>
        </w:tc>
        <w:tc>
          <w:tcPr>
            <w:tcW w:w="0" w:type="auto"/>
            <w:tcBorders>
              <w:top w:val="single" w:color="auto" w:sz="6" w:space="0"/>
              <w:left w:val="nil"/>
              <w:bottom w:val="nil"/>
              <w:right w:val="nil"/>
            </w:tcBorders>
            <w:shd w:val="clear" w:color="auto" w:fill="FFFFFF"/>
            <w:noWrap/>
            <w:vAlign w:val="center"/>
          </w:tcPr>
          <w:p w14:paraId="4A8982D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29.86 (25.21, 34.88)</w:t>
            </w:r>
          </w:p>
        </w:tc>
        <w:tc>
          <w:tcPr>
            <w:tcW w:w="0" w:type="auto"/>
            <w:tcBorders>
              <w:top w:val="single" w:color="auto" w:sz="6" w:space="0"/>
              <w:left w:val="nil"/>
              <w:bottom w:val="nil"/>
              <w:right w:val="nil"/>
            </w:tcBorders>
            <w:shd w:val="clear" w:color="auto" w:fill="FFFFFF"/>
            <w:noWrap/>
            <w:vAlign w:val="center"/>
          </w:tcPr>
          <w:p w14:paraId="186DAE4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2357.11 (1981.97, 2772.93)</w:t>
            </w:r>
          </w:p>
        </w:tc>
        <w:tc>
          <w:tcPr>
            <w:tcW w:w="0" w:type="auto"/>
            <w:tcBorders>
              <w:top w:val="single" w:color="auto" w:sz="6" w:space="0"/>
              <w:left w:val="nil"/>
              <w:bottom w:val="nil"/>
              <w:right w:val="nil"/>
            </w:tcBorders>
            <w:shd w:val="clear" w:color="auto" w:fill="FFFFFF"/>
            <w:noWrap/>
            <w:vAlign w:val="center"/>
          </w:tcPr>
          <w:p w14:paraId="42C2AAE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2443.54 (2084.27, 2838.19)</w:t>
            </w:r>
          </w:p>
        </w:tc>
        <w:tc>
          <w:tcPr>
            <w:tcW w:w="0" w:type="auto"/>
            <w:tcBorders>
              <w:top w:val="single" w:color="auto" w:sz="6" w:space="0"/>
              <w:left w:val="nil"/>
              <w:bottom w:val="nil"/>
              <w:right w:val="nil"/>
            </w:tcBorders>
            <w:shd w:val="clear" w:color="auto" w:fill="FFFFFF"/>
            <w:noWrap/>
            <w:vAlign w:val="center"/>
          </w:tcPr>
          <w:p w14:paraId="4123886F">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0.04 (0.00, 0.07)</w:t>
            </w:r>
          </w:p>
        </w:tc>
        <w:tc>
          <w:tcPr>
            <w:tcW w:w="0" w:type="auto"/>
            <w:tcBorders>
              <w:top w:val="single" w:color="auto" w:sz="6" w:space="0"/>
              <w:left w:val="nil"/>
              <w:bottom w:val="nil"/>
              <w:right w:val="nil"/>
            </w:tcBorders>
            <w:shd w:val="clear" w:color="auto" w:fill="FFFFFF"/>
            <w:noWrap/>
            <w:vAlign w:val="center"/>
          </w:tcPr>
          <w:p w14:paraId="0B35D15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1.92 (1.53, 2.38)</w:t>
            </w:r>
          </w:p>
        </w:tc>
        <w:tc>
          <w:tcPr>
            <w:tcW w:w="0" w:type="auto"/>
            <w:tcBorders>
              <w:top w:val="single" w:color="auto" w:sz="6" w:space="0"/>
              <w:left w:val="nil"/>
              <w:bottom w:val="nil"/>
              <w:right w:val="nil"/>
            </w:tcBorders>
            <w:shd w:val="clear" w:color="auto" w:fill="FFFFFF"/>
            <w:noWrap/>
            <w:vAlign w:val="center"/>
          </w:tcPr>
          <w:p w14:paraId="2AAD7164">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4.68 (3.72, 5.73)</w:t>
            </w:r>
          </w:p>
        </w:tc>
        <w:tc>
          <w:tcPr>
            <w:tcW w:w="0" w:type="auto"/>
            <w:tcBorders>
              <w:top w:val="single" w:color="auto" w:sz="6" w:space="0"/>
              <w:left w:val="nil"/>
              <w:bottom w:val="nil"/>
              <w:right w:val="nil"/>
            </w:tcBorders>
            <w:shd w:val="clear" w:color="auto" w:fill="FFFFFF"/>
            <w:noWrap/>
            <w:vAlign w:val="center"/>
          </w:tcPr>
          <w:p w14:paraId="5AE3E14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393.73 (315.54, 480.00)</w:t>
            </w:r>
          </w:p>
        </w:tc>
        <w:tc>
          <w:tcPr>
            <w:tcW w:w="0" w:type="auto"/>
            <w:tcBorders>
              <w:top w:val="single" w:color="auto" w:sz="6" w:space="0"/>
              <w:left w:val="nil"/>
              <w:bottom w:val="nil"/>
              <w:right w:val="nil"/>
            </w:tcBorders>
            <w:shd w:val="clear" w:color="auto" w:fill="FFFFFF"/>
            <w:noWrap/>
            <w:vAlign w:val="center"/>
          </w:tcPr>
          <w:p w14:paraId="7346DD8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413.63 (331.43, 502.72)</w:t>
            </w:r>
          </w:p>
        </w:tc>
        <w:tc>
          <w:tcPr>
            <w:tcW w:w="0" w:type="auto"/>
            <w:tcBorders>
              <w:top w:val="single" w:color="auto" w:sz="6" w:space="0"/>
              <w:left w:val="nil"/>
              <w:bottom w:val="nil"/>
              <w:right w:val="nil"/>
            </w:tcBorders>
            <w:shd w:val="clear" w:color="auto" w:fill="FFFFFF"/>
            <w:noWrap/>
            <w:vAlign w:val="center"/>
          </w:tcPr>
          <w:p w14:paraId="00AD516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0.15 (0.13, 0.16)</w:t>
            </w:r>
          </w:p>
        </w:tc>
      </w:tr>
      <w:tr w14:paraId="44BB0BD3">
        <w:trPr>
          <w:trHeight w:val="336" w:hRule="atLeast"/>
        </w:trPr>
        <w:tc>
          <w:tcPr>
            <w:tcW w:w="0" w:type="auto"/>
            <w:vMerge w:val="continue"/>
            <w:tcBorders>
              <w:top w:val="nil"/>
              <w:left w:val="nil"/>
              <w:bottom w:val="nil"/>
              <w:right w:val="nil"/>
            </w:tcBorders>
            <w:shd w:val="clear" w:color="auto" w:fill="FFFFFF"/>
            <w:noWrap/>
            <w:vAlign w:val="center"/>
          </w:tcPr>
          <w:p w14:paraId="61F20994">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1D665AA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Developmental intellectual disability</w:t>
            </w:r>
          </w:p>
        </w:tc>
        <w:tc>
          <w:tcPr>
            <w:tcW w:w="0" w:type="auto"/>
            <w:tcBorders>
              <w:top w:val="nil"/>
              <w:left w:val="nil"/>
              <w:bottom w:val="nil"/>
              <w:right w:val="nil"/>
            </w:tcBorders>
            <w:shd w:val="clear" w:color="auto" w:fill="FFFFFF"/>
            <w:noWrap/>
            <w:vAlign w:val="center"/>
          </w:tcPr>
          <w:p w14:paraId="7AB09FC4">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7.39 (5.25, 9.70)</w:t>
            </w:r>
          </w:p>
        </w:tc>
        <w:tc>
          <w:tcPr>
            <w:tcW w:w="0" w:type="auto"/>
            <w:tcBorders>
              <w:top w:val="nil"/>
              <w:left w:val="nil"/>
              <w:bottom w:val="nil"/>
              <w:right w:val="nil"/>
            </w:tcBorders>
            <w:shd w:val="clear" w:color="auto" w:fill="FFFFFF"/>
            <w:noWrap/>
            <w:vAlign w:val="center"/>
          </w:tcPr>
          <w:p w14:paraId="64EE200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17.29 (12.59, 22.05)</w:t>
            </w:r>
          </w:p>
        </w:tc>
        <w:tc>
          <w:tcPr>
            <w:tcW w:w="0" w:type="auto"/>
            <w:tcBorders>
              <w:top w:val="nil"/>
              <w:left w:val="nil"/>
              <w:bottom w:val="nil"/>
              <w:right w:val="nil"/>
            </w:tcBorders>
            <w:shd w:val="clear" w:color="auto" w:fill="FFFFFF"/>
            <w:noWrap/>
            <w:vAlign w:val="center"/>
          </w:tcPr>
          <w:p w14:paraId="1E4EC5A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1280.31 (923.46, 1680.05)</w:t>
            </w:r>
          </w:p>
        </w:tc>
        <w:tc>
          <w:tcPr>
            <w:tcW w:w="0" w:type="auto"/>
            <w:tcBorders>
              <w:top w:val="nil"/>
              <w:left w:val="nil"/>
              <w:bottom w:val="nil"/>
              <w:right w:val="nil"/>
            </w:tcBorders>
            <w:shd w:val="clear" w:color="auto" w:fill="FFFFFF"/>
            <w:noWrap/>
            <w:vAlign w:val="center"/>
          </w:tcPr>
          <w:p w14:paraId="4F01FBE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1351.08 (987.89, 1724.89)</w:t>
            </w:r>
          </w:p>
        </w:tc>
        <w:tc>
          <w:tcPr>
            <w:tcW w:w="0" w:type="auto"/>
            <w:tcBorders>
              <w:top w:val="nil"/>
              <w:left w:val="nil"/>
              <w:bottom w:val="nil"/>
              <w:right w:val="nil"/>
            </w:tcBorders>
            <w:shd w:val="clear" w:color="auto" w:fill="FFFFFF"/>
            <w:noWrap/>
            <w:vAlign w:val="center"/>
          </w:tcPr>
          <w:p w14:paraId="1A298B0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0.02 (-0.04, 0.08)</w:t>
            </w:r>
          </w:p>
        </w:tc>
        <w:tc>
          <w:tcPr>
            <w:tcW w:w="0" w:type="auto"/>
            <w:tcBorders>
              <w:top w:val="nil"/>
              <w:left w:val="nil"/>
              <w:bottom w:val="nil"/>
              <w:right w:val="nil"/>
            </w:tcBorders>
            <w:shd w:val="clear" w:color="auto" w:fill="FFFFFF"/>
            <w:noWrap/>
            <w:vAlign w:val="center"/>
          </w:tcPr>
          <w:p w14:paraId="46C7A20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0.52 (0.34, 0.76)</w:t>
            </w:r>
          </w:p>
        </w:tc>
        <w:tc>
          <w:tcPr>
            <w:tcW w:w="0" w:type="auto"/>
            <w:tcBorders>
              <w:top w:val="nil"/>
              <w:left w:val="nil"/>
              <w:bottom w:val="nil"/>
              <w:right w:val="nil"/>
            </w:tcBorders>
            <w:shd w:val="clear" w:color="auto" w:fill="FFFFFF"/>
            <w:noWrap/>
            <w:vAlign w:val="center"/>
          </w:tcPr>
          <w:p w14:paraId="739EA9A5">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1.34 (0.88, 1.90)</w:t>
            </w:r>
          </w:p>
        </w:tc>
        <w:tc>
          <w:tcPr>
            <w:tcW w:w="0" w:type="auto"/>
            <w:tcBorders>
              <w:top w:val="nil"/>
              <w:left w:val="nil"/>
              <w:bottom w:val="nil"/>
              <w:right w:val="nil"/>
            </w:tcBorders>
            <w:shd w:val="clear" w:color="auto" w:fill="FFFFFF"/>
            <w:noWrap/>
            <w:vAlign w:val="center"/>
          </w:tcPr>
          <w:p w14:paraId="28DF225E">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89.80 (58.76, 130.49)</w:t>
            </w:r>
          </w:p>
        </w:tc>
        <w:tc>
          <w:tcPr>
            <w:tcW w:w="0" w:type="auto"/>
            <w:tcBorders>
              <w:top w:val="nil"/>
              <w:left w:val="nil"/>
              <w:bottom w:val="nil"/>
              <w:right w:val="nil"/>
            </w:tcBorders>
            <w:shd w:val="clear" w:color="auto" w:fill="FFFFFF"/>
            <w:noWrap/>
            <w:vAlign w:val="center"/>
          </w:tcPr>
          <w:p w14:paraId="13363AB5">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104.30 (69.20, 148.60)</w:t>
            </w:r>
          </w:p>
        </w:tc>
        <w:tc>
          <w:tcPr>
            <w:tcW w:w="0" w:type="auto"/>
            <w:tcBorders>
              <w:top w:val="nil"/>
              <w:left w:val="nil"/>
              <w:bottom w:val="nil"/>
              <w:right w:val="nil"/>
            </w:tcBorders>
            <w:shd w:val="clear" w:color="auto" w:fill="FFFFFF"/>
            <w:noWrap/>
            <w:vAlign w:val="center"/>
          </w:tcPr>
          <w:p w14:paraId="2276DAF7">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0.36 (0.28, 0.43)</w:t>
            </w:r>
          </w:p>
        </w:tc>
      </w:tr>
      <w:tr w14:paraId="5E7180BD">
        <w:trPr>
          <w:trHeight w:val="336" w:hRule="atLeast"/>
        </w:trPr>
        <w:tc>
          <w:tcPr>
            <w:tcW w:w="0" w:type="auto"/>
            <w:vMerge w:val="continue"/>
            <w:tcBorders>
              <w:top w:val="nil"/>
              <w:left w:val="nil"/>
              <w:bottom w:val="nil"/>
              <w:right w:val="nil"/>
            </w:tcBorders>
            <w:shd w:val="clear" w:color="auto" w:fill="FFFFFF"/>
            <w:noWrap/>
            <w:vAlign w:val="center"/>
          </w:tcPr>
          <w:p w14:paraId="56C16C2D">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555FE1F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Schizophrenia</w:t>
            </w:r>
          </w:p>
        </w:tc>
        <w:tc>
          <w:tcPr>
            <w:tcW w:w="0" w:type="auto"/>
            <w:tcBorders>
              <w:top w:val="nil"/>
              <w:left w:val="nil"/>
              <w:bottom w:val="nil"/>
              <w:right w:val="nil"/>
            </w:tcBorders>
            <w:shd w:val="clear" w:color="auto" w:fill="FFFFFF"/>
            <w:noWrap/>
            <w:vAlign w:val="center"/>
          </w:tcPr>
          <w:p w14:paraId="5A6CEF5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0.82 (0.65, 1.03)</w:t>
            </w:r>
          </w:p>
        </w:tc>
        <w:tc>
          <w:tcPr>
            <w:tcW w:w="0" w:type="auto"/>
            <w:tcBorders>
              <w:top w:val="nil"/>
              <w:left w:val="nil"/>
              <w:bottom w:val="nil"/>
              <w:right w:val="nil"/>
            </w:tcBorders>
            <w:shd w:val="clear" w:color="auto" w:fill="FFFFFF"/>
            <w:noWrap/>
            <w:vAlign w:val="center"/>
          </w:tcPr>
          <w:p w14:paraId="2025B272">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2.06 (1.63, 2.57)</w:t>
            </w:r>
          </w:p>
        </w:tc>
        <w:tc>
          <w:tcPr>
            <w:tcW w:w="0" w:type="auto"/>
            <w:tcBorders>
              <w:top w:val="nil"/>
              <w:left w:val="nil"/>
              <w:bottom w:val="nil"/>
              <w:right w:val="nil"/>
            </w:tcBorders>
            <w:shd w:val="clear" w:color="auto" w:fill="FFFFFF"/>
            <w:noWrap/>
            <w:vAlign w:val="center"/>
          </w:tcPr>
          <w:p w14:paraId="613B85D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224.90 (182.46, 275.25)</w:t>
            </w:r>
          </w:p>
        </w:tc>
        <w:tc>
          <w:tcPr>
            <w:tcW w:w="0" w:type="auto"/>
            <w:tcBorders>
              <w:top w:val="nil"/>
              <w:left w:val="nil"/>
              <w:bottom w:val="nil"/>
              <w:right w:val="nil"/>
            </w:tcBorders>
            <w:shd w:val="clear" w:color="auto" w:fill="FFFFFF"/>
            <w:noWrap/>
            <w:vAlign w:val="center"/>
          </w:tcPr>
          <w:p w14:paraId="438AA5C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227.11 (183.29, 278.58)</w:t>
            </w:r>
          </w:p>
        </w:tc>
        <w:tc>
          <w:tcPr>
            <w:tcW w:w="0" w:type="auto"/>
            <w:tcBorders>
              <w:top w:val="nil"/>
              <w:left w:val="nil"/>
              <w:bottom w:val="nil"/>
              <w:right w:val="nil"/>
            </w:tcBorders>
            <w:shd w:val="clear" w:color="auto" w:fill="FFFFFF"/>
            <w:noWrap/>
            <w:vAlign w:val="center"/>
          </w:tcPr>
          <w:p w14:paraId="3906BC3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0.05 (0.04, 0.06)</w:t>
            </w:r>
          </w:p>
        </w:tc>
        <w:tc>
          <w:tcPr>
            <w:tcW w:w="0" w:type="auto"/>
            <w:tcBorders>
              <w:top w:val="nil"/>
              <w:left w:val="nil"/>
              <w:bottom w:val="nil"/>
              <w:right w:val="nil"/>
            </w:tcBorders>
            <w:shd w:val="clear" w:color="auto" w:fill="FFFFFF"/>
            <w:noWrap/>
            <w:vAlign w:val="center"/>
          </w:tcPr>
          <w:p w14:paraId="526FDD5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0.52 (0.37, 0.70)</w:t>
            </w:r>
          </w:p>
        </w:tc>
        <w:tc>
          <w:tcPr>
            <w:tcW w:w="0" w:type="auto"/>
            <w:tcBorders>
              <w:top w:val="nil"/>
              <w:left w:val="nil"/>
              <w:bottom w:val="nil"/>
              <w:right w:val="nil"/>
            </w:tcBorders>
            <w:shd w:val="clear" w:color="auto" w:fill="FFFFFF"/>
            <w:noWrap/>
            <w:vAlign w:val="center"/>
          </w:tcPr>
          <w:p w14:paraId="288BAF32">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1.32 (0.95, 1.76)</w:t>
            </w:r>
          </w:p>
        </w:tc>
        <w:tc>
          <w:tcPr>
            <w:tcW w:w="0" w:type="auto"/>
            <w:tcBorders>
              <w:top w:val="nil"/>
              <w:left w:val="nil"/>
              <w:bottom w:val="nil"/>
              <w:right w:val="nil"/>
            </w:tcBorders>
            <w:shd w:val="clear" w:color="auto" w:fill="FFFFFF"/>
            <w:noWrap/>
            <w:vAlign w:val="center"/>
          </w:tcPr>
          <w:p w14:paraId="11CCE16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142.20 (101.06, 188.57)</w:t>
            </w:r>
          </w:p>
        </w:tc>
        <w:tc>
          <w:tcPr>
            <w:tcW w:w="0" w:type="auto"/>
            <w:tcBorders>
              <w:top w:val="nil"/>
              <w:left w:val="nil"/>
              <w:bottom w:val="nil"/>
              <w:right w:val="nil"/>
            </w:tcBorders>
            <w:shd w:val="clear" w:color="auto" w:fill="FFFFFF"/>
            <w:noWrap/>
            <w:vAlign w:val="center"/>
          </w:tcPr>
          <w:p w14:paraId="7BF0679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144.08 (103.76, 190.77)</w:t>
            </w:r>
          </w:p>
        </w:tc>
        <w:tc>
          <w:tcPr>
            <w:tcW w:w="0" w:type="auto"/>
            <w:tcBorders>
              <w:top w:val="nil"/>
              <w:left w:val="nil"/>
              <w:bottom w:val="nil"/>
              <w:right w:val="nil"/>
            </w:tcBorders>
            <w:shd w:val="clear" w:color="auto" w:fill="FFFFFF"/>
            <w:noWrap/>
            <w:vAlign w:val="center"/>
          </w:tcPr>
          <w:p w14:paraId="50C2DBA7">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0.08 (0.06, 0.09)</w:t>
            </w:r>
          </w:p>
        </w:tc>
      </w:tr>
      <w:tr w14:paraId="33E903AF">
        <w:trPr>
          <w:trHeight w:val="336" w:hRule="atLeast"/>
        </w:trPr>
        <w:tc>
          <w:tcPr>
            <w:tcW w:w="0" w:type="auto"/>
            <w:vMerge w:val="continue"/>
            <w:tcBorders>
              <w:top w:val="nil"/>
              <w:left w:val="nil"/>
              <w:bottom w:val="nil"/>
              <w:right w:val="nil"/>
            </w:tcBorders>
            <w:shd w:val="clear" w:color="auto" w:fill="FFFFFF"/>
            <w:noWrap/>
            <w:vAlign w:val="center"/>
          </w:tcPr>
          <w:p w14:paraId="4364C227">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0B7936C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Autism spectrum disorders</w:t>
            </w:r>
          </w:p>
        </w:tc>
        <w:tc>
          <w:tcPr>
            <w:tcW w:w="0" w:type="auto"/>
            <w:tcBorders>
              <w:top w:val="nil"/>
              <w:left w:val="nil"/>
              <w:bottom w:val="nil"/>
              <w:right w:val="nil"/>
            </w:tcBorders>
            <w:shd w:val="clear" w:color="auto" w:fill="FFFFFF"/>
            <w:noWrap/>
            <w:vAlign w:val="center"/>
          </w:tcPr>
          <w:p w14:paraId="443807C7">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4.68 (3.93, 5.51)</w:t>
            </w:r>
          </w:p>
        </w:tc>
        <w:tc>
          <w:tcPr>
            <w:tcW w:w="0" w:type="auto"/>
            <w:tcBorders>
              <w:top w:val="nil"/>
              <w:left w:val="nil"/>
              <w:bottom w:val="nil"/>
              <w:right w:val="nil"/>
            </w:tcBorders>
            <w:shd w:val="clear" w:color="auto" w:fill="FFFFFF"/>
            <w:noWrap/>
            <w:vAlign w:val="center"/>
          </w:tcPr>
          <w:p w14:paraId="348F24B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10.71 (9.03, 12.55)</w:t>
            </w:r>
          </w:p>
        </w:tc>
        <w:tc>
          <w:tcPr>
            <w:tcW w:w="0" w:type="auto"/>
            <w:tcBorders>
              <w:top w:val="nil"/>
              <w:left w:val="nil"/>
              <w:bottom w:val="nil"/>
              <w:right w:val="nil"/>
            </w:tcBorders>
            <w:shd w:val="clear" w:color="auto" w:fill="FFFFFF"/>
            <w:noWrap/>
            <w:vAlign w:val="center"/>
          </w:tcPr>
          <w:p w14:paraId="727FC4D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868.21 (730.15, 1025.17)</w:t>
            </w:r>
          </w:p>
        </w:tc>
        <w:tc>
          <w:tcPr>
            <w:tcW w:w="0" w:type="auto"/>
            <w:tcBorders>
              <w:top w:val="nil"/>
              <w:left w:val="nil"/>
              <w:bottom w:val="nil"/>
              <w:right w:val="nil"/>
            </w:tcBorders>
            <w:shd w:val="clear" w:color="auto" w:fill="FFFFFF"/>
            <w:noWrap/>
            <w:vAlign w:val="center"/>
          </w:tcPr>
          <w:p w14:paraId="2AAF2F7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882.76 (743.33, 1032.97)</w:t>
            </w:r>
          </w:p>
        </w:tc>
        <w:tc>
          <w:tcPr>
            <w:tcW w:w="0" w:type="auto"/>
            <w:tcBorders>
              <w:top w:val="nil"/>
              <w:left w:val="nil"/>
              <w:bottom w:val="nil"/>
              <w:right w:val="nil"/>
            </w:tcBorders>
            <w:shd w:val="clear" w:color="auto" w:fill="FFFFFF"/>
            <w:noWrap/>
            <w:vAlign w:val="center"/>
          </w:tcPr>
          <w:p w14:paraId="1DBCCD7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0.05 (0.05, 0.06)</w:t>
            </w:r>
          </w:p>
        </w:tc>
        <w:tc>
          <w:tcPr>
            <w:tcW w:w="0" w:type="auto"/>
            <w:tcBorders>
              <w:top w:val="nil"/>
              <w:left w:val="nil"/>
              <w:bottom w:val="nil"/>
              <w:right w:val="nil"/>
            </w:tcBorders>
            <w:shd w:val="clear" w:color="auto" w:fill="FFFFFF"/>
            <w:noWrap/>
            <w:vAlign w:val="center"/>
          </w:tcPr>
          <w:p w14:paraId="6F22EA8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0.88 (0.60, 1.24)</w:t>
            </w:r>
          </w:p>
        </w:tc>
        <w:tc>
          <w:tcPr>
            <w:tcW w:w="0" w:type="auto"/>
            <w:tcBorders>
              <w:top w:val="nil"/>
              <w:left w:val="nil"/>
              <w:bottom w:val="nil"/>
              <w:right w:val="nil"/>
            </w:tcBorders>
            <w:shd w:val="clear" w:color="auto" w:fill="FFFFFF"/>
            <w:noWrap/>
            <w:vAlign w:val="center"/>
          </w:tcPr>
          <w:p w14:paraId="298D1664">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2.02 (1.38, 2.85)</w:t>
            </w:r>
          </w:p>
        </w:tc>
        <w:tc>
          <w:tcPr>
            <w:tcW w:w="0" w:type="auto"/>
            <w:tcBorders>
              <w:top w:val="nil"/>
              <w:left w:val="nil"/>
              <w:bottom w:val="nil"/>
              <w:right w:val="nil"/>
            </w:tcBorders>
            <w:shd w:val="clear" w:color="auto" w:fill="FFFFFF"/>
            <w:noWrap/>
            <w:vAlign w:val="center"/>
          </w:tcPr>
          <w:p w14:paraId="24A0B4D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161.72 (111.33, 226.63)</w:t>
            </w:r>
          </w:p>
        </w:tc>
        <w:tc>
          <w:tcPr>
            <w:tcW w:w="0" w:type="auto"/>
            <w:tcBorders>
              <w:top w:val="nil"/>
              <w:left w:val="nil"/>
              <w:bottom w:val="nil"/>
              <w:right w:val="nil"/>
            </w:tcBorders>
            <w:shd w:val="clear" w:color="auto" w:fill="FFFFFF"/>
            <w:noWrap/>
            <w:vAlign w:val="center"/>
          </w:tcPr>
          <w:p w14:paraId="4446BD5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165.25 (112.85, 232.38)</w:t>
            </w:r>
          </w:p>
        </w:tc>
        <w:tc>
          <w:tcPr>
            <w:tcW w:w="0" w:type="auto"/>
            <w:tcBorders>
              <w:top w:val="nil"/>
              <w:left w:val="nil"/>
              <w:bottom w:val="nil"/>
              <w:right w:val="nil"/>
            </w:tcBorders>
            <w:shd w:val="clear" w:color="auto" w:fill="FFFFFF"/>
            <w:noWrap/>
            <w:vAlign w:val="center"/>
          </w:tcPr>
          <w:p w14:paraId="68DAFB5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0.08 (0.08, 0.09)</w:t>
            </w:r>
          </w:p>
        </w:tc>
      </w:tr>
      <w:tr w14:paraId="78B13F02">
        <w:trPr>
          <w:trHeight w:val="336" w:hRule="atLeast"/>
        </w:trPr>
        <w:tc>
          <w:tcPr>
            <w:tcW w:w="0" w:type="auto"/>
            <w:vMerge w:val="restart"/>
            <w:tcBorders>
              <w:top w:val="nil"/>
              <w:left w:val="nil"/>
              <w:bottom w:val="nil"/>
              <w:right w:val="nil"/>
            </w:tcBorders>
            <w:shd w:val="clear" w:color="auto" w:fill="FFFFFF"/>
            <w:noWrap/>
            <w:vAlign w:val="center"/>
          </w:tcPr>
          <w:p w14:paraId="0D3F2A91">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Region of the Americas</w:t>
            </w:r>
          </w:p>
        </w:tc>
        <w:tc>
          <w:tcPr>
            <w:tcW w:w="0" w:type="auto"/>
            <w:tcBorders>
              <w:top w:val="nil"/>
              <w:left w:val="nil"/>
              <w:bottom w:val="nil"/>
              <w:right w:val="nil"/>
            </w:tcBorders>
            <w:shd w:val="clear" w:color="auto" w:fill="FFFFFF"/>
            <w:noWrap/>
            <w:vAlign w:val="center"/>
          </w:tcPr>
          <w:p w14:paraId="4B50B5E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Mental disorders</w:t>
            </w:r>
          </w:p>
        </w:tc>
        <w:tc>
          <w:tcPr>
            <w:tcW w:w="0" w:type="auto"/>
            <w:tcBorders>
              <w:top w:val="nil"/>
              <w:left w:val="nil"/>
              <w:bottom w:val="nil"/>
              <w:right w:val="nil"/>
            </w:tcBorders>
            <w:shd w:val="clear" w:color="auto" w:fill="FFFFFF"/>
            <w:noWrap/>
            <w:vAlign w:val="center"/>
          </w:tcPr>
          <w:p w14:paraId="725FEFE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8.70 (7.39, 10.14)</w:t>
            </w:r>
          </w:p>
        </w:tc>
        <w:tc>
          <w:tcPr>
            <w:tcW w:w="0" w:type="auto"/>
            <w:tcBorders>
              <w:top w:val="nil"/>
              <w:left w:val="nil"/>
              <w:bottom w:val="nil"/>
              <w:right w:val="nil"/>
            </w:tcBorders>
            <w:shd w:val="clear" w:color="auto" w:fill="FFFFFF"/>
            <w:noWrap/>
            <w:vAlign w:val="center"/>
          </w:tcPr>
          <w:p w14:paraId="6582801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12.75 (11.15, 14.66)</w:t>
            </w:r>
          </w:p>
        </w:tc>
        <w:tc>
          <w:tcPr>
            <w:tcW w:w="0" w:type="auto"/>
            <w:tcBorders>
              <w:top w:val="nil"/>
              <w:left w:val="nil"/>
              <w:bottom w:val="nil"/>
              <w:right w:val="nil"/>
            </w:tcBorders>
            <w:shd w:val="clear" w:color="auto" w:fill="FFFFFF"/>
            <w:noWrap/>
            <w:vAlign w:val="center"/>
          </w:tcPr>
          <w:p w14:paraId="5A78442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2035.45 (1735.09, 2362.06)</w:t>
            </w:r>
          </w:p>
        </w:tc>
        <w:tc>
          <w:tcPr>
            <w:tcW w:w="0" w:type="auto"/>
            <w:tcBorders>
              <w:top w:val="nil"/>
              <w:left w:val="nil"/>
              <w:bottom w:val="nil"/>
              <w:right w:val="nil"/>
            </w:tcBorders>
            <w:shd w:val="clear" w:color="auto" w:fill="FFFFFF"/>
            <w:noWrap/>
            <w:vAlign w:val="center"/>
          </w:tcPr>
          <w:p w14:paraId="52DA56B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2034.21 (1776.16, 2341.58)</w:t>
            </w:r>
          </w:p>
        </w:tc>
        <w:tc>
          <w:tcPr>
            <w:tcW w:w="0" w:type="auto"/>
            <w:tcBorders>
              <w:top w:val="nil"/>
              <w:left w:val="nil"/>
              <w:bottom w:val="nil"/>
              <w:right w:val="nil"/>
            </w:tcBorders>
            <w:shd w:val="clear" w:color="auto" w:fill="FFFFFF"/>
            <w:noWrap/>
            <w:vAlign w:val="center"/>
          </w:tcPr>
          <w:p w14:paraId="1D3CA0B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-0.01 (-0.02, 0.01)</w:t>
            </w:r>
          </w:p>
        </w:tc>
        <w:tc>
          <w:tcPr>
            <w:tcW w:w="0" w:type="auto"/>
            <w:tcBorders>
              <w:top w:val="nil"/>
              <w:left w:val="nil"/>
              <w:bottom w:val="nil"/>
              <w:right w:val="nil"/>
            </w:tcBorders>
            <w:shd w:val="clear" w:color="auto" w:fill="FFFFFF"/>
            <w:noWrap/>
            <w:vAlign w:val="center"/>
          </w:tcPr>
          <w:p w14:paraId="39ED585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1.49 (1.19, 1.81)</w:t>
            </w:r>
          </w:p>
        </w:tc>
        <w:tc>
          <w:tcPr>
            <w:tcW w:w="0" w:type="auto"/>
            <w:tcBorders>
              <w:top w:val="nil"/>
              <w:left w:val="nil"/>
              <w:bottom w:val="nil"/>
              <w:right w:val="nil"/>
            </w:tcBorders>
            <w:shd w:val="clear" w:color="auto" w:fill="FFFFFF"/>
            <w:noWrap/>
            <w:vAlign w:val="center"/>
          </w:tcPr>
          <w:p w14:paraId="61635B6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2.44 (1.96, 2.96)</w:t>
            </w:r>
          </w:p>
        </w:tc>
        <w:tc>
          <w:tcPr>
            <w:tcW w:w="0" w:type="auto"/>
            <w:tcBorders>
              <w:top w:val="nil"/>
              <w:left w:val="nil"/>
              <w:bottom w:val="nil"/>
              <w:right w:val="nil"/>
            </w:tcBorders>
            <w:shd w:val="clear" w:color="auto" w:fill="FFFFFF"/>
            <w:noWrap/>
            <w:vAlign w:val="center"/>
          </w:tcPr>
          <w:p w14:paraId="3BB7193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370.69 (296.03, 448.85)</w:t>
            </w:r>
          </w:p>
        </w:tc>
        <w:tc>
          <w:tcPr>
            <w:tcW w:w="0" w:type="auto"/>
            <w:tcBorders>
              <w:top w:val="nil"/>
              <w:left w:val="nil"/>
              <w:bottom w:val="nil"/>
              <w:right w:val="nil"/>
            </w:tcBorders>
            <w:shd w:val="clear" w:color="auto" w:fill="FFFFFF"/>
            <w:noWrap/>
            <w:vAlign w:val="center"/>
          </w:tcPr>
          <w:p w14:paraId="7A4E80A2">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377.80 (301.41, 456.89)</w:t>
            </w:r>
          </w:p>
        </w:tc>
        <w:tc>
          <w:tcPr>
            <w:tcW w:w="0" w:type="auto"/>
            <w:tcBorders>
              <w:top w:val="nil"/>
              <w:left w:val="nil"/>
              <w:bottom w:val="nil"/>
              <w:right w:val="nil"/>
            </w:tcBorders>
            <w:shd w:val="clear" w:color="auto" w:fill="FFFFFF"/>
            <w:noWrap/>
            <w:vAlign w:val="center"/>
          </w:tcPr>
          <w:p w14:paraId="30A9AF27">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0.08 (0.07, 0.08)</w:t>
            </w:r>
          </w:p>
        </w:tc>
      </w:tr>
      <w:tr w14:paraId="0F889838">
        <w:trPr>
          <w:trHeight w:val="336" w:hRule="atLeast"/>
        </w:trPr>
        <w:tc>
          <w:tcPr>
            <w:tcW w:w="0" w:type="auto"/>
            <w:vMerge w:val="continue"/>
            <w:tcBorders>
              <w:top w:val="nil"/>
              <w:left w:val="nil"/>
              <w:bottom w:val="nil"/>
              <w:right w:val="nil"/>
            </w:tcBorders>
            <w:shd w:val="clear" w:color="auto" w:fill="FFFFFF"/>
            <w:noWrap/>
            <w:vAlign w:val="center"/>
          </w:tcPr>
          <w:p w14:paraId="42CB39BF">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09731E5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Developmental intellectual disability</w:t>
            </w:r>
          </w:p>
        </w:tc>
        <w:tc>
          <w:tcPr>
            <w:tcW w:w="0" w:type="auto"/>
            <w:tcBorders>
              <w:top w:val="nil"/>
              <w:left w:val="nil"/>
              <w:bottom w:val="nil"/>
              <w:right w:val="nil"/>
            </w:tcBorders>
            <w:shd w:val="clear" w:color="auto" w:fill="FFFFFF"/>
            <w:noWrap/>
            <w:vAlign w:val="center"/>
          </w:tcPr>
          <w:p w14:paraId="205FD42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4.88 (3.54, 6.17)</w:t>
            </w:r>
          </w:p>
        </w:tc>
        <w:tc>
          <w:tcPr>
            <w:tcW w:w="0" w:type="auto"/>
            <w:tcBorders>
              <w:top w:val="nil"/>
              <w:left w:val="nil"/>
              <w:bottom w:val="nil"/>
              <w:right w:val="nil"/>
            </w:tcBorders>
            <w:shd w:val="clear" w:color="auto" w:fill="FFFFFF"/>
            <w:noWrap/>
            <w:vAlign w:val="center"/>
          </w:tcPr>
          <w:p w14:paraId="175AF99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6.73 (5.17, 8.39)</w:t>
            </w:r>
          </w:p>
        </w:tc>
        <w:tc>
          <w:tcPr>
            <w:tcW w:w="0" w:type="auto"/>
            <w:tcBorders>
              <w:top w:val="nil"/>
              <w:left w:val="nil"/>
              <w:bottom w:val="nil"/>
              <w:right w:val="nil"/>
            </w:tcBorders>
            <w:shd w:val="clear" w:color="auto" w:fill="FFFFFF"/>
            <w:noWrap/>
            <w:vAlign w:val="center"/>
          </w:tcPr>
          <w:p w14:paraId="182607C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1100.05 (798.63, 1392.84)</w:t>
            </w:r>
          </w:p>
        </w:tc>
        <w:tc>
          <w:tcPr>
            <w:tcW w:w="0" w:type="auto"/>
            <w:tcBorders>
              <w:top w:val="nil"/>
              <w:left w:val="nil"/>
              <w:bottom w:val="nil"/>
              <w:right w:val="nil"/>
            </w:tcBorders>
            <w:shd w:val="clear" w:color="auto" w:fill="FFFFFF"/>
            <w:noWrap/>
            <w:vAlign w:val="center"/>
          </w:tcPr>
          <w:p w14:paraId="060407D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1090.97 (838.84, 1361.11)</w:t>
            </w:r>
          </w:p>
        </w:tc>
        <w:tc>
          <w:tcPr>
            <w:tcW w:w="0" w:type="auto"/>
            <w:tcBorders>
              <w:top w:val="nil"/>
              <w:left w:val="nil"/>
              <w:bottom w:val="nil"/>
              <w:right w:val="nil"/>
            </w:tcBorders>
            <w:shd w:val="clear" w:color="auto" w:fill="FFFFFF"/>
            <w:noWrap/>
            <w:vAlign w:val="center"/>
          </w:tcPr>
          <w:p w14:paraId="63ACF08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-0.04 (-0.07, -0.01)</w:t>
            </w:r>
          </w:p>
        </w:tc>
        <w:tc>
          <w:tcPr>
            <w:tcW w:w="0" w:type="auto"/>
            <w:tcBorders>
              <w:top w:val="nil"/>
              <w:left w:val="nil"/>
              <w:bottom w:val="nil"/>
              <w:right w:val="nil"/>
            </w:tcBorders>
            <w:shd w:val="clear" w:color="auto" w:fill="FFFFFF"/>
            <w:noWrap/>
            <w:vAlign w:val="center"/>
          </w:tcPr>
          <w:p w14:paraId="7C948B2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0.37 (0.24, 0.54)</w:t>
            </w:r>
          </w:p>
        </w:tc>
        <w:tc>
          <w:tcPr>
            <w:tcW w:w="0" w:type="auto"/>
            <w:tcBorders>
              <w:top w:val="nil"/>
              <w:left w:val="nil"/>
              <w:bottom w:val="nil"/>
              <w:right w:val="nil"/>
            </w:tcBorders>
            <w:shd w:val="clear" w:color="auto" w:fill="FFFFFF"/>
            <w:noWrap/>
            <w:vAlign w:val="center"/>
          </w:tcPr>
          <w:p w14:paraId="69ABAA77">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0.55 (0.37, 0.77)</w:t>
            </w:r>
          </w:p>
        </w:tc>
        <w:tc>
          <w:tcPr>
            <w:tcW w:w="0" w:type="auto"/>
            <w:tcBorders>
              <w:top w:val="nil"/>
              <w:left w:val="nil"/>
              <w:bottom w:val="nil"/>
              <w:right w:val="nil"/>
            </w:tcBorders>
            <w:shd w:val="clear" w:color="auto" w:fill="FFFFFF"/>
            <w:noWrap/>
            <w:vAlign w:val="center"/>
          </w:tcPr>
          <w:p w14:paraId="79B779C2">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83.79 (54.74, 120.60)</w:t>
            </w:r>
          </w:p>
        </w:tc>
        <w:tc>
          <w:tcPr>
            <w:tcW w:w="0" w:type="auto"/>
            <w:tcBorders>
              <w:top w:val="nil"/>
              <w:left w:val="nil"/>
              <w:bottom w:val="nil"/>
              <w:right w:val="nil"/>
            </w:tcBorders>
            <w:shd w:val="clear" w:color="auto" w:fill="FFFFFF"/>
            <w:noWrap/>
            <w:vAlign w:val="center"/>
          </w:tcPr>
          <w:p w14:paraId="0EC7023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89.25 (59.89, 125.41)</w:t>
            </w:r>
          </w:p>
        </w:tc>
        <w:tc>
          <w:tcPr>
            <w:tcW w:w="0" w:type="auto"/>
            <w:tcBorders>
              <w:top w:val="nil"/>
              <w:left w:val="nil"/>
              <w:bottom w:val="nil"/>
              <w:right w:val="nil"/>
            </w:tcBorders>
            <w:shd w:val="clear" w:color="auto" w:fill="FFFFFF"/>
            <w:noWrap/>
            <w:vAlign w:val="center"/>
          </w:tcPr>
          <w:p w14:paraId="03AC997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0.23 (0.19, 0.27)</w:t>
            </w:r>
          </w:p>
        </w:tc>
      </w:tr>
      <w:tr w14:paraId="16A13205">
        <w:trPr>
          <w:trHeight w:val="336" w:hRule="atLeast"/>
        </w:trPr>
        <w:tc>
          <w:tcPr>
            <w:tcW w:w="0" w:type="auto"/>
            <w:vMerge w:val="continue"/>
            <w:tcBorders>
              <w:top w:val="nil"/>
              <w:left w:val="nil"/>
              <w:bottom w:val="nil"/>
              <w:right w:val="nil"/>
            </w:tcBorders>
            <w:shd w:val="clear" w:color="auto" w:fill="FFFFFF"/>
            <w:noWrap/>
            <w:vAlign w:val="center"/>
          </w:tcPr>
          <w:p w14:paraId="064446FB">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0463CC3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Schizophrenia</w:t>
            </w:r>
          </w:p>
        </w:tc>
        <w:tc>
          <w:tcPr>
            <w:tcW w:w="0" w:type="auto"/>
            <w:tcBorders>
              <w:top w:val="nil"/>
              <w:left w:val="nil"/>
              <w:bottom w:val="nil"/>
              <w:right w:val="nil"/>
            </w:tcBorders>
            <w:shd w:val="clear" w:color="auto" w:fill="FFFFFF"/>
            <w:noWrap/>
            <w:vAlign w:val="center"/>
          </w:tcPr>
          <w:p w14:paraId="039E73A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0.86 (0.69, 1.06)</w:t>
            </w:r>
          </w:p>
        </w:tc>
        <w:tc>
          <w:tcPr>
            <w:tcW w:w="0" w:type="auto"/>
            <w:tcBorders>
              <w:top w:val="nil"/>
              <w:left w:val="nil"/>
              <w:bottom w:val="nil"/>
              <w:right w:val="nil"/>
            </w:tcBorders>
            <w:shd w:val="clear" w:color="auto" w:fill="FFFFFF"/>
            <w:noWrap/>
            <w:vAlign w:val="center"/>
          </w:tcPr>
          <w:p w14:paraId="70C7E2C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1.66 (1.35, 2.01)</w:t>
            </w:r>
          </w:p>
        </w:tc>
        <w:tc>
          <w:tcPr>
            <w:tcW w:w="0" w:type="auto"/>
            <w:tcBorders>
              <w:top w:val="nil"/>
              <w:left w:val="nil"/>
              <w:bottom w:val="nil"/>
              <w:right w:val="nil"/>
            </w:tcBorders>
            <w:shd w:val="clear" w:color="auto" w:fill="FFFFFF"/>
            <w:noWrap/>
            <w:vAlign w:val="center"/>
          </w:tcPr>
          <w:p w14:paraId="3F53B19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243.31 (197.21, 295.21)</w:t>
            </w:r>
          </w:p>
        </w:tc>
        <w:tc>
          <w:tcPr>
            <w:tcW w:w="0" w:type="auto"/>
            <w:tcBorders>
              <w:top w:val="nil"/>
              <w:left w:val="nil"/>
              <w:bottom w:val="nil"/>
              <w:right w:val="nil"/>
            </w:tcBorders>
            <w:shd w:val="clear" w:color="auto" w:fill="FFFFFF"/>
            <w:noWrap/>
            <w:vAlign w:val="center"/>
          </w:tcPr>
          <w:p w14:paraId="08D13B8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243.88 (198.40, 295.68)</w:t>
            </w:r>
          </w:p>
        </w:tc>
        <w:tc>
          <w:tcPr>
            <w:tcW w:w="0" w:type="auto"/>
            <w:tcBorders>
              <w:top w:val="nil"/>
              <w:left w:val="nil"/>
              <w:bottom w:val="nil"/>
              <w:right w:val="nil"/>
            </w:tcBorders>
            <w:shd w:val="clear" w:color="auto" w:fill="FFFFFF"/>
            <w:noWrap/>
            <w:vAlign w:val="center"/>
          </w:tcPr>
          <w:p w14:paraId="5DE5C16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0.01 (0.00, 0.02)</w:t>
            </w:r>
          </w:p>
        </w:tc>
        <w:tc>
          <w:tcPr>
            <w:tcW w:w="0" w:type="auto"/>
            <w:tcBorders>
              <w:top w:val="nil"/>
              <w:left w:val="nil"/>
              <w:bottom w:val="nil"/>
              <w:right w:val="nil"/>
            </w:tcBorders>
            <w:shd w:val="clear" w:color="auto" w:fill="FFFFFF"/>
            <w:noWrap/>
            <w:vAlign w:val="center"/>
          </w:tcPr>
          <w:p w14:paraId="52393C9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0.55 (0.40, 0.73)</w:t>
            </w:r>
          </w:p>
        </w:tc>
        <w:tc>
          <w:tcPr>
            <w:tcW w:w="0" w:type="auto"/>
            <w:tcBorders>
              <w:top w:val="nil"/>
              <w:left w:val="nil"/>
              <w:bottom w:val="nil"/>
              <w:right w:val="nil"/>
            </w:tcBorders>
            <w:shd w:val="clear" w:color="auto" w:fill="FFFFFF"/>
            <w:noWrap/>
            <w:vAlign w:val="center"/>
          </w:tcPr>
          <w:p w14:paraId="78D68B8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1.05 (0.76, 1.38)</w:t>
            </w:r>
          </w:p>
        </w:tc>
        <w:tc>
          <w:tcPr>
            <w:tcW w:w="0" w:type="auto"/>
            <w:tcBorders>
              <w:top w:val="nil"/>
              <w:left w:val="nil"/>
              <w:bottom w:val="nil"/>
              <w:right w:val="nil"/>
            </w:tcBorders>
            <w:shd w:val="clear" w:color="auto" w:fill="FFFFFF"/>
            <w:noWrap/>
            <w:vAlign w:val="center"/>
          </w:tcPr>
          <w:p w14:paraId="59B4957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154.89 (112.15, 204.49)</w:t>
            </w:r>
          </w:p>
        </w:tc>
        <w:tc>
          <w:tcPr>
            <w:tcW w:w="0" w:type="auto"/>
            <w:tcBorders>
              <w:top w:val="nil"/>
              <w:left w:val="nil"/>
              <w:bottom w:val="nil"/>
              <w:right w:val="nil"/>
            </w:tcBorders>
            <w:shd w:val="clear" w:color="auto" w:fill="FFFFFF"/>
            <w:noWrap/>
            <w:vAlign w:val="center"/>
          </w:tcPr>
          <w:p w14:paraId="7FD79A3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154.97 (112.11, 204.27)</w:t>
            </w:r>
          </w:p>
        </w:tc>
        <w:tc>
          <w:tcPr>
            <w:tcW w:w="0" w:type="auto"/>
            <w:tcBorders>
              <w:top w:val="nil"/>
              <w:left w:val="nil"/>
              <w:bottom w:val="nil"/>
              <w:right w:val="nil"/>
            </w:tcBorders>
            <w:shd w:val="clear" w:color="auto" w:fill="FFFFFF"/>
            <w:noWrap/>
            <w:vAlign w:val="center"/>
          </w:tcPr>
          <w:p w14:paraId="0D44774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0.02 (0.01, 0.03)</w:t>
            </w:r>
          </w:p>
        </w:tc>
      </w:tr>
      <w:tr w14:paraId="15E4F799">
        <w:trPr>
          <w:trHeight w:val="336" w:hRule="atLeast"/>
        </w:trPr>
        <w:tc>
          <w:tcPr>
            <w:tcW w:w="0" w:type="auto"/>
            <w:vMerge w:val="continue"/>
            <w:tcBorders>
              <w:top w:val="nil"/>
              <w:left w:val="nil"/>
              <w:bottom w:val="nil"/>
              <w:right w:val="nil"/>
            </w:tcBorders>
            <w:shd w:val="clear" w:color="auto" w:fill="FFFFFF"/>
            <w:noWrap/>
            <w:vAlign w:val="center"/>
          </w:tcPr>
          <w:p w14:paraId="41089F04">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02C934F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Autism spectrum disorders</w:t>
            </w:r>
          </w:p>
        </w:tc>
        <w:tc>
          <w:tcPr>
            <w:tcW w:w="0" w:type="auto"/>
            <w:tcBorders>
              <w:top w:val="nil"/>
              <w:left w:val="nil"/>
              <w:bottom w:val="nil"/>
              <w:right w:val="nil"/>
            </w:tcBorders>
            <w:shd w:val="clear" w:color="auto" w:fill="FFFFFF"/>
            <w:noWrap/>
            <w:vAlign w:val="center"/>
          </w:tcPr>
          <w:p w14:paraId="7C00EF3E">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3.01 (2.53, 3.58)</w:t>
            </w:r>
          </w:p>
        </w:tc>
        <w:tc>
          <w:tcPr>
            <w:tcW w:w="0" w:type="auto"/>
            <w:tcBorders>
              <w:top w:val="nil"/>
              <w:left w:val="nil"/>
              <w:bottom w:val="nil"/>
              <w:right w:val="nil"/>
            </w:tcBorders>
            <w:shd w:val="clear" w:color="auto" w:fill="FFFFFF"/>
            <w:noWrap/>
            <w:vAlign w:val="center"/>
          </w:tcPr>
          <w:p w14:paraId="4AE71AB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4.45 (3.74, 5.27)</w:t>
            </w:r>
          </w:p>
        </w:tc>
        <w:tc>
          <w:tcPr>
            <w:tcW w:w="0" w:type="auto"/>
            <w:tcBorders>
              <w:top w:val="nil"/>
              <w:left w:val="nil"/>
              <w:bottom w:val="nil"/>
              <w:right w:val="nil"/>
            </w:tcBorders>
            <w:shd w:val="clear" w:color="auto" w:fill="FFFFFF"/>
            <w:noWrap/>
            <w:vAlign w:val="center"/>
          </w:tcPr>
          <w:p w14:paraId="1EF9566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704.57 (593.14, 837.62)</w:t>
            </w:r>
          </w:p>
        </w:tc>
        <w:tc>
          <w:tcPr>
            <w:tcW w:w="0" w:type="auto"/>
            <w:tcBorders>
              <w:top w:val="nil"/>
              <w:left w:val="nil"/>
              <w:bottom w:val="nil"/>
              <w:right w:val="nil"/>
            </w:tcBorders>
            <w:shd w:val="clear" w:color="auto" w:fill="FFFFFF"/>
            <w:noWrap/>
            <w:vAlign w:val="center"/>
          </w:tcPr>
          <w:p w14:paraId="5E752295">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711.83 (598.85, 843.32)</w:t>
            </w:r>
          </w:p>
        </w:tc>
        <w:tc>
          <w:tcPr>
            <w:tcW w:w="0" w:type="auto"/>
            <w:tcBorders>
              <w:top w:val="nil"/>
              <w:left w:val="nil"/>
              <w:bottom w:val="nil"/>
              <w:right w:val="nil"/>
            </w:tcBorders>
            <w:shd w:val="clear" w:color="auto" w:fill="FFFFFF"/>
            <w:noWrap/>
            <w:vAlign w:val="center"/>
          </w:tcPr>
          <w:p w14:paraId="4EBC948E">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0.04 (0.03, 0.04)</w:t>
            </w:r>
          </w:p>
        </w:tc>
        <w:tc>
          <w:tcPr>
            <w:tcW w:w="0" w:type="auto"/>
            <w:tcBorders>
              <w:top w:val="nil"/>
              <w:left w:val="nil"/>
              <w:bottom w:val="nil"/>
              <w:right w:val="nil"/>
            </w:tcBorders>
            <w:shd w:val="clear" w:color="auto" w:fill="FFFFFF"/>
            <w:noWrap/>
            <w:vAlign w:val="center"/>
          </w:tcPr>
          <w:p w14:paraId="339BF10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0.57 (0.39, 0.80)</w:t>
            </w:r>
          </w:p>
        </w:tc>
        <w:tc>
          <w:tcPr>
            <w:tcW w:w="0" w:type="auto"/>
            <w:tcBorders>
              <w:top w:val="nil"/>
              <w:left w:val="nil"/>
              <w:bottom w:val="nil"/>
              <w:right w:val="nil"/>
            </w:tcBorders>
            <w:shd w:val="clear" w:color="auto" w:fill="FFFFFF"/>
            <w:noWrap/>
            <w:vAlign w:val="center"/>
          </w:tcPr>
          <w:p w14:paraId="007AE43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0.83 (0.56, 1.17)</w:t>
            </w:r>
          </w:p>
        </w:tc>
        <w:tc>
          <w:tcPr>
            <w:tcW w:w="0" w:type="auto"/>
            <w:tcBorders>
              <w:top w:val="nil"/>
              <w:left w:val="nil"/>
              <w:bottom w:val="nil"/>
              <w:right w:val="nil"/>
            </w:tcBorders>
            <w:shd w:val="clear" w:color="auto" w:fill="FFFFFF"/>
            <w:noWrap/>
            <w:vAlign w:val="center"/>
          </w:tcPr>
          <w:p w14:paraId="0592458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132.01 (91.31, 185.35)</w:t>
            </w:r>
          </w:p>
        </w:tc>
        <w:tc>
          <w:tcPr>
            <w:tcW w:w="0" w:type="auto"/>
            <w:tcBorders>
              <w:top w:val="nil"/>
              <w:left w:val="nil"/>
              <w:bottom w:val="nil"/>
              <w:right w:val="nil"/>
            </w:tcBorders>
            <w:shd w:val="clear" w:color="auto" w:fill="FFFFFF"/>
            <w:noWrap/>
            <w:vAlign w:val="center"/>
          </w:tcPr>
          <w:p w14:paraId="57816E2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133.59 (90.13, 188.20)</w:t>
            </w:r>
          </w:p>
        </w:tc>
        <w:tc>
          <w:tcPr>
            <w:tcW w:w="0" w:type="auto"/>
            <w:tcBorders>
              <w:top w:val="nil"/>
              <w:left w:val="nil"/>
              <w:bottom w:val="nil"/>
              <w:right w:val="nil"/>
            </w:tcBorders>
            <w:shd w:val="clear" w:color="auto" w:fill="FFFFFF"/>
            <w:noWrap/>
            <w:vAlign w:val="center"/>
          </w:tcPr>
          <w:p w14:paraId="1B6BE96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0.04 (0.04, 0.05)</w:t>
            </w:r>
          </w:p>
        </w:tc>
      </w:tr>
      <w:tr w14:paraId="7EA84776">
        <w:trPr>
          <w:trHeight w:val="336" w:hRule="atLeast"/>
        </w:trPr>
        <w:tc>
          <w:tcPr>
            <w:tcW w:w="0" w:type="auto"/>
            <w:vMerge w:val="restart"/>
            <w:tcBorders>
              <w:top w:val="nil"/>
              <w:left w:val="nil"/>
              <w:bottom w:val="nil"/>
              <w:right w:val="nil"/>
            </w:tcBorders>
            <w:shd w:val="clear" w:color="auto" w:fill="FFFFFF"/>
            <w:noWrap/>
            <w:vAlign w:val="center"/>
          </w:tcPr>
          <w:p w14:paraId="0BFB5565">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South-East Asia Region</w:t>
            </w:r>
          </w:p>
        </w:tc>
        <w:tc>
          <w:tcPr>
            <w:tcW w:w="0" w:type="auto"/>
            <w:tcBorders>
              <w:top w:val="nil"/>
              <w:left w:val="nil"/>
              <w:bottom w:val="nil"/>
              <w:right w:val="nil"/>
            </w:tcBorders>
            <w:shd w:val="clear" w:color="auto" w:fill="FFFFFF"/>
            <w:noWrap/>
            <w:vAlign w:val="center"/>
          </w:tcPr>
          <w:p w14:paraId="4407A8A2">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Mental disorders</w:t>
            </w:r>
          </w:p>
        </w:tc>
        <w:tc>
          <w:tcPr>
            <w:tcW w:w="0" w:type="auto"/>
            <w:tcBorders>
              <w:top w:val="nil"/>
              <w:left w:val="nil"/>
              <w:bottom w:val="nil"/>
              <w:right w:val="nil"/>
            </w:tcBorders>
            <w:shd w:val="clear" w:color="auto" w:fill="FFFFFF"/>
            <w:noWrap/>
            <w:vAlign w:val="center"/>
          </w:tcPr>
          <w:p w14:paraId="74DD176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68.20 (49.36, 87.49)</w:t>
            </w:r>
          </w:p>
        </w:tc>
        <w:tc>
          <w:tcPr>
            <w:tcW w:w="0" w:type="auto"/>
            <w:tcBorders>
              <w:top w:val="nil"/>
              <w:left w:val="nil"/>
              <w:bottom w:val="nil"/>
              <w:right w:val="nil"/>
            </w:tcBorders>
            <w:shd w:val="clear" w:color="auto" w:fill="FFFFFF"/>
            <w:noWrap/>
            <w:vAlign w:val="center"/>
          </w:tcPr>
          <w:p w14:paraId="60D6DDD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85.16 (64.59, 106.22)</w:t>
            </w:r>
          </w:p>
        </w:tc>
        <w:tc>
          <w:tcPr>
            <w:tcW w:w="0" w:type="auto"/>
            <w:tcBorders>
              <w:top w:val="nil"/>
              <w:left w:val="nil"/>
              <w:bottom w:val="nil"/>
              <w:right w:val="nil"/>
            </w:tcBorders>
            <w:shd w:val="clear" w:color="auto" w:fill="FFFFFF"/>
            <w:noWrap/>
            <w:vAlign w:val="center"/>
          </w:tcPr>
          <w:p w14:paraId="2E09A02E">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4955.95 (3609.68, 6331.18)</w:t>
            </w:r>
          </w:p>
        </w:tc>
        <w:tc>
          <w:tcPr>
            <w:tcW w:w="0" w:type="auto"/>
            <w:tcBorders>
              <w:top w:val="nil"/>
              <w:left w:val="nil"/>
              <w:bottom w:val="nil"/>
              <w:right w:val="nil"/>
            </w:tcBorders>
            <w:shd w:val="clear" w:color="auto" w:fill="FFFFFF"/>
            <w:noWrap/>
            <w:vAlign w:val="center"/>
          </w:tcPr>
          <w:p w14:paraId="4252D017">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4093.25 (3100.51, 5111.22)</w:t>
            </w:r>
          </w:p>
        </w:tc>
        <w:tc>
          <w:tcPr>
            <w:tcW w:w="0" w:type="auto"/>
            <w:tcBorders>
              <w:top w:val="nil"/>
              <w:left w:val="nil"/>
              <w:bottom w:val="nil"/>
              <w:right w:val="nil"/>
            </w:tcBorders>
            <w:shd w:val="clear" w:color="auto" w:fill="FFFFFF"/>
            <w:noWrap/>
            <w:vAlign w:val="center"/>
          </w:tcPr>
          <w:p w14:paraId="7E05D1D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-0.65 (-0.68, -0.61)</w:t>
            </w:r>
          </w:p>
        </w:tc>
        <w:tc>
          <w:tcPr>
            <w:tcW w:w="0" w:type="auto"/>
            <w:tcBorders>
              <w:top w:val="nil"/>
              <w:left w:val="nil"/>
              <w:bottom w:val="nil"/>
              <w:right w:val="nil"/>
            </w:tcBorders>
            <w:shd w:val="clear" w:color="auto" w:fill="FFFFFF"/>
            <w:noWrap/>
            <w:vAlign w:val="center"/>
          </w:tcPr>
          <w:p w14:paraId="40508DAF">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7.49 (5.60, 9.63)</w:t>
            </w:r>
          </w:p>
        </w:tc>
        <w:tc>
          <w:tcPr>
            <w:tcW w:w="0" w:type="auto"/>
            <w:tcBorders>
              <w:top w:val="nil"/>
              <w:left w:val="nil"/>
              <w:bottom w:val="nil"/>
              <w:right w:val="nil"/>
            </w:tcBorders>
            <w:shd w:val="clear" w:color="auto" w:fill="FFFFFF"/>
            <w:noWrap/>
            <w:vAlign w:val="center"/>
          </w:tcPr>
          <w:p w14:paraId="6D58453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11.16 (8.55, 13.80)</w:t>
            </w:r>
          </w:p>
        </w:tc>
        <w:tc>
          <w:tcPr>
            <w:tcW w:w="0" w:type="auto"/>
            <w:tcBorders>
              <w:top w:val="nil"/>
              <w:left w:val="nil"/>
              <w:bottom w:val="nil"/>
              <w:right w:val="nil"/>
            </w:tcBorders>
            <w:shd w:val="clear" w:color="auto" w:fill="FFFFFF"/>
            <w:noWrap/>
            <w:vAlign w:val="center"/>
          </w:tcPr>
          <w:p w14:paraId="6E645C9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573.36 (434.44, 726.46)</w:t>
            </w:r>
          </w:p>
        </w:tc>
        <w:tc>
          <w:tcPr>
            <w:tcW w:w="0" w:type="auto"/>
            <w:tcBorders>
              <w:top w:val="nil"/>
              <w:left w:val="nil"/>
              <w:bottom w:val="nil"/>
              <w:right w:val="nil"/>
            </w:tcBorders>
            <w:shd w:val="clear" w:color="auto" w:fill="FFFFFF"/>
            <w:noWrap/>
            <w:vAlign w:val="center"/>
          </w:tcPr>
          <w:p w14:paraId="1B4118C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527.58 (404.01, 652.99)</w:t>
            </w:r>
          </w:p>
        </w:tc>
        <w:tc>
          <w:tcPr>
            <w:tcW w:w="0" w:type="auto"/>
            <w:tcBorders>
              <w:top w:val="nil"/>
              <w:left w:val="nil"/>
              <w:bottom w:val="nil"/>
              <w:right w:val="nil"/>
            </w:tcBorders>
            <w:shd w:val="clear" w:color="auto" w:fill="FFFFFF"/>
            <w:noWrap/>
            <w:vAlign w:val="center"/>
          </w:tcPr>
          <w:p w14:paraId="2B5F360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-0.27 (-0.28, -0.26)</w:t>
            </w:r>
          </w:p>
        </w:tc>
      </w:tr>
      <w:tr w14:paraId="3582EFE2">
        <w:trPr>
          <w:trHeight w:val="336" w:hRule="atLeast"/>
        </w:trPr>
        <w:tc>
          <w:tcPr>
            <w:tcW w:w="0" w:type="auto"/>
            <w:vMerge w:val="continue"/>
            <w:tcBorders>
              <w:top w:val="nil"/>
              <w:left w:val="nil"/>
              <w:bottom w:val="nil"/>
              <w:right w:val="nil"/>
            </w:tcBorders>
            <w:shd w:val="clear" w:color="auto" w:fill="FFFFFF"/>
            <w:noWrap/>
            <w:vAlign w:val="center"/>
          </w:tcPr>
          <w:p w14:paraId="18CA7E6B">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2B608EC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Developmental intellectual disability</w:t>
            </w:r>
          </w:p>
        </w:tc>
        <w:tc>
          <w:tcPr>
            <w:tcW w:w="0" w:type="auto"/>
            <w:tcBorders>
              <w:top w:val="nil"/>
              <w:left w:val="nil"/>
              <w:bottom w:val="nil"/>
              <w:right w:val="nil"/>
            </w:tcBorders>
            <w:shd w:val="clear" w:color="auto" w:fill="FFFFFF"/>
            <w:noWrap/>
            <w:vAlign w:val="center"/>
          </w:tcPr>
          <w:p w14:paraId="32528C8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56.40 (37.77, 75.80)</w:t>
            </w:r>
          </w:p>
        </w:tc>
        <w:tc>
          <w:tcPr>
            <w:tcW w:w="0" w:type="auto"/>
            <w:tcBorders>
              <w:top w:val="nil"/>
              <w:left w:val="nil"/>
              <w:bottom w:val="nil"/>
              <w:right w:val="nil"/>
            </w:tcBorders>
            <w:shd w:val="clear" w:color="auto" w:fill="FFFFFF"/>
            <w:noWrap/>
            <w:vAlign w:val="center"/>
          </w:tcPr>
          <w:p w14:paraId="23E6439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65.20 (44.84, 86.62)</w:t>
            </w:r>
          </w:p>
        </w:tc>
        <w:tc>
          <w:tcPr>
            <w:tcW w:w="0" w:type="auto"/>
            <w:tcBorders>
              <w:top w:val="nil"/>
              <w:left w:val="nil"/>
              <w:bottom w:val="nil"/>
              <w:right w:val="nil"/>
            </w:tcBorders>
            <w:shd w:val="clear" w:color="auto" w:fill="FFFFFF"/>
            <w:noWrap/>
            <w:vAlign w:val="center"/>
          </w:tcPr>
          <w:p w14:paraId="53BC50FF">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4035.67 (2714.93, 5420.31)</w:t>
            </w:r>
          </w:p>
        </w:tc>
        <w:tc>
          <w:tcPr>
            <w:tcW w:w="0" w:type="auto"/>
            <w:tcBorders>
              <w:top w:val="nil"/>
              <w:left w:val="nil"/>
              <w:bottom w:val="nil"/>
              <w:right w:val="nil"/>
            </w:tcBorders>
            <w:shd w:val="clear" w:color="auto" w:fill="FFFFFF"/>
            <w:noWrap/>
            <w:vAlign w:val="center"/>
          </w:tcPr>
          <w:p w14:paraId="7A7C2F9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3147.24 (2163.95, 4181.77)</w:t>
            </w:r>
          </w:p>
        </w:tc>
        <w:tc>
          <w:tcPr>
            <w:tcW w:w="0" w:type="auto"/>
            <w:tcBorders>
              <w:top w:val="nil"/>
              <w:left w:val="nil"/>
              <w:bottom w:val="nil"/>
              <w:right w:val="nil"/>
            </w:tcBorders>
            <w:shd w:val="clear" w:color="auto" w:fill="FFFFFF"/>
            <w:noWrap/>
            <w:vAlign w:val="center"/>
          </w:tcPr>
          <w:p w14:paraId="093B5FDF">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-0.84 (-0.88, -0.79)</w:t>
            </w:r>
          </w:p>
        </w:tc>
        <w:tc>
          <w:tcPr>
            <w:tcW w:w="0" w:type="auto"/>
            <w:tcBorders>
              <w:top w:val="nil"/>
              <w:left w:val="nil"/>
              <w:bottom w:val="nil"/>
              <w:right w:val="nil"/>
            </w:tcBorders>
            <w:shd w:val="clear" w:color="auto" w:fill="FFFFFF"/>
            <w:noWrap/>
            <w:vAlign w:val="center"/>
          </w:tcPr>
          <w:p w14:paraId="45D9AC94">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3.74 (2.27, 5.62)</w:t>
            </w:r>
          </w:p>
        </w:tc>
        <w:tc>
          <w:tcPr>
            <w:tcW w:w="0" w:type="auto"/>
            <w:tcBorders>
              <w:top w:val="nil"/>
              <w:left w:val="nil"/>
              <w:bottom w:val="nil"/>
              <w:right w:val="nil"/>
            </w:tcBorders>
            <w:shd w:val="clear" w:color="auto" w:fill="FFFFFF"/>
            <w:noWrap/>
            <w:vAlign w:val="center"/>
          </w:tcPr>
          <w:p w14:paraId="4ABE76F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4.41 (2.70, 6.55)</w:t>
            </w:r>
          </w:p>
        </w:tc>
        <w:tc>
          <w:tcPr>
            <w:tcW w:w="0" w:type="auto"/>
            <w:tcBorders>
              <w:top w:val="nil"/>
              <w:left w:val="nil"/>
              <w:bottom w:val="nil"/>
              <w:right w:val="nil"/>
            </w:tcBorders>
            <w:shd w:val="clear" w:color="auto" w:fill="FFFFFF"/>
            <w:noWrap/>
            <w:vAlign w:val="center"/>
          </w:tcPr>
          <w:p w14:paraId="07E5D8D7">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266.65 (161.71, 400.49)</w:t>
            </w:r>
          </w:p>
        </w:tc>
        <w:tc>
          <w:tcPr>
            <w:tcW w:w="0" w:type="auto"/>
            <w:tcBorders>
              <w:top w:val="nil"/>
              <w:left w:val="nil"/>
              <w:bottom w:val="nil"/>
              <w:right w:val="nil"/>
            </w:tcBorders>
            <w:shd w:val="clear" w:color="auto" w:fill="FFFFFF"/>
            <w:noWrap/>
            <w:vAlign w:val="center"/>
          </w:tcPr>
          <w:p w14:paraId="17BC690E">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212.87 (130.46, 316.37)</w:t>
            </w:r>
          </w:p>
        </w:tc>
        <w:tc>
          <w:tcPr>
            <w:tcW w:w="0" w:type="auto"/>
            <w:tcBorders>
              <w:top w:val="nil"/>
              <w:left w:val="nil"/>
              <w:bottom w:val="nil"/>
              <w:right w:val="nil"/>
            </w:tcBorders>
            <w:shd w:val="clear" w:color="auto" w:fill="FFFFFF"/>
            <w:noWrap/>
            <w:vAlign w:val="center"/>
          </w:tcPr>
          <w:p w14:paraId="3216F35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-0.76 (-0.79, -0.72)</w:t>
            </w:r>
          </w:p>
        </w:tc>
      </w:tr>
      <w:tr w14:paraId="6FB7E7DA">
        <w:trPr>
          <w:trHeight w:val="336" w:hRule="atLeast"/>
        </w:trPr>
        <w:tc>
          <w:tcPr>
            <w:tcW w:w="0" w:type="auto"/>
            <w:vMerge w:val="continue"/>
            <w:tcBorders>
              <w:top w:val="nil"/>
              <w:left w:val="nil"/>
              <w:bottom w:val="nil"/>
              <w:right w:val="nil"/>
            </w:tcBorders>
            <w:shd w:val="clear" w:color="auto" w:fill="FFFFFF"/>
            <w:noWrap/>
            <w:vAlign w:val="center"/>
          </w:tcPr>
          <w:p w14:paraId="7B39744F">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662FF847">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Schizophrenia</w:t>
            </w:r>
          </w:p>
        </w:tc>
        <w:tc>
          <w:tcPr>
            <w:tcW w:w="0" w:type="auto"/>
            <w:tcBorders>
              <w:top w:val="nil"/>
              <w:left w:val="nil"/>
              <w:bottom w:val="nil"/>
              <w:right w:val="nil"/>
            </w:tcBorders>
            <w:shd w:val="clear" w:color="auto" w:fill="FFFFFF"/>
            <w:noWrap/>
            <w:vAlign w:val="center"/>
          </w:tcPr>
          <w:p w14:paraId="5954A61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3.16 (2.57, 3.79)</w:t>
            </w:r>
          </w:p>
        </w:tc>
        <w:tc>
          <w:tcPr>
            <w:tcW w:w="0" w:type="auto"/>
            <w:tcBorders>
              <w:top w:val="nil"/>
              <w:left w:val="nil"/>
              <w:bottom w:val="nil"/>
              <w:right w:val="nil"/>
            </w:tcBorders>
            <w:shd w:val="clear" w:color="auto" w:fill="FFFFFF"/>
            <w:noWrap/>
            <w:vAlign w:val="center"/>
          </w:tcPr>
          <w:p w14:paraId="1F759D1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6.36 (5.23, 7.59)</w:t>
            </w:r>
          </w:p>
        </w:tc>
        <w:tc>
          <w:tcPr>
            <w:tcW w:w="0" w:type="auto"/>
            <w:tcBorders>
              <w:top w:val="nil"/>
              <w:left w:val="nil"/>
              <w:bottom w:val="nil"/>
              <w:right w:val="nil"/>
            </w:tcBorders>
            <w:shd w:val="clear" w:color="auto" w:fill="FFFFFF"/>
            <w:noWrap/>
            <w:vAlign w:val="center"/>
          </w:tcPr>
          <w:p w14:paraId="7E17A30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283.73 (233.66, 338.01)</w:t>
            </w:r>
          </w:p>
        </w:tc>
        <w:tc>
          <w:tcPr>
            <w:tcW w:w="0" w:type="auto"/>
            <w:tcBorders>
              <w:top w:val="nil"/>
              <w:left w:val="nil"/>
              <w:bottom w:val="nil"/>
              <w:right w:val="nil"/>
            </w:tcBorders>
            <w:shd w:val="clear" w:color="auto" w:fill="FFFFFF"/>
            <w:noWrap/>
            <w:vAlign w:val="center"/>
          </w:tcPr>
          <w:p w14:paraId="6BD5A45F">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291.44 (240.80, 346.50)</w:t>
            </w:r>
          </w:p>
        </w:tc>
        <w:tc>
          <w:tcPr>
            <w:tcW w:w="0" w:type="auto"/>
            <w:tcBorders>
              <w:top w:val="nil"/>
              <w:left w:val="nil"/>
              <w:bottom w:val="nil"/>
              <w:right w:val="nil"/>
            </w:tcBorders>
            <w:shd w:val="clear" w:color="auto" w:fill="FFFFFF"/>
            <w:noWrap/>
            <w:vAlign w:val="center"/>
          </w:tcPr>
          <w:p w14:paraId="7E0FBB22">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0.11 (0.08, 0.14)</w:t>
            </w:r>
          </w:p>
        </w:tc>
        <w:tc>
          <w:tcPr>
            <w:tcW w:w="0" w:type="auto"/>
            <w:tcBorders>
              <w:top w:val="nil"/>
              <w:left w:val="nil"/>
              <w:bottom w:val="nil"/>
              <w:right w:val="nil"/>
            </w:tcBorders>
            <w:shd w:val="clear" w:color="auto" w:fill="FFFFFF"/>
            <w:noWrap/>
            <w:vAlign w:val="center"/>
          </w:tcPr>
          <w:p w14:paraId="3C8AF37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2.02 (1.49, 2.63)</w:t>
            </w:r>
          </w:p>
        </w:tc>
        <w:tc>
          <w:tcPr>
            <w:tcW w:w="0" w:type="auto"/>
            <w:tcBorders>
              <w:top w:val="nil"/>
              <w:left w:val="nil"/>
              <w:bottom w:val="nil"/>
              <w:right w:val="nil"/>
            </w:tcBorders>
            <w:shd w:val="clear" w:color="auto" w:fill="FFFFFF"/>
            <w:noWrap/>
            <w:vAlign w:val="center"/>
          </w:tcPr>
          <w:p w14:paraId="39AB46FE">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4.07 (3.00, 5.32)</w:t>
            </w:r>
          </w:p>
        </w:tc>
        <w:tc>
          <w:tcPr>
            <w:tcW w:w="0" w:type="auto"/>
            <w:tcBorders>
              <w:top w:val="nil"/>
              <w:left w:val="nil"/>
              <w:bottom w:val="nil"/>
              <w:right w:val="nil"/>
            </w:tcBorders>
            <w:shd w:val="clear" w:color="auto" w:fill="FFFFFF"/>
            <w:noWrap/>
            <w:vAlign w:val="center"/>
          </w:tcPr>
          <w:p w14:paraId="7ACF568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180.36 (133.09, 234.15)</w:t>
            </w:r>
          </w:p>
        </w:tc>
        <w:tc>
          <w:tcPr>
            <w:tcW w:w="0" w:type="auto"/>
            <w:tcBorders>
              <w:top w:val="nil"/>
              <w:left w:val="nil"/>
              <w:bottom w:val="nil"/>
              <w:right w:val="nil"/>
            </w:tcBorders>
            <w:shd w:val="clear" w:color="auto" w:fill="FFFFFF"/>
            <w:noWrap/>
            <w:vAlign w:val="center"/>
          </w:tcPr>
          <w:p w14:paraId="7F37C4E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185.91 (137.27, 242.82)</w:t>
            </w:r>
          </w:p>
        </w:tc>
        <w:tc>
          <w:tcPr>
            <w:tcW w:w="0" w:type="auto"/>
            <w:tcBorders>
              <w:top w:val="nil"/>
              <w:left w:val="nil"/>
              <w:bottom w:val="nil"/>
              <w:right w:val="nil"/>
            </w:tcBorders>
            <w:shd w:val="clear" w:color="auto" w:fill="FFFFFF"/>
            <w:noWrap/>
            <w:vAlign w:val="center"/>
          </w:tcPr>
          <w:p w14:paraId="198A7504">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0.13 (0.11, 0.16)</w:t>
            </w:r>
          </w:p>
        </w:tc>
      </w:tr>
      <w:tr w14:paraId="4DE07574">
        <w:trPr>
          <w:trHeight w:val="336" w:hRule="atLeast"/>
        </w:trPr>
        <w:tc>
          <w:tcPr>
            <w:tcW w:w="0" w:type="auto"/>
            <w:vMerge w:val="continue"/>
            <w:tcBorders>
              <w:top w:val="nil"/>
              <w:left w:val="nil"/>
              <w:bottom w:val="nil"/>
              <w:right w:val="nil"/>
            </w:tcBorders>
            <w:shd w:val="clear" w:color="auto" w:fill="FFFFFF"/>
            <w:noWrap/>
            <w:vAlign w:val="center"/>
          </w:tcPr>
          <w:p w14:paraId="7D468862">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15EB10E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Autism spectrum disorders</w:t>
            </w:r>
          </w:p>
        </w:tc>
        <w:tc>
          <w:tcPr>
            <w:tcW w:w="0" w:type="auto"/>
            <w:tcBorders>
              <w:top w:val="nil"/>
              <w:left w:val="nil"/>
              <w:bottom w:val="nil"/>
              <w:right w:val="nil"/>
            </w:tcBorders>
            <w:shd w:val="clear" w:color="auto" w:fill="FFFFFF"/>
            <w:noWrap/>
            <w:vAlign w:val="center"/>
          </w:tcPr>
          <w:p w14:paraId="75F4977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9.21 (7.72, 10.90)</w:t>
            </w:r>
          </w:p>
        </w:tc>
        <w:tc>
          <w:tcPr>
            <w:tcW w:w="0" w:type="auto"/>
            <w:tcBorders>
              <w:top w:val="nil"/>
              <w:left w:val="nil"/>
              <w:bottom w:val="nil"/>
              <w:right w:val="nil"/>
            </w:tcBorders>
            <w:shd w:val="clear" w:color="auto" w:fill="FFFFFF"/>
            <w:noWrap/>
            <w:vAlign w:val="center"/>
          </w:tcPr>
          <w:p w14:paraId="4364258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14.29 (12.03, 16.77)</w:t>
            </w:r>
          </w:p>
        </w:tc>
        <w:tc>
          <w:tcPr>
            <w:tcW w:w="0" w:type="auto"/>
            <w:tcBorders>
              <w:top w:val="nil"/>
              <w:left w:val="nil"/>
              <w:bottom w:val="nil"/>
              <w:right w:val="nil"/>
            </w:tcBorders>
            <w:shd w:val="clear" w:color="auto" w:fill="FFFFFF"/>
            <w:noWrap/>
            <w:vAlign w:val="center"/>
          </w:tcPr>
          <w:p w14:paraId="74013A02">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677.85 (568.58, 802.02)</w:t>
            </w:r>
          </w:p>
        </w:tc>
        <w:tc>
          <w:tcPr>
            <w:tcW w:w="0" w:type="auto"/>
            <w:tcBorders>
              <w:top w:val="nil"/>
              <w:left w:val="nil"/>
              <w:bottom w:val="nil"/>
              <w:right w:val="nil"/>
            </w:tcBorders>
            <w:shd w:val="clear" w:color="auto" w:fill="FFFFFF"/>
            <w:noWrap/>
            <w:vAlign w:val="center"/>
          </w:tcPr>
          <w:p w14:paraId="6E1B49DF">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687.42 (579.00, 807.00)</w:t>
            </w:r>
          </w:p>
        </w:tc>
        <w:tc>
          <w:tcPr>
            <w:tcW w:w="0" w:type="auto"/>
            <w:tcBorders>
              <w:top w:val="nil"/>
              <w:left w:val="nil"/>
              <w:bottom w:val="nil"/>
              <w:right w:val="nil"/>
            </w:tcBorders>
            <w:shd w:val="clear" w:color="auto" w:fill="FFFFFF"/>
            <w:noWrap/>
            <w:vAlign w:val="center"/>
          </w:tcPr>
          <w:p w14:paraId="27EDE6A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0.04 (0.03, 0.05)</w:t>
            </w:r>
          </w:p>
        </w:tc>
        <w:tc>
          <w:tcPr>
            <w:tcW w:w="0" w:type="auto"/>
            <w:tcBorders>
              <w:top w:val="nil"/>
              <w:left w:val="nil"/>
              <w:bottom w:val="nil"/>
              <w:right w:val="nil"/>
            </w:tcBorders>
            <w:shd w:val="clear" w:color="auto" w:fill="FFFFFF"/>
            <w:noWrap/>
            <w:vAlign w:val="center"/>
          </w:tcPr>
          <w:p w14:paraId="6CB55047">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1.73 (1.19, 2.44)</w:t>
            </w:r>
          </w:p>
        </w:tc>
        <w:tc>
          <w:tcPr>
            <w:tcW w:w="0" w:type="auto"/>
            <w:tcBorders>
              <w:top w:val="nil"/>
              <w:left w:val="nil"/>
              <w:bottom w:val="nil"/>
              <w:right w:val="nil"/>
            </w:tcBorders>
            <w:shd w:val="clear" w:color="auto" w:fill="FFFFFF"/>
            <w:noWrap/>
            <w:vAlign w:val="center"/>
          </w:tcPr>
          <w:p w14:paraId="02D5B0E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2.68 (1.81, 3.76)</w:t>
            </w:r>
          </w:p>
        </w:tc>
        <w:tc>
          <w:tcPr>
            <w:tcW w:w="0" w:type="auto"/>
            <w:tcBorders>
              <w:top w:val="nil"/>
              <w:left w:val="nil"/>
              <w:bottom w:val="nil"/>
              <w:right w:val="nil"/>
            </w:tcBorders>
            <w:shd w:val="clear" w:color="auto" w:fill="FFFFFF"/>
            <w:noWrap/>
            <w:vAlign w:val="center"/>
          </w:tcPr>
          <w:p w14:paraId="5AF134C2">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126.34 (86.96, 177.59)</w:t>
            </w:r>
          </w:p>
        </w:tc>
        <w:tc>
          <w:tcPr>
            <w:tcW w:w="0" w:type="auto"/>
            <w:tcBorders>
              <w:top w:val="nil"/>
              <w:left w:val="nil"/>
              <w:bottom w:val="nil"/>
              <w:right w:val="nil"/>
            </w:tcBorders>
            <w:shd w:val="clear" w:color="auto" w:fill="FFFFFF"/>
            <w:noWrap/>
            <w:vAlign w:val="center"/>
          </w:tcPr>
          <w:p w14:paraId="7281ED5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128.79 (87.30, 180.99)</w:t>
            </w:r>
          </w:p>
        </w:tc>
        <w:tc>
          <w:tcPr>
            <w:tcW w:w="0" w:type="auto"/>
            <w:tcBorders>
              <w:top w:val="nil"/>
              <w:left w:val="nil"/>
              <w:bottom w:val="nil"/>
              <w:right w:val="nil"/>
            </w:tcBorders>
            <w:shd w:val="clear" w:color="auto" w:fill="FFFFFF"/>
            <w:noWrap/>
            <w:vAlign w:val="center"/>
          </w:tcPr>
          <w:p w14:paraId="7D7A0A0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0.06 (0.06, 0.07)</w:t>
            </w:r>
          </w:p>
        </w:tc>
      </w:tr>
      <w:tr w14:paraId="3AD146B5">
        <w:trPr>
          <w:trHeight w:val="336" w:hRule="atLeast"/>
        </w:trPr>
        <w:tc>
          <w:tcPr>
            <w:tcW w:w="0" w:type="auto"/>
            <w:vMerge w:val="restart"/>
            <w:tcBorders>
              <w:top w:val="nil"/>
              <w:left w:val="nil"/>
              <w:bottom w:val="nil"/>
              <w:right w:val="nil"/>
            </w:tcBorders>
            <w:shd w:val="clear" w:color="auto" w:fill="FFFFFF"/>
            <w:noWrap/>
            <w:vAlign w:val="center"/>
          </w:tcPr>
          <w:p w14:paraId="3706D02A">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European Region</w:t>
            </w:r>
          </w:p>
        </w:tc>
        <w:tc>
          <w:tcPr>
            <w:tcW w:w="0" w:type="auto"/>
            <w:tcBorders>
              <w:top w:val="nil"/>
              <w:left w:val="nil"/>
              <w:bottom w:val="nil"/>
              <w:right w:val="nil"/>
            </w:tcBorders>
            <w:shd w:val="clear" w:color="auto" w:fill="FFFFFF"/>
            <w:noWrap/>
            <w:vAlign w:val="center"/>
          </w:tcPr>
          <w:p w14:paraId="1B6C99C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Mental disorders</w:t>
            </w:r>
          </w:p>
        </w:tc>
        <w:tc>
          <w:tcPr>
            <w:tcW w:w="0" w:type="auto"/>
            <w:tcBorders>
              <w:top w:val="nil"/>
              <w:left w:val="nil"/>
              <w:bottom w:val="nil"/>
              <w:right w:val="nil"/>
            </w:tcBorders>
            <w:shd w:val="clear" w:color="auto" w:fill="FFFFFF"/>
            <w:noWrap/>
            <w:vAlign w:val="center"/>
          </w:tcPr>
          <w:p w14:paraId="305320F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9.39 (7.91, 11.02)</w:t>
            </w:r>
          </w:p>
        </w:tc>
        <w:tc>
          <w:tcPr>
            <w:tcW w:w="0" w:type="auto"/>
            <w:tcBorders>
              <w:top w:val="nil"/>
              <w:left w:val="nil"/>
              <w:bottom w:val="nil"/>
              <w:right w:val="nil"/>
            </w:tcBorders>
            <w:shd w:val="clear" w:color="auto" w:fill="FFFFFF"/>
            <w:noWrap/>
            <w:vAlign w:val="center"/>
          </w:tcPr>
          <w:p w14:paraId="0024386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9.63 (8.27, 11.15)</w:t>
            </w:r>
          </w:p>
        </w:tc>
        <w:tc>
          <w:tcPr>
            <w:tcW w:w="0" w:type="auto"/>
            <w:tcBorders>
              <w:top w:val="nil"/>
              <w:left w:val="nil"/>
              <w:bottom w:val="nil"/>
              <w:right w:val="nil"/>
            </w:tcBorders>
            <w:shd w:val="clear" w:color="auto" w:fill="FFFFFF"/>
            <w:noWrap/>
            <w:vAlign w:val="center"/>
          </w:tcPr>
          <w:p w14:paraId="0894F315">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2529.63 (2127.00, 2970.87)</w:t>
            </w:r>
          </w:p>
        </w:tc>
        <w:tc>
          <w:tcPr>
            <w:tcW w:w="0" w:type="auto"/>
            <w:tcBorders>
              <w:top w:val="nil"/>
              <w:left w:val="nil"/>
              <w:bottom w:val="nil"/>
              <w:right w:val="nil"/>
            </w:tcBorders>
            <w:shd w:val="clear" w:color="auto" w:fill="FFFFFF"/>
            <w:noWrap/>
            <w:vAlign w:val="center"/>
          </w:tcPr>
          <w:p w14:paraId="553E256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2476.04 (2109.03, 2870.39)</w:t>
            </w:r>
          </w:p>
        </w:tc>
        <w:tc>
          <w:tcPr>
            <w:tcW w:w="0" w:type="auto"/>
            <w:tcBorders>
              <w:top w:val="nil"/>
              <w:left w:val="nil"/>
              <w:bottom w:val="nil"/>
              <w:right w:val="nil"/>
            </w:tcBorders>
            <w:shd w:val="clear" w:color="auto" w:fill="FFFFFF"/>
            <w:noWrap/>
            <w:vAlign w:val="center"/>
          </w:tcPr>
          <w:p w14:paraId="4C2EA2A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-0.15 (-0.22, -0.08)</w:t>
            </w:r>
          </w:p>
        </w:tc>
        <w:tc>
          <w:tcPr>
            <w:tcW w:w="0" w:type="auto"/>
            <w:tcBorders>
              <w:top w:val="nil"/>
              <w:left w:val="nil"/>
              <w:bottom w:val="nil"/>
              <w:right w:val="nil"/>
            </w:tcBorders>
            <w:shd w:val="clear" w:color="auto" w:fill="FFFFFF"/>
            <w:noWrap/>
            <w:vAlign w:val="center"/>
          </w:tcPr>
          <w:p w14:paraId="34239A7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1.53 (1.22, 1.85)</w:t>
            </w:r>
          </w:p>
        </w:tc>
        <w:tc>
          <w:tcPr>
            <w:tcW w:w="0" w:type="auto"/>
            <w:tcBorders>
              <w:top w:val="nil"/>
              <w:left w:val="nil"/>
              <w:bottom w:val="nil"/>
              <w:right w:val="nil"/>
            </w:tcBorders>
            <w:shd w:val="clear" w:color="auto" w:fill="FFFFFF"/>
            <w:noWrap/>
            <w:vAlign w:val="center"/>
          </w:tcPr>
          <w:p w14:paraId="54E9BC5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1.68 (1.34, 2.04)</w:t>
            </w:r>
          </w:p>
        </w:tc>
        <w:tc>
          <w:tcPr>
            <w:tcW w:w="0" w:type="auto"/>
            <w:tcBorders>
              <w:top w:val="nil"/>
              <w:left w:val="nil"/>
              <w:bottom w:val="nil"/>
              <w:right w:val="nil"/>
            </w:tcBorders>
            <w:shd w:val="clear" w:color="auto" w:fill="FFFFFF"/>
            <w:noWrap/>
            <w:vAlign w:val="center"/>
          </w:tcPr>
          <w:p w14:paraId="25EB522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407.38 (324.16, 493.58)</w:t>
            </w:r>
          </w:p>
        </w:tc>
        <w:tc>
          <w:tcPr>
            <w:tcW w:w="0" w:type="auto"/>
            <w:tcBorders>
              <w:top w:val="nil"/>
              <w:left w:val="nil"/>
              <w:bottom w:val="nil"/>
              <w:right w:val="nil"/>
            </w:tcBorders>
            <w:shd w:val="clear" w:color="auto" w:fill="FFFFFF"/>
            <w:noWrap/>
            <w:vAlign w:val="center"/>
          </w:tcPr>
          <w:p w14:paraId="4FBADE35">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412.22 (328.56, 499.16)</w:t>
            </w:r>
          </w:p>
        </w:tc>
        <w:tc>
          <w:tcPr>
            <w:tcW w:w="0" w:type="auto"/>
            <w:tcBorders>
              <w:top w:val="nil"/>
              <w:left w:val="nil"/>
              <w:bottom w:val="nil"/>
              <w:right w:val="nil"/>
            </w:tcBorders>
            <w:shd w:val="clear" w:color="auto" w:fill="FFFFFF"/>
            <w:noWrap/>
            <w:vAlign w:val="center"/>
          </w:tcPr>
          <w:p w14:paraId="4EEB7AC2">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0.05 (0.03, 0.06)</w:t>
            </w:r>
          </w:p>
        </w:tc>
      </w:tr>
      <w:tr w14:paraId="338EA2BF">
        <w:trPr>
          <w:trHeight w:val="336" w:hRule="atLeast"/>
        </w:trPr>
        <w:tc>
          <w:tcPr>
            <w:tcW w:w="0" w:type="auto"/>
            <w:vMerge w:val="continue"/>
            <w:tcBorders>
              <w:top w:val="nil"/>
              <w:left w:val="nil"/>
              <w:bottom w:val="nil"/>
              <w:right w:val="nil"/>
            </w:tcBorders>
            <w:shd w:val="clear" w:color="auto" w:fill="FFFFFF"/>
            <w:noWrap/>
            <w:vAlign w:val="center"/>
          </w:tcPr>
          <w:p w14:paraId="09926C9E">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515D9B3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Developmental intellectual disability</w:t>
            </w:r>
          </w:p>
        </w:tc>
        <w:tc>
          <w:tcPr>
            <w:tcW w:w="0" w:type="auto"/>
            <w:tcBorders>
              <w:top w:val="nil"/>
              <w:left w:val="nil"/>
              <w:bottom w:val="nil"/>
              <w:right w:val="nil"/>
            </w:tcBorders>
            <w:shd w:val="clear" w:color="auto" w:fill="FFFFFF"/>
            <w:noWrap/>
            <w:vAlign w:val="center"/>
          </w:tcPr>
          <w:p w14:paraId="0F18D1E5">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5.41 (3.93, 6.82)</w:t>
            </w:r>
          </w:p>
        </w:tc>
        <w:tc>
          <w:tcPr>
            <w:tcW w:w="0" w:type="auto"/>
            <w:tcBorders>
              <w:top w:val="nil"/>
              <w:left w:val="nil"/>
              <w:bottom w:val="nil"/>
              <w:right w:val="nil"/>
            </w:tcBorders>
            <w:shd w:val="clear" w:color="auto" w:fill="FFFFFF"/>
            <w:noWrap/>
            <w:vAlign w:val="center"/>
          </w:tcPr>
          <w:p w14:paraId="4638FF27">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5.23 (3.87, 6.61)</w:t>
            </w:r>
          </w:p>
        </w:tc>
        <w:tc>
          <w:tcPr>
            <w:tcW w:w="0" w:type="auto"/>
            <w:tcBorders>
              <w:top w:val="nil"/>
              <w:left w:val="nil"/>
              <w:bottom w:val="nil"/>
              <w:right w:val="nil"/>
            </w:tcBorders>
            <w:shd w:val="clear" w:color="auto" w:fill="FFFFFF"/>
            <w:noWrap/>
            <w:vAlign w:val="center"/>
          </w:tcPr>
          <w:p w14:paraId="13A16784">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1465.56 (1064.92, 1848.32)</w:t>
            </w:r>
          </w:p>
        </w:tc>
        <w:tc>
          <w:tcPr>
            <w:tcW w:w="0" w:type="auto"/>
            <w:tcBorders>
              <w:top w:val="nil"/>
              <w:left w:val="nil"/>
              <w:bottom w:val="nil"/>
              <w:right w:val="nil"/>
            </w:tcBorders>
            <w:shd w:val="clear" w:color="auto" w:fill="FFFFFF"/>
            <w:noWrap/>
            <w:vAlign w:val="center"/>
          </w:tcPr>
          <w:p w14:paraId="320CFF75">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1391.23 (1026.15, 1759.94)</w:t>
            </w:r>
          </w:p>
        </w:tc>
        <w:tc>
          <w:tcPr>
            <w:tcW w:w="0" w:type="auto"/>
            <w:tcBorders>
              <w:top w:val="nil"/>
              <w:left w:val="nil"/>
              <w:bottom w:val="nil"/>
              <w:right w:val="nil"/>
            </w:tcBorders>
            <w:shd w:val="clear" w:color="auto" w:fill="FFFFFF"/>
            <w:noWrap/>
            <w:vAlign w:val="center"/>
          </w:tcPr>
          <w:p w14:paraId="37B0F07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-0.31 (-0.45, -0.18)</w:t>
            </w:r>
          </w:p>
        </w:tc>
        <w:tc>
          <w:tcPr>
            <w:tcW w:w="0" w:type="auto"/>
            <w:tcBorders>
              <w:top w:val="nil"/>
              <w:left w:val="nil"/>
              <w:bottom w:val="nil"/>
              <w:right w:val="nil"/>
            </w:tcBorders>
            <w:shd w:val="clear" w:color="auto" w:fill="FFFFFF"/>
            <w:noWrap/>
            <w:vAlign w:val="center"/>
          </w:tcPr>
          <w:p w14:paraId="1A04D6B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0.41 (0.27, 0.60)</w:t>
            </w:r>
          </w:p>
        </w:tc>
        <w:tc>
          <w:tcPr>
            <w:tcW w:w="0" w:type="auto"/>
            <w:tcBorders>
              <w:top w:val="nil"/>
              <w:left w:val="nil"/>
              <w:bottom w:val="nil"/>
              <w:right w:val="nil"/>
            </w:tcBorders>
            <w:shd w:val="clear" w:color="auto" w:fill="FFFFFF"/>
            <w:noWrap/>
            <w:vAlign w:val="center"/>
          </w:tcPr>
          <w:p w14:paraId="46AE4F7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0.40 (0.27, 0.57)</w:t>
            </w:r>
          </w:p>
        </w:tc>
        <w:tc>
          <w:tcPr>
            <w:tcW w:w="0" w:type="auto"/>
            <w:tcBorders>
              <w:top w:val="nil"/>
              <w:left w:val="nil"/>
              <w:bottom w:val="nil"/>
              <w:right w:val="nil"/>
            </w:tcBorders>
            <w:shd w:val="clear" w:color="auto" w:fill="FFFFFF"/>
            <w:noWrap/>
            <w:vAlign w:val="center"/>
          </w:tcPr>
          <w:p w14:paraId="282BADC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111.26 (72.13, 161.44)</w:t>
            </w:r>
          </w:p>
        </w:tc>
        <w:tc>
          <w:tcPr>
            <w:tcW w:w="0" w:type="auto"/>
            <w:tcBorders>
              <w:top w:val="nil"/>
              <w:left w:val="nil"/>
              <w:bottom w:val="nil"/>
              <w:right w:val="nil"/>
            </w:tcBorders>
            <w:shd w:val="clear" w:color="auto" w:fill="FFFFFF"/>
            <w:noWrap/>
            <w:vAlign w:val="center"/>
          </w:tcPr>
          <w:p w14:paraId="2EB55B9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107.03 (71.30, 152.15)</w:t>
            </w:r>
          </w:p>
        </w:tc>
        <w:tc>
          <w:tcPr>
            <w:tcW w:w="0" w:type="auto"/>
            <w:tcBorders>
              <w:top w:val="nil"/>
              <w:left w:val="nil"/>
              <w:bottom w:val="nil"/>
              <w:right w:val="nil"/>
            </w:tcBorders>
            <w:shd w:val="clear" w:color="auto" w:fill="FFFFFF"/>
            <w:noWrap/>
            <w:vAlign w:val="center"/>
          </w:tcPr>
          <w:p w14:paraId="7E879C9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-0.20 (-0.30, -0.10)</w:t>
            </w:r>
          </w:p>
        </w:tc>
      </w:tr>
      <w:tr w14:paraId="7550B7C3">
        <w:trPr>
          <w:trHeight w:val="336" w:hRule="atLeast"/>
        </w:trPr>
        <w:tc>
          <w:tcPr>
            <w:tcW w:w="0" w:type="auto"/>
            <w:vMerge w:val="continue"/>
            <w:tcBorders>
              <w:top w:val="nil"/>
              <w:left w:val="nil"/>
              <w:bottom w:val="nil"/>
              <w:right w:val="nil"/>
            </w:tcBorders>
            <w:shd w:val="clear" w:color="auto" w:fill="FFFFFF"/>
            <w:noWrap/>
            <w:vAlign w:val="center"/>
          </w:tcPr>
          <w:p w14:paraId="0206503C">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4740AEE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Schizophrenia</w:t>
            </w:r>
          </w:p>
        </w:tc>
        <w:tc>
          <w:tcPr>
            <w:tcW w:w="0" w:type="auto"/>
            <w:tcBorders>
              <w:top w:val="nil"/>
              <w:left w:val="nil"/>
              <w:bottom w:val="nil"/>
              <w:right w:val="nil"/>
            </w:tcBorders>
            <w:shd w:val="clear" w:color="auto" w:fill="FFFFFF"/>
            <w:noWrap/>
            <w:vAlign w:val="center"/>
          </w:tcPr>
          <w:p w14:paraId="17832BC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0.79 (0.64, 0.96)</w:t>
            </w:r>
          </w:p>
        </w:tc>
        <w:tc>
          <w:tcPr>
            <w:tcW w:w="0" w:type="auto"/>
            <w:tcBorders>
              <w:top w:val="nil"/>
              <w:left w:val="nil"/>
              <w:bottom w:val="nil"/>
              <w:right w:val="nil"/>
            </w:tcBorders>
            <w:shd w:val="clear" w:color="auto" w:fill="FFFFFF"/>
            <w:noWrap/>
            <w:vAlign w:val="center"/>
          </w:tcPr>
          <w:p w14:paraId="1E33BAA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1.00 (0.82, 1.20)</w:t>
            </w:r>
          </w:p>
        </w:tc>
        <w:tc>
          <w:tcPr>
            <w:tcW w:w="0" w:type="auto"/>
            <w:tcBorders>
              <w:top w:val="nil"/>
              <w:left w:val="nil"/>
              <w:bottom w:val="nil"/>
              <w:right w:val="nil"/>
            </w:tcBorders>
            <w:shd w:val="clear" w:color="auto" w:fill="FFFFFF"/>
            <w:noWrap/>
            <w:vAlign w:val="center"/>
          </w:tcPr>
          <w:p w14:paraId="418B689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206.46 (167.55, 250.21)</w:t>
            </w:r>
          </w:p>
        </w:tc>
        <w:tc>
          <w:tcPr>
            <w:tcW w:w="0" w:type="auto"/>
            <w:tcBorders>
              <w:top w:val="nil"/>
              <w:left w:val="nil"/>
              <w:bottom w:val="nil"/>
              <w:right w:val="nil"/>
            </w:tcBorders>
            <w:shd w:val="clear" w:color="auto" w:fill="FFFFFF"/>
            <w:noWrap/>
            <w:vAlign w:val="center"/>
          </w:tcPr>
          <w:p w14:paraId="1C3821E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217.35 (176.40, 261.99)</w:t>
            </w:r>
          </w:p>
        </w:tc>
        <w:tc>
          <w:tcPr>
            <w:tcW w:w="0" w:type="auto"/>
            <w:tcBorders>
              <w:top w:val="nil"/>
              <w:left w:val="nil"/>
              <w:bottom w:val="nil"/>
              <w:right w:val="nil"/>
            </w:tcBorders>
            <w:shd w:val="clear" w:color="auto" w:fill="FFFFFF"/>
            <w:noWrap/>
            <w:vAlign w:val="center"/>
          </w:tcPr>
          <w:p w14:paraId="307870F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0.21 (0.18, 0.25)</w:t>
            </w:r>
          </w:p>
        </w:tc>
        <w:tc>
          <w:tcPr>
            <w:tcW w:w="0" w:type="auto"/>
            <w:tcBorders>
              <w:top w:val="nil"/>
              <w:left w:val="nil"/>
              <w:bottom w:val="nil"/>
              <w:right w:val="nil"/>
            </w:tcBorders>
            <w:shd w:val="clear" w:color="auto" w:fill="FFFFFF"/>
            <w:noWrap/>
            <w:vAlign w:val="center"/>
          </w:tcPr>
          <w:p w14:paraId="1793288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0.50 (0.37, 0.66)</w:t>
            </w:r>
          </w:p>
        </w:tc>
        <w:tc>
          <w:tcPr>
            <w:tcW w:w="0" w:type="auto"/>
            <w:tcBorders>
              <w:top w:val="nil"/>
              <w:left w:val="nil"/>
              <w:bottom w:val="nil"/>
              <w:right w:val="nil"/>
            </w:tcBorders>
            <w:shd w:val="clear" w:color="auto" w:fill="FFFFFF"/>
            <w:noWrap/>
            <w:vAlign w:val="center"/>
          </w:tcPr>
          <w:p w14:paraId="03866045">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0.64 (0.47, 0.83)</w:t>
            </w:r>
          </w:p>
        </w:tc>
        <w:tc>
          <w:tcPr>
            <w:tcW w:w="0" w:type="auto"/>
            <w:tcBorders>
              <w:top w:val="nil"/>
              <w:left w:val="nil"/>
              <w:bottom w:val="nil"/>
              <w:right w:val="nil"/>
            </w:tcBorders>
            <w:shd w:val="clear" w:color="auto" w:fill="FFFFFF"/>
            <w:noWrap/>
            <w:vAlign w:val="center"/>
          </w:tcPr>
          <w:p w14:paraId="5527E46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131.72 (96.80, 172.07)</w:t>
            </w:r>
          </w:p>
        </w:tc>
        <w:tc>
          <w:tcPr>
            <w:tcW w:w="0" w:type="auto"/>
            <w:tcBorders>
              <w:top w:val="nil"/>
              <w:left w:val="nil"/>
              <w:bottom w:val="nil"/>
              <w:right w:val="nil"/>
            </w:tcBorders>
            <w:shd w:val="clear" w:color="auto" w:fill="FFFFFF"/>
            <w:noWrap/>
            <w:vAlign w:val="center"/>
          </w:tcPr>
          <w:p w14:paraId="7671F2C5">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138.72 (101.90, 180.80)</w:t>
            </w:r>
          </w:p>
        </w:tc>
        <w:tc>
          <w:tcPr>
            <w:tcW w:w="0" w:type="auto"/>
            <w:tcBorders>
              <w:top w:val="nil"/>
              <w:left w:val="nil"/>
              <w:bottom w:val="nil"/>
              <w:right w:val="nil"/>
            </w:tcBorders>
            <w:shd w:val="clear" w:color="auto" w:fill="FFFFFF"/>
            <w:noWrap/>
            <w:vAlign w:val="center"/>
          </w:tcPr>
          <w:p w14:paraId="0C7B67F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0.23 (0.20, 0.27)</w:t>
            </w:r>
          </w:p>
        </w:tc>
      </w:tr>
      <w:tr w14:paraId="209B9A74">
        <w:trPr>
          <w:trHeight w:val="336" w:hRule="atLeast"/>
        </w:trPr>
        <w:tc>
          <w:tcPr>
            <w:tcW w:w="0" w:type="auto"/>
            <w:vMerge w:val="continue"/>
            <w:tcBorders>
              <w:top w:val="nil"/>
              <w:left w:val="nil"/>
              <w:bottom w:val="nil"/>
              <w:right w:val="nil"/>
            </w:tcBorders>
            <w:shd w:val="clear" w:color="auto" w:fill="FFFFFF"/>
            <w:noWrap/>
            <w:vAlign w:val="center"/>
          </w:tcPr>
          <w:p w14:paraId="34A69ACB">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768D276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Autism spectrum disorders</w:t>
            </w:r>
          </w:p>
        </w:tc>
        <w:tc>
          <w:tcPr>
            <w:tcW w:w="0" w:type="auto"/>
            <w:tcBorders>
              <w:top w:val="nil"/>
              <w:left w:val="nil"/>
              <w:bottom w:val="nil"/>
              <w:right w:val="nil"/>
            </w:tcBorders>
            <w:shd w:val="clear" w:color="auto" w:fill="FFFFFF"/>
            <w:noWrap/>
            <w:vAlign w:val="center"/>
          </w:tcPr>
          <w:p w14:paraId="202D631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3.26 (2.75, 3.84)</w:t>
            </w:r>
          </w:p>
        </w:tc>
        <w:tc>
          <w:tcPr>
            <w:tcW w:w="0" w:type="auto"/>
            <w:tcBorders>
              <w:top w:val="nil"/>
              <w:left w:val="nil"/>
              <w:bottom w:val="nil"/>
              <w:right w:val="nil"/>
            </w:tcBorders>
            <w:shd w:val="clear" w:color="auto" w:fill="FFFFFF"/>
            <w:noWrap/>
            <w:vAlign w:val="center"/>
          </w:tcPr>
          <w:p w14:paraId="083F976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3.47 (2.90, 4.10)</w:t>
            </w:r>
          </w:p>
        </w:tc>
        <w:tc>
          <w:tcPr>
            <w:tcW w:w="0" w:type="auto"/>
            <w:tcBorders>
              <w:top w:val="nil"/>
              <w:left w:val="nil"/>
              <w:bottom w:val="nil"/>
              <w:right w:val="nil"/>
            </w:tcBorders>
            <w:shd w:val="clear" w:color="auto" w:fill="FFFFFF"/>
            <w:noWrap/>
            <w:vAlign w:val="center"/>
          </w:tcPr>
          <w:p w14:paraId="0AA0957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875.73 (738.83, 1032.09)</w:t>
            </w:r>
          </w:p>
        </w:tc>
        <w:tc>
          <w:tcPr>
            <w:tcW w:w="0" w:type="auto"/>
            <w:tcBorders>
              <w:top w:val="nil"/>
              <w:left w:val="nil"/>
              <w:bottom w:val="nil"/>
              <w:right w:val="nil"/>
            </w:tcBorders>
            <w:shd w:val="clear" w:color="auto" w:fill="FFFFFF"/>
            <w:noWrap/>
            <w:vAlign w:val="center"/>
          </w:tcPr>
          <w:p w14:paraId="4D93263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885.15 (740.95, 1044.92)</w:t>
            </w:r>
          </w:p>
        </w:tc>
        <w:tc>
          <w:tcPr>
            <w:tcW w:w="0" w:type="auto"/>
            <w:tcBorders>
              <w:top w:val="nil"/>
              <w:left w:val="nil"/>
              <w:bottom w:val="nil"/>
              <w:right w:val="nil"/>
            </w:tcBorders>
            <w:shd w:val="clear" w:color="auto" w:fill="FFFFFF"/>
            <w:noWrap/>
            <w:vAlign w:val="center"/>
          </w:tcPr>
          <w:p w14:paraId="212EBF7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0.05 (0.04, 0.06)</w:t>
            </w:r>
          </w:p>
        </w:tc>
        <w:tc>
          <w:tcPr>
            <w:tcW w:w="0" w:type="auto"/>
            <w:tcBorders>
              <w:top w:val="nil"/>
              <w:left w:val="nil"/>
              <w:bottom w:val="nil"/>
              <w:right w:val="nil"/>
            </w:tcBorders>
            <w:shd w:val="clear" w:color="auto" w:fill="FFFFFF"/>
            <w:noWrap/>
            <w:vAlign w:val="center"/>
          </w:tcPr>
          <w:p w14:paraId="1974E34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0.61 (0.42, 0.86)</w:t>
            </w:r>
          </w:p>
        </w:tc>
        <w:tc>
          <w:tcPr>
            <w:tcW w:w="0" w:type="auto"/>
            <w:tcBorders>
              <w:top w:val="nil"/>
              <w:left w:val="nil"/>
              <w:bottom w:val="nil"/>
              <w:right w:val="nil"/>
            </w:tcBorders>
            <w:shd w:val="clear" w:color="auto" w:fill="FFFFFF"/>
            <w:noWrap/>
            <w:vAlign w:val="center"/>
          </w:tcPr>
          <w:p w14:paraId="343FA522">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0.65 (0.44, 0.91)</w:t>
            </w:r>
          </w:p>
        </w:tc>
        <w:tc>
          <w:tcPr>
            <w:tcW w:w="0" w:type="auto"/>
            <w:tcBorders>
              <w:top w:val="nil"/>
              <w:left w:val="nil"/>
              <w:bottom w:val="nil"/>
              <w:right w:val="nil"/>
            </w:tcBorders>
            <w:shd w:val="clear" w:color="auto" w:fill="FFFFFF"/>
            <w:noWrap/>
            <w:vAlign w:val="center"/>
          </w:tcPr>
          <w:p w14:paraId="08AEE5BE">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164.40 (112.04, 231.25)</w:t>
            </w:r>
          </w:p>
        </w:tc>
        <w:tc>
          <w:tcPr>
            <w:tcW w:w="0" w:type="auto"/>
            <w:tcBorders>
              <w:top w:val="nil"/>
              <w:left w:val="nil"/>
              <w:bottom w:val="nil"/>
              <w:right w:val="nil"/>
            </w:tcBorders>
            <w:shd w:val="clear" w:color="auto" w:fill="FFFFFF"/>
            <w:noWrap/>
            <w:vAlign w:val="center"/>
          </w:tcPr>
          <w:p w14:paraId="38B05C14">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166.47 (113.24, 234.20)</w:t>
            </w:r>
          </w:p>
        </w:tc>
        <w:tc>
          <w:tcPr>
            <w:tcW w:w="0" w:type="auto"/>
            <w:tcBorders>
              <w:top w:val="nil"/>
              <w:left w:val="nil"/>
              <w:bottom w:val="nil"/>
              <w:right w:val="nil"/>
            </w:tcBorders>
            <w:shd w:val="clear" w:color="auto" w:fill="FFFFFF"/>
            <w:noWrap/>
            <w:vAlign w:val="center"/>
          </w:tcPr>
          <w:p w14:paraId="60C92BA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0.06 (0.05, 0.07)</w:t>
            </w:r>
          </w:p>
        </w:tc>
      </w:tr>
      <w:tr w14:paraId="5A14F463">
        <w:trPr>
          <w:trHeight w:val="336" w:hRule="atLeast"/>
        </w:trPr>
        <w:tc>
          <w:tcPr>
            <w:tcW w:w="0" w:type="auto"/>
            <w:vMerge w:val="restart"/>
            <w:tcBorders>
              <w:top w:val="nil"/>
              <w:left w:val="nil"/>
              <w:bottom w:val="nil"/>
              <w:right w:val="nil"/>
            </w:tcBorders>
            <w:shd w:val="clear" w:color="auto" w:fill="FFFFFF"/>
            <w:noWrap/>
            <w:vAlign w:val="center"/>
          </w:tcPr>
          <w:p w14:paraId="0C811B40">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Eastern Mediterranean Region</w:t>
            </w:r>
          </w:p>
        </w:tc>
        <w:tc>
          <w:tcPr>
            <w:tcW w:w="0" w:type="auto"/>
            <w:tcBorders>
              <w:top w:val="nil"/>
              <w:left w:val="nil"/>
              <w:bottom w:val="nil"/>
              <w:right w:val="nil"/>
            </w:tcBorders>
            <w:shd w:val="clear" w:color="auto" w:fill="FFFFFF"/>
            <w:noWrap/>
            <w:vAlign w:val="center"/>
          </w:tcPr>
          <w:p w14:paraId="4FFF283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Mental disorders</w:t>
            </w:r>
          </w:p>
        </w:tc>
        <w:tc>
          <w:tcPr>
            <w:tcW w:w="0" w:type="auto"/>
            <w:tcBorders>
              <w:top w:val="nil"/>
              <w:left w:val="nil"/>
              <w:bottom w:val="nil"/>
              <w:right w:val="nil"/>
            </w:tcBorders>
            <w:shd w:val="clear" w:color="auto" w:fill="FFFFFF"/>
            <w:noWrap/>
            <w:vAlign w:val="center"/>
          </w:tcPr>
          <w:p w14:paraId="0AB58D4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12.85 (9.65, 16.17)</w:t>
            </w:r>
          </w:p>
        </w:tc>
        <w:tc>
          <w:tcPr>
            <w:tcW w:w="0" w:type="auto"/>
            <w:tcBorders>
              <w:top w:val="nil"/>
              <w:left w:val="nil"/>
              <w:bottom w:val="nil"/>
              <w:right w:val="nil"/>
            </w:tcBorders>
            <w:shd w:val="clear" w:color="auto" w:fill="FFFFFF"/>
            <w:noWrap/>
            <w:vAlign w:val="center"/>
          </w:tcPr>
          <w:p w14:paraId="71F9E6CF">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24.58 (18.73, 30.54)</w:t>
            </w:r>
          </w:p>
        </w:tc>
        <w:tc>
          <w:tcPr>
            <w:tcW w:w="0" w:type="auto"/>
            <w:tcBorders>
              <w:top w:val="nil"/>
              <w:left w:val="nil"/>
              <w:bottom w:val="nil"/>
              <w:right w:val="nil"/>
            </w:tcBorders>
            <w:shd w:val="clear" w:color="auto" w:fill="FFFFFF"/>
            <w:noWrap/>
            <w:vAlign w:val="center"/>
          </w:tcPr>
          <w:p w14:paraId="1B18835F">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3444.57 (2619.28, 4293.86)</w:t>
            </w:r>
          </w:p>
        </w:tc>
        <w:tc>
          <w:tcPr>
            <w:tcW w:w="0" w:type="auto"/>
            <w:tcBorders>
              <w:top w:val="nil"/>
              <w:left w:val="nil"/>
              <w:bottom w:val="nil"/>
              <w:right w:val="nil"/>
            </w:tcBorders>
            <w:shd w:val="clear" w:color="auto" w:fill="FFFFFF"/>
            <w:noWrap/>
            <w:vAlign w:val="center"/>
          </w:tcPr>
          <w:p w14:paraId="167483D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3418.35 (2620.45, 4231.77)</w:t>
            </w:r>
          </w:p>
        </w:tc>
        <w:tc>
          <w:tcPr>
            <w:tcW w:w="0" w:type="auto"/>
            <w:tcBorders>
              <w:top w:val="nil"/>
              <w:left w:val="nil"/>
              <w:bottom w:val="nil"/>
              <w:right w:val="nil"/>
            </w:tcBorders>
            <w:shd w:val="clear" w:color="auto" w:fill="FFFFFF"/>
            <w:noWrap/>
            <w:vAlign w:val="center"/>
          </w:tcPr>
          <w:p w14:paraId="0EF2AF04">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-0.08 (-0.10, -0.06)</w:t>
            </w:r>
          </w:p>
        </w:tc>
        <w:tc>
          <w:tcPr>
            <w:tcW w:w="0" w:type="auto"/>
            <w:tcBorders>
              <w:top w:val="nil"/>
              <w:left w:val="nil"/>
              <w:bottom w:val="nil"/>
              <w:right w:val="nil"/>
            </w:tcBorders>
            <w:shd w:val="clear" w:color="auto" w:fill="FFFFFF"/>
            <w:noWrap/>
            <w:vAlign w:val="center"/>
          </w:tcPr>
          <w:p w14:paraId="0F30F31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1.58 (1.21, 1.97)</w:t>
            </w:r>
          </w:p>
        </w:tc>
        <w:tc>
          <w:tcPr>
            <w:tcW w:w="0" w:type="auto"/>
            <w:tcBorders>
              <w:top w:val="nil"/>
              <w:left w:val="nil"/>
              <w:bottom w:val="nil"/>
              <w:right w:val="nil"/>
            </w:tcBorders>
            <w:shd w:val="clear" w:color="auto" w:fill="FFFFFF"/>
            <w:noWrap/>
            <w:vAlign w:val="center"/>
          </w:tcPr>
          <w:p w14:paraId="63EB5E0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3.24 (2.49, 3.99)</w:t>
            </w:r>
          </w:p>
        </w:tc>
        <w:tc>
          <w:tcPr>
            <w:tcW w:w="0" w:type="auto"/>
            <w:tcBorders>
              <w:top w:val="nil"/>
              <w:left w:val="nil"/>
              <w:bottom w:val="nil"/>
              <w:right w:val="nil"/>
            </w:tcBorders>
            <w:shd w:val="clear" w:color="auto" w:fill="FFFFFF"/>
            <w:noWrap/>
            <w:vAlign w:val="center"/>
          </w:tcPr>
          <w:p w14:paraId="5782F8C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463.32 (361.18, 565.78)</w:t>
            </w:r>
          </w:p>
        </w:tc>
        <w:tc>
          <w:tcPr>
            <w:tcW w:w="0" w:type="auto"/>
            <w:tcBorders>
              <w:top w:val="nil"/>
              <w:left w:val="nil"/>
              <w:bottom w:val="nil"/>
              <w:right w:val="nil"/>
            </w:tcBorders>
            <w:shd w:val="clear" w:color="auto" w:fill="FFFFFF"/>
            <w:noWrap/>
            <w:vAlign w:val="center"/>
          </w:tcPr>
          <w:p w14:paraId="568DBF2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464.29 (360.50, 568.92)</w:t>
            </w:r>
          </w:p>
        </w:tc>
        <w:tc>
          <w:tcPr>
            <w:tcW w:w="0" w:type="auto"/>
            <w:tcBorders>
              <w:top w:val="nil"/>
              <w:left w:val="nil"/>
              <w:bottom w:val="nil"/>
              <w:right w:val="nil"/>
            </w:tcBorders>
            <w:shd w:val="clear" w:color="auto" w:fill="FFFFFF"/>
            <w:noWrap/>
            <w:vAlign w:val="center"/>
          </w:tcPr>
          <w:p w14:paraId="16EB407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-0.02 (-0.03, -0.01)</w:t>
            </w:r>
          </w:p>
        </w:tc>
      </w:tr>
      <w:tr w14:paraId="137085F3">
        <w:trPr>
          <w:trHeight w:val="336" w:hRule="atLeast"/>
        </w:trPr>
        <w:tc>
          <w:tcPr>
            <w:tcW w:w="0" w:type="auto"/>
            <w:vMerge w:val="continue"/>
            <w:tcBorders>
              <w:top w:val="nil"/>
              <w:left w:val="nil"/>
              <w:bottom w:val="nil"/>
              <w:right w:val="nil"/>
            </w:tcBorders>
            <w:shd w:val="clear" w:color="auto" w:fill="FFFFFF"/>
            <w:noWrap/>
            <w:vAlign w:val="center"/>
          </w:tcPr>
          <w:p w14:paraId="70F06E07">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52B9EA3E">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Developmental intellectual disability</w:t>
            </w:r>
          </w:p>
        </w:tc>
        <w:tc>
          <w:tcPr>
            <w:tcW w:w="0" w:type="auto"/>
            <w:tcBorders>
              <w:top w:val="nil"/>
              <w:left w:val="nil"/>
              <w:bottom w:val="nil"/>
              <w:right w:val="nil"/>
            </w:tcBorders>
            <w:shd w:val="clear" w:color="auto" w:fill="FFFFFF"/>
            <w:noWrap/>
            <w:vAlign w:val="center"/>
          </w:tcPr>
          <w:p w14:paraId="415C355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9.63 (6.45, 12.91)</w:t>
            </w:r>
          </w:p>
        </w:tc>
        <w:tc>
          <w:tcPr>
            <w:tcW w:w="0" w:type="auto"/>
            <w:tcBorders>
              <w:top w:val="nil"/>
              <w:left w:val="nil"/>
              <w:bottom w:val="nil"/>
              <w:right w:val="nil"/>
            </w:tcBorders>
            <w:shd w:val="clear" w:color="auto" w:fill="FFFFFF"/>
            <w:noWrap/>
            <w:vAlign w:val="center"/>
          </w:tcPr>
          <w:p w14:paraId="0977759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18.02 (12.09, 23.93)</w:t>
            </w:r>
          </w:p>
        </w:tc>
        <w:tc>
          <w:tcPr>
            <w:tcW w:w="0" w:type="auto"/>
            <w:tcBorders>
              <w:top w:val="nil"/>
              <w:left w:val="nil"/>
              <w:bottom w:val="nil"/>
              <w:right w:val="nil"/>
            </w:tcBorders>
            <w:shd w:val="clear" w:color="auto" w:fill="FFFFFF"/>
            <w:noWrap/>
            <w:vAlign w:val="center"/>
          </w:tcPr>
          <w:p w14:paraId="46E70F07">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2502.51 (1675.47, 3349.64)</w:t>
            </w:r>
          </w:p>
        </w:tc>
        <w:tc>
          <w:tcPr>
            <w:tcW w:w="0" w:type="auto"/>
            <w:tcBorders>
              <w:top w:val="nil"/>
              <w:left w:val="nil"/>
              <w:bottom w:val="nil"/>
              <w:right w:val="nil"/>
            </w:tcBorders>
            <w:shd w:val="clear" w:color="auto" w:fill="FFFFFF"/>
            <w:noWrap/>
            <w:vAlign w:val="center"/>
          </w:tcPr>
          <w:p w14:paraId="29384BF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2470.09 (1660.76, 3278.69)</w:t>
            </w:r>
          </w:p>
        </w:tc>
        <w:tc>
          <w:tcPr>
            <w:tcW w:w="0" w:type="auto"/>
            <w:tcBorders>
              <w:top w:val="nil"/>
              <w:left w:val="nil"/>
              <w:bottom w:val="nil"/>
              <w:right w:val="nil"/>
            </w:tcBorders>
            <w:shd w:val="clear" w:color="auto" w:fill="FFFFFF"/>
            <w:noWrap/>
            <w:vAlign w:val="center"/>
          </w:tcPr>
          <w:p w14:paraId="6FC74D6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-0.12 (-0.15, -0.09)</w:t>
            </w:r>
          </w:p>
        </w:tc>
        <w:tc>
          <w:tcPr>
            <w:tcW w:w="0" w:type="auto"/>
            <w:tcBorders>
              <w:top w:val="nil"/>
              <w:left w:val="nil"/>
              <w:bottom w:val="nil"/>
              <w:right w:val="nil"/>
            </w:tcBorders>
            <w:shd w:val="clear" w:color="auto" w:fill="FFFFFF"/>
            <w:noWrap/>
            <w:vAlign w:val="center"/>
          </w:tcPr>
          <w:p w14:paraId="4BF20A64">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0.64 (0.39, 0.96)</w:t>
            </w:r>
          </w:p>
        </w:tc>
        <w:tc>
          <w:tcPr>
            <w:tcW w:w="0" w:type="auto"/>
            <w:tcBorders>
              <w:top w:val="nil"/>
              <w:left w:val="nil"/>
              <w:bottom w:val="nil"/>
              <w:right w:val="nil"/>
            </w:tcBorders>
            <w:shd w:val="clear" w:color="auto" w:fill="FFFFFF"/>
            <w:noWrap/>
            <w:vAlign w:val="center"/>
          </w:tcPr>
          <w:p w14:paraId="1F85765F">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1.22 (0.75, 1.82)</w:t>
            </w:r>
          </w:p>
        </w:tc>
        <w:tc>
          <w:tcPr>
            <w:tcW w:w="0" w:type="auto"/>
            <w:tcBorders>
              <w:top w:val="nil"/>
              <w:left w:val="nil"/>
              <w:bottom w:val="nil"/>
              <w:right w:val="nil"/>
            </w:tcBorders>
            <w:shd w:val="clear" w:color="auto" w:fill="FFFFFF"/>
            <w:noWrap/>
            <w:vAlign w:val="center"/>
          </w:tcPr>
          <w:p w14:paraId="5E1ADE65">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166.39 (101.66, 248.70)</w:t>
            </w:r>
          </w:p>
        </w:tc>
        <w:tc>
          <w:tcPr>
            <w:tcW w:w="0" w:type="auto"/>
            <w:tcBorders>
              <w:top w:val="nil"/>
              <w:left w:val="nil"/>
              <w:bottom w:val="nil"/>
              <w:right w:val="nil"/>
            </w:tcBorders>
            <w:shd w:val="clear" w:color="auto" w:fill="FFFFFF"/>
            <w:noWrap/>
            <w:vAlign w:val="center"/>
          </w:tcPr>
          <w:p w14:paraId="47D2B842">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167.50 (102.06, 248.58)</w:t>
            </w:r>
          </w:p>
        </w:tc>
        <w:tc>
          <w:tcPr>
            <w:tcW w:w="0" w:type="auto"/>
            <w:tcBorders>
              <w:top w:val="nil"/>
              <w:left w:val="nil"/>
              <w:bottom w:val="nil"/>
              <w:right w:val="nil"/>
            </w:tcBorders>
            <w:shd w:val="clear" w:color="auto" w:fill="FFFFFF"/>
            <w:noWrap/>
            <w:vAlign w:val="center"/>
          </w:tcPr>
          <w:p w14:paraId="79F3A792">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-0.05 (-0.08, -0.02)</w:t>
            </w:r>
          </w:p>
        </w:tc>
      </w:tr>
      <w:tr w14:paraId="05296CD9">
        <w:trPr>
          <w:trHeight w:val="336" w:hRule="atLeast"/>
        </w:trPr>
        <w:tc>
          <w:tcPr>
            <w:tcW w:w="0" w:type="auto"/>
            <w:vMerge w:val="continue"/>
            <w:tcBorders>
              <w:top w:val="nil"/>
              <w:left w:val="nil"/>
              <w:bottom w:val="nil"/>
              <w:right w:val="nil"/>
            </w:tcBorders>
            <w:shd w:val="clear" w:color="auto" w:fill="FFFFFF"/>
            <w:noWrap/>
            <w:vAlign w:val="center"/>
          </w:tcPr>
          <w:p w14:paraId="5ECF8322">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59E6909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Schizophrenia</w:t>
            </w:r>
          </w:p>
        </w:tc>
        <w:tc>
          <w:tcPr>
            <w:tcW w:w="0" w:type="auto"/>
            <w:tcBorders>
              <w:top w:val="nil"/>
              <w:left w:val="nil"/>
              <w:bottom w:val="nil"/>
              <w:right w:val="nil"/>
            </w:tcBorders>
            <w:shd w:val="clear" w:color="auto" w:fill="FFFFFF"/>
            <w:noWrap/>
            <w:vAlign w:val="center"/>
          </w:tcPr>
          <w:p w14:paraId="7D4681A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0.68 (0.54, 0.84)</w:t>
            </w:r>
          </w:p>
        </w:tc>
        <w:tc>
          <w:tcPr>
            <w:tcW w:w="0" w:type="auto"/>
            <w:tcBorders>
              <w:top w:val="nil"/>
              <w:left w:val="nil"/>
              <w:bottom w:val="nil"/>
              <w:right w:val="nil"/>
            </w:tcBorders>
            <w:shd w:val="clear" w:color="auto" w:fill="FFFFFF"/>
            <w:noWrap/>
            <w:vAlign w:val="center"/>
          </w:tcPr>
          <w:p w14:paraId="14E9648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1.65 (1.32, 2.04)</w:t>
            </w:r>
          </w:p>
        </w:tc>
        <w:tc>
          <w:tcPr>
            <w:tcW w:w="0" w:type="auto"/>
            <w:tcBorders>
              <w:top w:val="nil"/>
              <w:left w:val="nil"/>
              <w:bottom w:val="nil"/>
              <w:right w:val="nil"/>
            </w:tcBorders>
            <w:shd w:val="clear" w:color="auto" w:fill="FFFFFF"/>
            <w:noWrap/>
            <w:vAlign w:val="center"/>
          </w:tcPr>
          <w:p w14:paraId="58C235A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256.81 (208.19, 312.09)</w:t>
            </w:r>
          </w:p>
        </w:tc>
        <w:tc>
          <w:tcPr>
            <w:tcW w:w="0" w:type="auto"/>
            <w:tcBorders>
              <w:top w:val="nil"/>
              <w:left w:val="nil"/>
              <w:bottom w:val="nil"/>
              <w:right w:val="nil"/>
            </w:tcBorders>
            <w:shd w:val="clear" w:color="auto" w:fill="FFFFFF"/>
            <w:noWrap/>
            <w:vAlign w:val="center"/>
          </w:tcPr>
          <w:p w14:paraId="2D90503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255.69 (206.67, 312.04)</w:t>
            </w:r>
          </w:p>
        </w:tc>
        <w:tc>
          <w:tcPr>
            <w:tcW w:w="0" w:type="auto"/>
            <w:tcBorders>
              <w:top w:val="nil"/>
              <w:left w:val="nil"/>
              <w:bottom w:val="nil"/>
              <w:right w:val="nil"/>
            </w:tcBorders>
            <w:shd w:val="clear" w:color="auto" w:fill="FFFFFF"/>
            <w:noWrap/>
            <w:vAlign w:val="center"/>
          </w:tcPr>
          <w:p w14:paraId="1462D31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-0.02 (-0.03, -0.01)</w:t>
            </w:r>
          </w:p>
        </w:tc>
        <w:tc>
          <w:tcPr>
            <w:tcW w:w="0" w:type="auto"/>
            <w:tcBorders>
              <w:top w:val="nil"/>
              <w:left w:val="nil"/>
              <w:bottom w:val="nil"/>
              <w:right w:val="nil"/>
            </w:tcBorders>
            <w:shd w:val="clear" w:color="auto" w:fill="FFFFFF"/>
            <w:noWrap/>
            <w:vAlign w:val="center"/>
          </w:tcPr>
          <w:p w14:paraId="2E498D5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0.44 (0.32, 0.58)</w:t>
            </w:r>
          </w:p>
        </w:tc>
        <w:tc>
          <w:tcPr>
            <w:tcW w:w="0" w:type="auto"/>
            <w:tcBorders>
              <w:top w:val="nil"/>
              <w:left w:val="nil"/>
              <w:bottom w:val="nil"/>
              <w:right w:val="nil"/>
            </w:tcBorders>
            <w:shd w:val="clear" w:color="auto" w:fill="FFFFFF"/>
            <w:noWrap/>
            <w:vAlign w:val="center"/>
          </w:tcPr>
          <w:p w14:paraId="56BF6CD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1.06 (0.77, 1.41)</w:t>
            </w:r>
          </w:p>
        </w:tc>
        <w:tc>
          <w:tcPr>
            <w:tcW w:w="0" w:type="auto"/>
            <w:tcBorders>
              <w:top w:val="nil"/>
              <w:left w:val="nil"/>
              <w:bottom w:val="nil"/>
              <w:right w:val="nil"/>
            </w:tcBorders>
            <w:shd w:val="clear" w:color="auto" w:fill="FFFFFF"/>
            <w:noWrap/>
            <w:vAlign w:val="center"/>
          </w:tcPr>
          <w:p w14:paraId="08BE423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163.72 (119.93, 215.61)</w:t>
            </w:r>
          </w:p>
        </w:tc>
        <w:tc>
          <w:tcPr>
            <w:tcW w:w="0" w:type="auto"/>
            <w:tcBorders>
              <w:top w:val="nil"/>
              <w:left w:val="nil"/>
              <w:bottom w:val="nil"/>
              <w:right w:val="nil"/>
            </w:tcBorders>
            <w:shd w:val="clear" w:color="auto" w:fill="FFFFFF"/>
            <w:noWrap/>
            <w:vAlign w:val="center"/>
          </w:tcPr>
          <w:p w14:paraId="05FF7CA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162.39 (119.14, 215.42)</w:t>
            </w:r>
          </w:p>
        </w:tc>
        <w:tc>
          <w:tcPr>
            <w:tcW w:w="0" w:type="auto"/>
            <w:tcBorders>
              <w:top w:val="nil"/>
              <w:left w:val="nil"/>
              <w:bottom w:val="nil"/>
              <w:right w:val="nil"/>
            </w:tcBorders>
            <w:shd w:val="clear" w:color="auto" w:fill="FFFFFF"/>
            <w:noWrap/>
            <w:vAlign w:val="center"/>
          </w:tcPr>
          <w:p w14:paraId="355E7E8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-0.02 (-0.03, -0.02)</w:t>
            </w:r>
          </w:p>
        </w:tc>
      </w:tr>
      <w:tr w14:paraId="11E2A7A9">
        <w:trPr>
          <w:trHeight w:val="336" w:hRule="atLeast"/>
        </w:trPr>
        <w:tc>
          <w:tcPr>
            <w:tcW w:w="0" w:type="auto"/>
            <w:vMerge w:val="continue"/>
            <w:tcBorders>
              <w:top w:val="nil"/>
              <w:left w:val="nil"/>
              <w:bottom w:val="nil"/>
              <w:right w:val="nil"/>
            </w:tcBorders>
            <w:shd w:val="clear" w:color="auto" w:fill="FFFFFF"/>
            <w:noWrap/>
            <w:vAlign w:val="center"/>
          </w:tcPr>
          <w:p w14:paraId="214165D9">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64ED0554">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Autism spectrum disorders</w:t>
            </w:r>
          </w:p>
        </w:tc>
        <w:tc>
          <w:tcPr>
            <w:tcW w:w="0" w:type="auto"/>
            <w:tcBorders>
              <w:top w:val="nil"/>
              <w:left w:val="nil"/>
              <w:bottom w:val="nil"/>
              <w:right w:val="nil"/>
            </w:tcBorders>
            <w:shd w:val="clear" w:color="auto" w:fill="FFFFFF"/>
            <w:noWrap/>
            <w:vAlign w:val="center"/>
          </w:tcPr>
          <w:p w14:paraId="73F25D0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2.63 (2.21, 3.12)</w:t>
            </w:r>
          </w:p>
        </w:tc>
        <w:tc>
          <w:tcPr>
            <w:tcW w:w="0" w:type="auto"/>
            <w:tcBorders>
              <w:top w:val="nil"/>
              <w:left w:val="nil"/>
              <w:bottom w:val="nil"/>
              <w:right w:val="nil"/>
            </w:tcBorders>
            <w:shd w:val="clear" w:color="auto" w:fill="FFFFFF"/>
            <w:noWrap/>
            <w:vAlign w:val="center"/>
          </w:tcPr>
          <w:p w14:paraId="33E6C20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5.10 (4.28, 6.04)</w:t>
            </w:r>
          </w:p>
        </w:tc>
        <w:tc>
          <w:tcPr>
            <w:tcW w:w="0" w:type="auto"/>
            <w:tcBorders>
              <w:top w:val="nil"/>
              <w:left w:val="nil"/>
              <w:bottom w:val="nil"/>
              <w:right w:val="nil"/>
            </w:tcBorders>
            <w:shd w:val="clear" w:color="auto" w:fill="FFFFFF"/>
            <w:noWrap/>
            <w:vAlign w:val="center"/>
          </w:tcPr>
          <w:p w14:paraId="36ADAE0E">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712.05 (597.59, 845.00)</w:t>
            </w:r>
          </w:p>
        </w:tc>
        <w:tc>
          <w:tcPr>
            <w:tcW w:w="0" w:type="auto"/>
            <w:tcBorders>
              <w:top w:val="nil"/>
              <w:left w:val="nil"/>
              <w:bottom w:val="nil"/>
              <w:right w:val="nil"/>
            </w:tcBorders>
            <w:shd w:val="clear" w:color="auto" w:fill="FFFFFF"/>
            <w:noWrap/>
            <w:vAlign w:val="center"/>
          </w:tcPr>
          <w:p w14:paraId="3FFB1512">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718.88 (602.56, 851.84)</w:t>
            </w:r>
          </w:p>
        </w:tc>
        <w:tc>
          <w:tcPr>
            <w:tcW w:w="0" w:type="auto"/>
            <w:tcBorders>
              <w:top w:val="nil"/>
              <w:left w:val="nil"/>
              <w:bottom w:val="nil"/>
              <w:right w:val="nil"/>
            </w:tcBorders>
            <w:shd w:val="clear" w:color="auto" w:fill="FFFFFF"/>
            <w:noWrap/>
            <w:vAlign w:val="center"/>
          </w:tcPr>
          <w:p w14:paraId="1E64200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0.03 (0.02, 0.03)</w:t>
            </w:r>
          </w:p>
        </w:tc>
        <w:tc>
          <w:tcPr>
            <w:tcW w:w="0" w:type="auto"/>
            <w:tcBorders>
              <w:top w:val="nil"/>
              <w:left w:val="nil"/>
              <w:bottom w:val="nil"/>
              <w:right w:val="nil"/>
            </w:tcBorders>
            <w:shd w:val="clear" w:color="auto" w:fill="FFFFFF"/>
            <w:noWrap/>
            <w:vAlign w:val="center"/>
          </w:tcPr>
          <w:p w14:paraId="022E0AEF">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0.50 (0.34, 0.69)</w:t>
            </w:r>
          </w:p>
        </w:tc>
        <w:tc>
          <w:tcPr>
            <w:tcW w:w="0" w:type="auto"/>
            <w:tcBorders>
              <w:top w:val="nil"/>
              <w:left w:val="nil"/>
              <w:bottom w:val="nil"/>
              <w:right w:val="nil"/>
            </w:tcBorders>
            <w:shd w:val="clear" w:color="auto" w:fill="FFFFFF"/>
            <w:noWrap/>
            <w:vAlign w:val="center"/>
          </w:tcPr>
          <w:p w14:paraId="3B662A7F">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0.96 (0.65, 1.35)</w:t>
            </w:r>
          </w:p>
        </w:tc>
        <w:tc>
          <w:tcPr>
            <w:tcW w:w="0" w:type="auto"/>
            <w:tcBorders>
              <w:top w:val="nil"/>
              <w:left w:val="nil"/>
              <w:bottom w:val="nil"/>
              <w:right w:val="nil"/>
            </w:tcBorders>
            <w:shd w:val="clear" w:color="auto" w:fill="FFFFFF"/>
            <w:noWrap/>
            <w:vAlign w:val="center"/>
          </w:tcPr>
          <w:p w14:paraId="59792267">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133.21 (91.73, 186.31)</w:t>
            </w:r>
          </w:p>
        </w:tc>
        <w:tc>
          <w:tcPr>
            <w:tcW w:w="0" w:type="auto"/>
            <w:tcBorders>
              <w:top w:val="nil"/>
              <w:left w:val="nil"/>
              <w:bottom w:val="nil"/>
              <w:right w:val="nil"/>
            </w:tcBorders>
            <w:shd w:val="clear" w:color="auto" w:fill="FFFFFF"/>
            <w:noWrap/>
            <w:vAlign w:val="center"/>
          </w:tcPr>
          <w:p w14:paraId="1729B937">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134.40 (91.30, 188.59)</w:t>
            </w:r>
          </w:p>
        </w:tc>
        <w:tc>
          <w:tcPr>
            <w:tcW w:w="0" w:type="auto"/>
            <w:tcBorders>
              <w:top w:val="nil"/>
              <w:left w:val="nil"/>
              <w:bottom w:val="nil"/>
              <w:right w:val="nil"/>
            </w:tcBorders>
            <w:shd w:val="clear" w:color="auto" w:fill="FFFFFF"/>
            <w:noWrap/>
            <w:vAlign w:val="center"/>
          </w:tcPr>
          <w:p w14:paraId="36B326C2">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0.03 (0.03, 0.04)</w:t>
            </w:r>
          </w:p>
        </w:tc>
      </w:tr>
      <w:tr w14:paraId="346784F6">
        <w:trPr>
          <w:trHeight w:val="336" w:hRule="atLeast"/>
        </w:trPr>
        <w:tc>
          <w:tcPr>
            <w:tcW w:w="0" w:type="auto"/>
            <w:vMerge w:val="restart"/>
            <w:tcBorders>
              <w:top w:val="nil"/>
              <w:left w:val="nil"/>
              <w:bottom w:val="nil"/>
              <w:right w:val="nil"/>
            </w:tcBorders>
            <w:shd w:val="clear" w:color="auto" w:fill="FFFFFF"/>
            <w:noWrap/>
            <w:vAlign w:val="center"/>
          </w:tcPr>
          <w:p w14:paraId="3F46C74D">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Western Pacific Region</w:t>
            </w:r>
          </w:p>
        </w:tc>
        <w:tc>
          <w:tcPr>
            <w:tcW w:w="0" w:type="auto"/>
            <w:tcBorders>
              <w:top w:val="nil"/>
              <w:left w:val="nil"/>
              <w:bottom w:val="nil"/>
              <w:right w:val="nil"/>
            </w:tcBorders>
            <w:shd w:val="clear" w:color="auto" w:fill="FFFFFF"/>
            <w:noWrap/>
            <w:vAlign w:val="center"/>
          </w:tcPr>
          <w:p w14:paraId="1958A4B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Mental disorders</w:t>
            </w:r>
          </w:p>
        </w:tc>
        <w:tc>
          <w:tcPr>
            <w:tcW w:w="0" w:type="auto"/>
            <w:tcBorders>
              <w:top w:val="nil"/>
              <w:left w:val="nil"/>
              <w:bottom w:val="nil"/>
              <w:right w:val="nil"/>
            </w:tcBorders>
            <w:shd w:val="clear" w:color="auto" w:fill="FFFFFF"/>
            <w:noWrap/>
            <w:vAlign w:val="center"/>
          </w:tcPr>
          <w:p w14:paraId="78B324B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27.91 (23.16, 32.75)</w:t>
            </w:r>
          </w:p>
        </w:tc>
        <w:tc>
          <w:tcPr>
            <w:tcW w:w="0" w:type="auto"/>
            <w:tcBorders>
              <w:top w:val="nil"/>
              <w:left w:val="nil"/>
              <w:bottom w:val="nil"/>
              <w:right w:val="nil"/>
            </w:tcBorders>
            <w:shd w:val="clear" w:color="auto" w:fill="FFFFFF"/>
            <w:noWrap/>
            <w:vAlign w:val="center"/>
          </w:tcPr>
          <w:p w14:paraId="0B9386F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32.59 (28.66, 37.30)</w:t>
            </w:r>
          </w:p>
        </w:tc>
        <w:tc>
          <w:tcPr>
            <w:tcW w:w="0" w:type="auto"/>
            <w:tcBorders>
              <w:top w:val="nil"/>
              <w:left w:val="nil"/>
              <w:bottom w:val="nil"/>
              <w:right w:val="nil"/>
            </w:tcBorders>
            <w:shd w:val="clear" w:color="auto" w:fill="FFFFFF"/>
            <w:noWrap/>
            <w:vAlign w:val="center"/>
          </w:tcPr>
          <w:p w14:paraId="35ACDA7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2017.87 (1684.52, 2362.37)</w:t>
            </w:r>
          </w:p>
        </w:tc>
        <w:tc>
          <w:tcPr>
            <w:tcW w:w="0" w:type="auto"/>
            <w:tcBorders>
              <w:top w:val="nil"/>
              <w:left w:val="nil"/>
              <w:bottom w:val="nil"/>
              <w:right w:val="nil"/>
            </w:tcBorders>
            <w:shd w:val="clear" w:color="auto" w:fill="FFFFFF"/>
            <w:noWrap/>
            <w:vAlign w:val="center"/>
          </w:tcPr>
          <w:p w14:paraId="4344E37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1941.29 (1692.14, 2237.88)</w:t>
            </w:r>
          </w:p>
        </w:tc>
        <w:tc>
          <w:tcPr>
            <w:tcW w:w="0" w:type="auto"/>
            <w:tcBorders>
              <w:top w:val="nil"/>
              <w:left w:val="nil"/>
              <w:bottom w:val="nil"/>
              <w:right w:val="nil"/>
            </w:tcBorders>
            <w:shd w:val="clear" w:color="auto" w:fill="FFFFFF"/>
            <w:noWrap/>
            <w:vAlign w:val="center"/>
          </w:tcPr>
          <w:p w14:paraId="44D616F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-0.13 (-0.15, -0.12)</w:t>
            </w:r>
          </w:p>
        </w:tc>
        <w:tc>
          <w:tcPr>
            <w:tcW w:w="0" w:type="auto"/>
            <w:tcBorders>
              <w:top w:val="nil"/>
              <w:left w:val="nil"/>
              <w:bottom w:val="nil"/>
              <w:right w:val="nil"/>
            </w:tcBorders>
            <w:shd w:val="clear" w:color="auto" w:fill="FFFFFF"/>
            <w:noWrap/>
            <w:vAlign w:val="center"/>
          </w:tcPr>
          <w:p w14:paraId="643C661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5.32 (4.23, 6.43)</w:t>
            </w:r>
          </w:p>
        </w:tc>
        <w:tc>
          <w:tcPr>
            <w:tcW w:w="0" w:type="auto"/>
            <w:tcBorders>
              <w:top w:val="nil"/>
              <w:left w:val="nil"/>
              <w:bottom w:val="nil"/>
              <w:right w:val="nil"/>
            </w:tcBorders>
            <w:shd w:val="clear" w:color="auto" w:fill="FFFFFF"/>
            <w:noWrap/>
            <w:vAlign w:val="center"/>
          </w:tcPr>
          <w:p w14:paraId="7C26329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7.32 (5.83, 8.74)</w:t>
            </w:r>
          </w:p>
        </w:tc>
        <w:tc>
          <w:tcPr>
            <w:tcW w:w="0" w:type="auto"/>
            <w:tcBorders>
              <w:top w:val="nil"/>
              <w:left w:val="nil"/>
              <w:bottom w:val="nil"/>
              <w:right w:val="nil"/>
            </w:tcBorders>
            <w:shd w:val="clear" w:color="auto" w:fill="FFFFFF"/>
            <w:noWrap/>
            <w:vAlign w:val="center"/>
          </w:tcPr>
          <w:p w14:paraId="606F8C57">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390.92 (312.48, 468.83)</w:t>
            </w:r>
          </w:p>
        </w:tc>
        <w:tc>
          <w:tcPr>
            <w:tcW w:w="0" w:type="auto"/>
            <w:tcBorders>
              <w:top w:val="nil"/>
              <w:left w:val="nil"/>
              <w:bottom w:val="nil"/>
              <w:right w:val="nil"/>
            </w:tcBorders>
            <w:shd w:val="clear" w:color="auto" w:fill="FFFFFF"/>
            <w:noWrap/>
            <w:vAlign w:val="center"/>
          </w:tcPr>
          <w:p w14:paraId="3267DC85">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404.82 (325.45, 486.30)</w:t>
            </w:r>
          </w:p>
        </w:tc>
        <w:tc>
          <w:tcPr>
            <w:tcW w:w="0" w:type="auto"/>
            <w:tcBorders>
              <w:top w:val="nil"/>
              <w:left w:val="nil"/>
              <w:bottom w:val="nil"/>
              <w:right w:val="nil"/>
            </w:tcBorders>
            <w:shd w:val="clear" w:color="auto" w:fill="FFFFFF"/>
            <w:noWrap/>
            <w:vAlign w:val="center"/>
          </w:tcPr>
          <w:p w14:paraId="558397E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0.11 (0.10, 0.12)</w:t>
            </w:r>
          </w:p>
        </w:tc>
      </w:tr>
      <w:tr w14:paraId="6D2D5448">
        <w:trPr>
          <w:trHeight w:val="336" w:hRule="atLeast"/>
        </w:trPr>
        <w:tc>
          <w:tcPr>
            <w:tcW w:w="0" w:type="auto"/>
            <w:vMerge w:val="continue"/>
            <w:tcBorders>
              <w:top w:val="nil"/>
              <w:left w:val="nil"/>
              <w:bottom w:val="nil"/>
              <w:right w:val="nil"/>
            </w:tcBorders>
            <w:shd w:val="clear" w:color="auto" w:fill="FFFFFF"/>
            <w:noWrap/>
            <w:vAlign w:val="center"/>
          </w:tcPr>
          <w:p w14:paraId="02649781">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6814E3F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Developmental intellectual disability</w:t>
            </w:r>
          </w:p>
        </w:tc>
        <w:tc>
          <w:tcPr>
            <w:tcW w:w="0" w:type="auto"/>
            <w:tcBorders>
              <w:top w:val="nil"/>
              <w:left w:val="nil"/>
              <w:bottom w:val="nil"/>
              <w:right w:val="nil"/>
            </w:tcBorders>
            <w:shd w:val="clear" w:color="auto" w:fill="FFFFFF"/>
            <w:noWrap/>
            <w:vAlign w:val="center"/>
          </w:tcPr>
          <w:p w14:paraId="0479514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15.57 (10.87, 20.33)</w:t>
            </w:r>
          </w:p>
        </w:tc>
        <w:tc>
          <w:tcPr>
            <w:tcW w:w="0" w:type="auto"/>
            <w:tcBorders>
              <w:top w:val="nil"/>
              <w:left w:val="nil"/>
              <w:bottom w:val="nil"/>
              <w:right w:val="nil"/>
            </w:tcBorders>
            <w:shd w:val="clear" w:color="auto" w:fill="FFFFFF"/>
            <w:noWrap/>
            <w:vAlign w:val="center"/>
          </w:tcPr>
          <w:p w14:paraId="3D2EAD5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15.50 (11.54, 19.59)</w:t>
            </w:r>
          </w:p>
        </w:tc>
        <w:tc>
          <w:tcPr>
            <w:tcW w:w="0" w:type="auto"/>
            <w:tcBorders>
              <w:top w:val="nil"/>
              <w:left w:val="nil"/>
              <w:bottom w:val="nil"/>
              <w:right w:val="nil"/>
            </w:tcBorders>
            <w:shd w:val="clear" w:color="auto" w:fill="FFFFFF"/>
            <w:noWrap/>
            <w:vAlign w:val="center"/>
          </w:tcPr>
          <w:p w14:paraId="42BB9E3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1110.35 (776.26, 1451.41)</w:t>
            </w:r>
          </w:p>
        </w:tc>
        <w:tc>
          <w:tcPr>
            <w:tcW w:w="0" w:type="auto"/>
            <w:tcBorders>
              <w:top w:val="nil"/>
              <w:left w:val="nil"/>
              <w:bottom w:val="nil"/>
              <w:right w:val="nil"/>
            </w:tcBorders>
            <w:shd w:val="clear" w:color="auto" w:fill="FFFFFF"/>
            <w:noWrap/>
            <w:vAlign w:val="center"/>
          </w:tcPr>
          <w:p w14:paraId="32B1A11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979.18 (725.09, 1238.18)</w:t>
            </w:r>
          </w:p>
        </w:tc>
        <w:tc>
          <w:tcPr>
            <w:tcW w:w="0" w:type="auto"/>
            <w:tcBorders>
              <w:top w:val="nil"/>
              <w:left w:val="nil"/>
              <w:bottom w:val="nil"/>
              <w:right w:val="nil"/>
            </w:tcBorders>
            <w:shd w:val="clear" w:color="auto" w:fill="FFFFFF"/>
            <w:noWrap/>
            <w:vAlign w:val="center"/>
          </w:tcPr>
          <w:p w14:paraId="637E960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-0.42 (-0.45, -0.39)</w:t>
            </w:r>
          </w:p>
        </w:tc>
        <w:tc>
          <w:tcPr>
            <w:tcW w:w="0" w:type="auto"/>
            <w:tcBorders>
              <w:top w:val="nil"/>
              <w:left w:val="nil"/>
              <w:bottom w:val="nil"/>
              <w:right w:val="nil"/>
            </w:tcBorders>
            <w:shd w:val="clear" w:color="auto" w:fill="FFFFFF"/>
            <w:noWrap/>
            <w:vAlign w:val="center"/>
          </w:tcPr>
          <w:p w14:paraId="0A4F334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1.10 (0.72, 1.61)</w:t>
            </w:r>
          </w:p>
        </w:tc>
        <w:tc>
          <w:tcPr>
            <w:tcW w:w="0" w:type="auto"/>
            <w:tcBorders>
              <w:top w:val="nil"/>
              <w:left w:val="nil"/>
              <w:bottom w:val="nil"/>
              <w:right w:val="nil"/>
            </w:tcBorders>
            <w:shd w:val="clear" w:color="auto" w:fill="FFFFFF"/>
            <w:noWrap/>
            <w:vAlign w:val="center"/>
          </w:tcPr>
          <w:p w14:paraId="1B6E5035">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1.21 (0.81, 1.72)</w:t>
            </w:r>
          </w:p>
        </w:tc>
        <w:tc>
          <w:tcPr>
            <w:tcW w:w="0" w:type="auto"/>
            <w:tcBorders>
              <w:top w:val="nil"/>
              <w:left w:val="nil"/>
              <w:bottom w:val="nil"/>
              <w:right w:val="nil"/>
            </w:tcBorders>
            <w:shd w:val="clear" w:color="auto" w:fill="FFFFFF"/>
            <w:noWrap/>
            <w:vAlign w:val="center"/>
          </w:tcPr>
          <w:p w14:paraId="7207C3F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78.62 (51.00, 114.38)</w:t>
            </w:r>
          </w:p>
        </w:tc>
        <w:tc>
          <w:tcPr>
            <w:tcW w:w="0" w:type="auto"/>
            <w:tcBorders>
              <w:top w:val="nil"/>
              <w:left w:val="nil"/>
              <w:bottom w:val="nil"/>
              <w:right w:val="nil"/>
            </w:tcBorders>
            <w:shd w:val="clear" w:color="auto" w:fill="FFFFFF"/>
            <w:noWrap/>
            <w:vAlign w:val="center"/>
          </w:tcPr>
          <w:p w14:paraId="2EF4C15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76.54 (51.11, 108.42)</w:t>
            </w:r>
          </w:p>
        </w:tc>
        <w:tc>
          <w:tcPr>
            <w:tcW w:w="0" w:type="auto"/>
            <w:tcBorders>
              <w:top w:val="nil"/>
              <w:left w:val="nil"/>
              <w:bottom w:val="nil"/>
              <w:right w:val="nil"/>
            </w:tcBorders>
            <w:shd w:val="clear" w:color="auto" w:fill="FFFFFF"/>
            <w:noWrap/>
            <w:vAlign w:val="center"/>
          </w:tcPr>
          <w:p w14:paraId="7EAA7A9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-0.06 (-0.10, -0.02)</w:t>
            </w:r>
          </w:p>
        </w:tc>
      </w:tr>
      <w:tr w14:paraId="01EDEA87">
        <w:trPr>
          <w:trHeight w:val="336" w:hRule="atLeast"/>
        </w:trPr>
        <w:tc>
          <w:tcPr>
            <w:tcW w:w="0" w:type="auto"/>
            <w:vMerge w:val="continue"/>
            <w:tcBorders>
              <w:top w:val="nil"/>
              <w:left w:val="nil"/>
              <w:bottom w:val="nil"/>
              <w:right w:val="nil"/>
            </w:tcBorders>
            <w:shd w:val="clear" w:color="auto" w:fill="FFFFFF"/>
            <w:noWrap/>
            <w:vAlign w:val="center"/>
          </w:tcPr>
          <w:p w14:paraId="7F074A29">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55B4F86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Schizophrenia</w:t>
            </w:r>
          </w:p>
        </w:tc>
        <w:tc>
          <w:tcPr>
            <w:tcW w:w="0" w:type="auto"/>
            <w:tcBorders>
              <w:top w:val="nil"/>
              <w:left w:val="nil"/>
              <w:bottom w:val="nil"/>
              <w:right w:val="nil"/>
            </w:tcBorders>
            <w:shd w:val="clear" w:color="auto" w:fill="FFFFFF"/>
            <w:noWrap/>
            <w:vAlign w:val="center"/>
          </w:tcPr>
          <w:p w14:paraId="1AAAB52E">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3.96 (3.39, 4.57)</w:t>
            </w:r>
          </w:p>
        </w:tc>
        <w:tc>
          <w:tcPr>
            <w:tcW w:w="0" w:type="auto"/>
            <w:tcBorders>
              <w:top w:val="nil"/>
              <w:left w:val="nil"/>
              <w:bottom w:val="nil"/>
              <w:right w:val="nil"/>
            </w:tcBorders>
            <w:shd w:val="clear" w:color="auto" w:fill="FFFFFF"/>
            <w:noWrap/>
            <w:vAlign w:val="center"/>
          </w:tcPr>
          <w:p w14:paraId="21F561CE">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6.20 (5.36, 7.09)</w:t>
            </w:r>
          </w:p>
        </w:tc>
        <w:tc>
          <w:tcPr>
            <w:tcW w:w="0" w:type="auto"/>
            <w:tcBorders>
              <w:top w:val="nil"/>
              <w:left w:val="nil"/>
              <w:bottom w:val="nil"/>
              <w:right w:val="nil"/>
            </w:tcBorders>
            <w:shd w:val="clear" w:color="auto" w:fill="FFFFFF"/>
            <w:noWrap/>
            <w:vAlign w:val="center"/>
          </w:tcPr>
          <w:p w14:paraId="5DB5E93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299.39 (257.81, 343.49)</w:t>
            </w:r>
          </w:p>
        </w:tc>
        <w:tc>
          <w:tcPr>
            <w:tcW w:w="0" w:type="auto"/>
            <w:tcBorders>
              <w:top w:val="nil"/>
              <w:left w:val="nil"/>
              <w:bottom w:val="nil"/>
              <w:right w:val="nil"/>
            </w:tcBorders>
            <w:shd w:val="clear" w:color="auto" w:fill="FFFFFF"/>
            <w:noWrap/>
            <w:vAlign w:val="center"/>
          </w:tcPr>
          <w:p w14:paraId="26C194F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309.95 (266.58, 356.41)</w:t>
            </w:r>
          </w:p>
        </w:tc>
        <w:tc>
          <w:tcPr>
            <w:tcW w:w="0" w:type="auto"/>
            <w:tcBorders>
              <w:top w:val="nil"/>
              <w:left w:val="nil"/>
              <w:bottom w:val="nil"/>
              <w:right w:val="nil"/>
            </w:tcBorders>
            <w:shd w:val="clear" w:color="auto" w:fill="FFFFFF"/>
            <w:noWrap/>
            <w:vAlign w:val="center"/>
          </w:tcPr>
          <w:p w14:paraId="6B7D80D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0.07 (0.05, 0.10)</w:t>
            </w:r>
          </w:p>
        </w:tc>
        <w:tc>
          <w:tcPr>
            <w:tcW w:w="0" w:type="auto"/>
            <w:tcBorders>
              <w:top w:val="nil"/>
              <w:left w:val="nil"/>
              <w:bottom w:val="nil"/>
              <w:right w:val="nil"/>
            </w:tcBorders>
            <w:shd w:val="clear" w:color="auto" w:fill="FFFFFF"/>
            <w:noWrap/>
            <w:vAlign w:val="center"/>
          </w:tcPr>
          <w:p w14:paraId="48C52E52">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2.59 (1.96, 3.27)</w:t>
            </w:r>
          </w:p>
        </w:tc>
        <w:tc>
          <w:tcPr>
            <w:tcW w:w="0" w:type="auto"/>
            <w:tcBorders>
              <w:top w:val="nil"/>
              <w:left w:val="nil"/>
              <w:bottom w:val="nil"/>
              <w:right w:val="nil"/>
            </w:tcBorders>
            <w:shd w:val="clear" w:color="auto" w:fill="FFFFFF"/>
            <w:noWrap/>
            <w:vAlign w:val="center"/>
          </w:tcPr>
          <w:p w14:paraId="4F8ED4D5">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4.02 (2.99, 5.08)</w:t>
            </w:r>
          </w:p>
        </w:tc>
        <w:tc>
          <w:tcPr>
            <w:tcW w:w="0" w:type="auto"/>
            <w:tcBorders>
              <w:top w:val="nil"/>
              <w:left w:val="nil"/>
              <w:bottom w:val="nil"/>
              <w:right w:val="nil"/>
            </w:tcBorders>
            <w:shd w:val="clear" w:color="auto" w:fill="FFFFFF"/>
            <w:noWrap/>
            <w:vAlign w:val="center"/>
          </w:tcPr>
          <w:p w14:paraId="3587CF70">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194.81 (146.98, 244.27)</w:t>
            </w:r>
          </w:p>
        </w:tc>
        <w:tc>
          <w:tcPr>
            <w:tcW w:w="0" w:type="auto"/>
            <w:tcBorders>
              <w:top w:val="nil"/>
              <w:left w:val="nil"/>
              <w:bottom w:val="nil"/>
              <w:right w:val="nil"/>
            </w:tcBorders>
            <w:shd w:val="clear" w:color="auto" w:fill="FFFFFF"/>
            <w:noWrap/>
            <w:vAlign w:val="center"/>
          </w:tcPr>
          <w:p w14:paraId="362DD04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202.31 (150.90, 255.78)</w:t>
            </w:r>
          </w:p>
        </w:tc>
        <w:tc>
          <w:tcPr>
            <w:tcW w:w="0" w:type="auto"/>
            <w:tcBorders>
              <w:top w:val="nil"/>
              <w:left w:val="nil"/>
              <w:bottom w:val="nil"/>
              <w:right w:val="nil"/>
            </w:tcBorders>
            <w:shd w:val="clear" w:color="auto" w:fill="FFFFFF"/>
            <w:noWrap/>
            <w:vAlign w:val="center"/>
          </w:tcPr>
          <w:p w14:paraId="169C36C5">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0.09 (0.07, 0.11)</w:t>
            </w:r>
          </w:p>
        </w:tc>
      </w:tr>
      <w:tr w14:paraId="614C44E3">
        <w:trPr>
          <w:trHeight w:val="336" w:hRule="atLeast"/>
        </w:trPr>
        <w:tc>
          <w:tcPr>
            <w:tcW w:w="0" w:type="auto"/>
            <w:vMerge w:val="continue"/>
            <w:tcBorders>
              <w:top w:val="nil"/>
              <w:left w:val="nil"/>
              <w:bottom w:val="nil"/>
              <w:right w:val="nil"/>
            </w:tcBorders>
            <w:shd w:val="clear" w:color="auto" w:fill="FFFFFF"/>
            <w:noWrap/>
            <w:vAlign w:val="center"/>
          </w:tcPr>
          <w:p w14:paraId="1F4AF10C">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190E0F17">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Autism spectrum disorders</w:t>
            </w:r>
          </w:p>
        </w:tc>
        <w:tc>
          <w:tcPr>
            <w:tcW w:w="0" w:type="auto"/>
            <w:tcBorders>
              <w:top w:val="nil"/>
              <w:left w:val="nil"/>
              <w:bottom w:val="nil"/>
              <w:right w:val="nil"/>
            </w:tcBorders>
            <w:shd w:val="clear" w:color="auto" w:fill="FFFFFF"/>
            <w:noWrap/>
            <w:vAlign w:val="center"/>
          </w:tcPr>
          <w:p w14:paraId="4B65928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8.54 (7.14, 10.12)</w:t>
            </w:r>
          </w:p>
        </w:tc>
        <w:tc>
          <w:tcPr>
            <w:tcW w:w="0" w:type="auto"/>
            <w:tcBorders>
              <w:top w:val="nil"/>
              <w:left w:val="nil"/>
              <w:bottom w:val="nil"/>
              <w:right w:val="nil"/>
            </w:tcBorders>
            <w:shd w:val="clear" w:color="auto" w:fill="FFFFFF"/>
            <w:noWrap/>
            <w:vAlign w:val="center"/>
          </w:tcPr>
          <w:p w14:paraId="12B37FE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11.09 (9.27, 13.17)</w:t>
            </w:r>
          </w:p>
        </w:tc>
        <w:tc>
          <w:tcPr>
            <w:tcW w:w="0" w:type="auto"/>
            <w:tcBorders>
              <w:top w:val="nil"/>
              <w:left w:val="nil"/>
              <w:bottom w:val="nil"/>
              <w:right w:val="nil"/>
            </w:tcBorders>
            <w:shd w:val="clear" w:color="auto" w:fill="FFFFFF"/>
            <w:noWrap/>
            <w:vAlign w:val="center"/>
          </w:tcPr>
          <w:p w14:paraId="0B3F0E4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620.43 (517.26, 734.37)</w:t>
            </w:r>
          </w:p>
        </w:tc>
        <w:tc>
          <w:tcPr>
            <w:tcW w:w="0" w:type="auto"/>
            <w:tcBorders>
              <w:top w:val="nil"/>
              <w:left w:val="nil"/>
              <w:bottom w:val="nil"/>
              <w:right w:val="nil"/>
            </w:tcBorders>
            <w:shd w:val="clear" w:color="auto" w:fill="FFFFFF"/>
            <w:noWrap/>
            <w:vAlign w:val="center"/>
          </w:tcPr>
          <w:p w14:paraId="0D144EB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663.97 (554.98, 787.95)</w:t>
            </w:r>
          </w:p>
        </w:tc>
        <w:tc>
          <w:tcPr>
            <w:tcW w:w="0" w:type="auto"/>
            <w:tcBorders>
              <w:top w:val="nil"/>
              <w:left w:val="nil"/>
              <w:bottom w:val="nil"/>
              <w:right w:val="nil"/>
            </w:tcBorders>
            <w:shd w:val="clear" w:color="auto" w:fill="FFFFFF"/>
            <w:noWrap/>
            <w:vAlign w:val="center"/>
          </w:tcPr>
          <w:p w14:paraId="5F1D1C9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0.25 (0.23, 0.27)</w:t>
            </w:r>
          </w:p>
        </w:tc>
        <w:tc>
          <w:tcPr>
            <w:tcW w:w="0" w:type="auto"/>
            <w:tcBorders>
              <w:top w:val="nil"/>
              <w:left w:val="nil"/>
              <w:bottom w:val="nil"/>
              <w:right w:val="nil"/>
            </w:tcBorders>
            <w:shd w:val="clear" w:color="auto" w:fill="FFFFFF"/>
            <w:noWrap/>
            <w:vAlign w:val="center"/>
          </w:tcPr>
          <w:p w14:paraId="7ADEEA0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1.62 (1.10, 2.29)</w:t>
            </w:r>
          </w:p>
        </w:tc>
        <w:tc>
          <w:tcPr>
            <w:tcW w:w="0" w:type="auto"/>
            <w:tcBorders>
              <w:top w:val="nil"/>
              <w:left w:val="nil"/>
              <w:bottom w:val="nil"/>
              <w:right w:val="nil"/>
            </w:tcBorders>
            <w:shd w:val="clear" w:color="auto" w:fill="FFFFFF"/>
            <w:noWrap/>
            <w:vAlign w:val="center"/>
          </w:tcPr>
          <w:p w14:paraId="54C5F812">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2.09 (1.41, 2.94)</w:t>
            </w:r>
          </w:p>
        </w:tc>
        <w:tc>
          <w:tcPr>
            <w:tcW w:w="0" w:type="auto"/>
            <w:tcBorders>
              <w:top w:val="nil"/>
              <w:left w:val="nil"/>
              <w:bottom w:val="nil"/>
              <w:right w:val="nil"/>
            </w:tcBorders>
            <w:shd w:val="clear" w:color="auto" w:fill="FFFFFF"/>
            <w:noWrap/>
            <w:vAlign w:val="center"/>
          </w:tcPr>
          <w:p w14:paraId="49CAB46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117.49 (79.88, 165.56)</w:t>
            </w:r>
          </w:p>
        </w:tc>
        <w:tc>
          <w:tcPr>
            <w:tcW w:w="0" w:type="auto"/>
            <w:tcBorders>
              <w:top w:val="nil"/>
              <w:left w:val="nil"/>
              <w:bottom w:val="nil"/>
              <w:right w:val="nil"/>
            </w:tcBorders>
            <w:shd w:val="clear" w:color="auto" w:fill="FFFFFF"/>
            <w:noWrap/>
            <w:vAlign w:val="center"/>
          </w:tcPr>
          <w:p w14:paraId="0078133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125.97 (85.26, 177.25)</w:t>
            </w:r>
          </w:p>
        </w:tc>
        <w:tc>
          <w:tcPr>
            <w:tcW w:w="0" w:type="auto"/>
            <w:tcBorders>
              <w:top w:val="nil"/>
              <w:left w:val="nil"/>
              <w:bottom w:val="nil"/>
              <w:right w:val="nil"/>
            </w:tcBorders>
            <w:shd w:val="clear" w:color="auto" w:fill="FFFFFF"/>
            <w:noWrap/>
            <w:vAlign w:val="center"/>
          </w:tcPr>
          <w:p w14:paraId="1986BEA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0.25 (0.24, 0.27)</w:t>
            </w:r>
          </w:p>
        </w:tc>
      </w:tr>
      <w:tr w14:paraId="0C98259B">
        <w:trPr>
          <w:trHeight w:val="336" w:hRule="atLeast"/>
        </w:trPr>
        <w:tc>
          <w:tcPr>
            <w:tcW w:w="0" w:type="auto"/>
            <w:vMerge w:val="restart"/>
            <w:tcBorders>
              <w:top w:val="nil"/>
              <w:left w:val="nil"/>
              <w:bottom w:val="nil"/>
              <w:right w:val="nil"/>
            </w:tcBorders>
            <w:shd w:val="clear" w:color="auto" w:fill="FFFFFF"/>
            <w:noWrap/>
            <w:vAlign w:val="center"/>
          </w:tcPr>
          <w:p w14:paraId="45FB9D5B">
            <w:pPr>
              <w:widowControl/>
              <w:jc w:val="center"/>
              <w:textAlignment w:val="center"/>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World Bank High Income</w:t>
            </w:r>
          </w:p>
        </w:tc>
        <w:tc>
          <w:tcPr>
            <w:tcW w:w="0" w:type="auto"/>
            <w:tcBorders>
              <w:top w:val="nil"/>
              <w:left w:val="nil"/>
              <w:bottom w:val="nil"/>
              <w:right w:val="nil"/>
            </w:tcBorders>
            <w:shd w:val="clear" w:color="auto" w:fill="FFFFFF"/>
            <w:noWrap/>
            <w:vAlign w:val="center"/>
          </w:tcPr>
          <w:p w14:paraId="60D088F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Mental disorders</w:t>
            </w:r>
          </w:p>
        </w:tc>
        <w:tc>
          <w:tcPr>
            <w:tcW w:w="0" w:type="auto"/>
            <w:tcBorders>
              <w:top w:val="nil"/>
              <w:left w:val="nil"/>
              <w:bottom w:val="nil"/>
              <w:right w:val="nil"/>
            </w:tcBorders>
            <w:shd w:val="clear" w:color="auto" w:fill="FFFFFF"/>
            <w:noWrap/>
            <w:vAlign w:val="center"/>
          </w:tcPr>
          <w:p w14:paraId="3B2374E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25.44 (22.21, 29.32)</w:t>
            </w:r>
          </w:p>
        </w:tc>
        <w:tc>
          <w:tcPr>
            <w:tcW w:w="0" w:type="auto"/>
            <w:tcBorders>
              <w:top w:val="nil"/>
              <w:left w:val="nil"/>
              <w:bottom w:val="nil"/>
              <w:right w:val="nil"/>
            </w:tcBorders>
            <w:shd w:val="clear" w:color="auto" w:fill="FFFFFF"/>
            <w:noWrap/>
            <w:vAlign w:val="center"/>
          </w:tcPr>
          <w:p w14:paraId="5A4971F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28.62 (25.25, 32.87)</w:t>
            </w:r>
          </w:p>
        </w:tc>
        <w:tc>
          <w:tcPr>
            <w:tcW w:w="0" w:type="auto"/>
            <w:tcBorders>
              <w:top w:val="nil"/>
              <w:left w:val="nil"/>
              <w:bottom w:val="nil"/>
              <w:right w:val="nil"/>
            </w:tcBorders>
            <w:shd w:val="clear" w:color="auto" w:fill="FFFFFF"/>
            <w:noWrap/>
            <w:vAlign w:val="center"/>
          </w:tcPr>
          <w:p w14:paraId="4EA6616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2571.89 (2240.25, 2973.57)</w:t>
            </w:r>
          </w:p>
        </w:tc>
        <w:tc>
          <w:tcPr>
            <w:tcW w:w="0" w:type="auto"/>
            <w:tcBorders>
              <w:top w:val="nil"/>
              <w:left w:val="nil"/>
              <w:bottom w:val="nil"/>
              <w:right w:val="nil"/>
            </w:tcBorders>
            <w:shd w:val="clear" w:color="auto" w:fill="FFFFFF"/>
            <w:noWrap/>
            <w:vAlign w:val="center"/>
          </w:tcPr>
          <w:p w14:paraId="5FF3A79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2486.55 (2190.34, 2862.45)</w:t>
            </w:r>
          </w:p>
        </w:tc>
        <w:tc>
          <w:tcPr>
            <w:tcW w:w="0" w:type="auto"/>
            <w:tcBorders>
              <w:top w:val="nil"/>
              <w:left w:val="nil"/>
              <w:bottom w:val="nil"/>
              <w:right w:val="nil"/>
            </w:tcBorders>
            <w:shd w:val="clear" w:color="auto" w:fill="FFFFFF"/>
            <w:noWrap/>
            <w:vAlign w:val="center"/>
          </w:tcPr>
          <w:p w14:paraId="21718A1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-0.10 (-0.11, -0.08)</w:t>
            </w:r>
          </w:p>
        </w:tc>
        <w:tc>
          <w:tcPr>
            <w:tcW w:w="0" w:type="auto"/>
            <w:tcBorders>
              <w:top w:val="nil"/>
              <w:left w:val="nil"/>
              <w:bottom w:val="nil"/>
              <w:right w:val="nil"/>
            </w:tcBorders>
            <w:shd w:val="clear" w:color="auto" w:fill="FFFFFF"/>
            <w:noWrap/>
            <w:vAlign w:val="center"/>
          </w:tcPr>
          <w:p w14:paraId="1BCBC20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4.98 (4.02, 5.97)</w:t>
            </w:r>
          </w:p>
        </w:tc>
        <w:tc>
          <w:tcPr>
            <w:tcW w:w="0" w:type="auto"/>
            <w:tcBorders>
              <w:top w:val="nil"/>
              <w:left w:val="nil"/>
              <w:bottom w:val="nil"/>
              <w:right w:val="nil"/>
            </w:tcBorders>
            <w:shd w:val="clear" w:color="auto" w:fill="FFFFFF"/>
            <w:noWrap/>
            <w:vAlign w:val="center"/>
          </w:tcPr>
          <w:p w14:paraId="72DFD51E">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5.89 (4.74, 7.10)</w:t>
            </w:r>
          </w:p>
        </w:tc>
        <w:tc>
          <w:tcPr>
            <w:tcW w:w="0" w:type="auto"/>
            <w:tcBorders>
              <w:top w:val="nil"/>
              <w:left w:val="nil"/>
              <w:bottom w:val="nil"/>
              <w:right w:val="nil"/>
            </w:tcBorders>
            <w:shd w:val="clear" w:color="auto" w:fill="FFFFFF"/>
            <w:noWrap/>
            <w:vAlign w:val="center"/>
          </w:tcPr>
          <w:p w14:paraId="0FFFD7C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484.51 (388.99, 581.33)</w:t>
            </w:r>
          </w:p>
        </w:tc>
        <w:tc>
          <w:tcPr>
            <w:tcW w:w="0" w:type="auto"/>
            <w:tcBorders>
              <w:top w:val="nil"/>
              <w:left w:val="nil"/>
              <w:bottom w:val="nil"/>
              <w:right w:val="nil"/>
            </w:tcBorders>
            <w:shd w:val="clear" w:color="auto" w:fill="FFFFFF"/>
            <w:noWrap/>
            <w:vAlign w:val="center"/>
          </w:tcPr>
          <w:p w14:paraId="6506057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479.82 (384.03, 579.82)</w:t>
            </w:r>
          </w:p>
        </w:tc>
        <w:tc>
          <w:tcPr>
            <w:tcW w:w="0" w:type="auto"/>
            <w:tcBorders>
              <w:top w:val="nil"/>
              <w:left w:val="nil"/>
              <w:bottom w:val="nil"/>
              <w:right w:val="nil"/>
            </w:tcBorders>
            <w:shd w:val="clear" w:color="auto" w:fill="FFFFFF"/>
            <w:noWrap/>
            <w:vAlign w:val="center"/>
          </w:tcPr>
          <w:p w14:paraId="330CC96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-0.00 (-0.02, 0.02)</w:t>
            </w:r>
          </w:p>
        </w:tc>
      </w:tr>
      <w:tr w14:paraId="13D7BBB4">
        <w:trPr>
          <w:trHeight w:val="336" w:hRule="atLeast"/>
        </w:trPr>
        <w:tc>
          <w:tcPr>
            <w:tcW w:w="0" w:type="auto"/>
            <w:vMerge w:val="continue"/>
            <w:tcBorders>
              <w:top w:val="nil"/>
              <w:left w:val="nil"/>
              <w:bottom w:val="nil"/>
              <w:right w:val="nil"/>
            </w:tcBorders>
            <w:shd w:val="clear" w:color="auto" w:fill="FFFFFF"/>
            <w:noWrap/>
            <w:vAlign w:val="center"/>
          </w:tcPr>
          <w:p w14:paraId="43E757F7">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1D26827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Developmental intellectual disability</w:t>
            </w:r>
          </w:p>
        </w:tc>
        <w:tc>
          <w:tcPr>
            <w:tcW w:w="0" w:type="auto"/>
            <w:tcBorders>
              <w:top w:val="nil"/>
              <w:left w:val="nil"/>
              <w:bottom w:val="nil"/>
              <w:right w:val="nil"/>
            </w:tcBorders>
            <w:shd w:val="clear" w:color="auto" w:fill="FFFFFF"/>
            <w:noWrap/>
            <w:vAlign w:val="center"/>
          </w:tcPr>
          <w:p w14:paraId="6967B9A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12.18 (9.09, 15.36)</w:t>
            </w:r>
          </w:p>
        </w:tc>
        <w:tc>
          <w:tcPr>
            <w:tcW w:w="0" w:type="auto"/>
            <w:tcBorders>
              <w:top w:val="nil"/>
              <w:left w:val="nil"/>
              <w:bottom w:val="nil"/>
              <w:right w:val="nil"/>
            </w:tcBorders>
            <w:shd w:val="clear" w:color="auto" w:fill="FFFFFF"/>
            <w:noWrap/>
            <w:vAlign w:val="center"/>
          </w:tcPr>
          <w:p w14:paraId="4B499B1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12.52 (9.67, 15.66)</w:t>
            </w:r>
          </w:p>
        </w:tc>
        <w:tc>
          <w:tcPr>
            <w:tcW w:w="0" w:type="auto"/>
            <w:tcBorders>
              <w:top w:val="nil"/>
              <w:left w:val="nil"/>
              <w:bottom w:val="nil"/>
              <w:right w:val="nil"/>
            </w:tcBorders>
            <w:shd w:val="clear" w:color="auto" w:fill="FFFFFF"/>
            <w:noWrap/>
            <w:vAlign w:val="center"/>
          </w:tcPr>
          <w:p w14:paraId="61CF0137">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1264.47 (943.71, 1593.08)</w:t>
            </w:r>
          </w:p>
        </w:tc>
        <w:tc>
          <w:tcPr>
            <w:tcW w:w="0" w:type="auto"/>
            <w:tcBorders>
              <w:top w:val="nil"/>
              <w:left w:val="nil"/>
              <w:bottom w:val="nil"/>
              <w:right w:val="nil"/>
            </w:tcBorders>
            <w:shd w:val="clear" w:color="auto" w:fill="FFFFFF"/>
            <w:noWrap/>
            <w:vAlign w:val="center"/>
          </w:tcPr>
          <w:p w14:paraId="5D6E8899">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1157.91 (888.08, 1452.24)</w:t>
            </w:r>
          </w:p>
        </w:tc>
        <w:tc>
          <w:tcPr>
            <w:tcW w:w="0" w:type="auto"/>
            <w:tcBorders>
              <w:top w:val="nil"/>
              <w:left w:val="nil"/>
              <w:bottom w:val="nil"/>
              <w:right w:val="nil"/>
            </w:tcBorders>
            <w:shd w:val="clear" w:color="auto" w:fill="FFFFFF"/>
            <w:noWrap/>
            <w:vAlign w:val="center"/>
          </w:tcPr>
          <w:p w14:paraId="747B4BD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-0.27 (-0.29, -0.26)</w:t>
            </w:r>
          </w:p>
        </w:tc>
        <w:tc>
          <w:tcPr>
            <w:tcW w:w="0" w:type="auto"/>
            <w:tcBorders>
              <w:top w:val="nil"/>
              <w:left w:val="nil"/>
              <w:bottom w:val="nil"/>
              <w:right w:val="nil"/>
            </w:tcBorders>
            <w:shd w:val="clear" w:color="auto" w:fill="FFFFFF"/>
            <w:noWrap/>
            <w:vAlign w:val="center"/>
          </w:tcPr>
          <w:p w14:paraId="391882E4">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0.99 (0.66, 1.41)</w:t>
            </w:r>
          </w:p>
        </w:tc>
        <w:tc>
          <w:tcPr>
            <w:tcW w:w="0" w:type="auto"/>
            <w:tcBorders>
              <w:top w:val="nil"/>
              <w:left w:val="nil"/>
              <w:bottom w:val="nil"/>
              <w:right w:val="nil"/>
            </w:tcBorders>
            <w:shd w:val="clear" w:color="auto" w:fill="FFFFFF"/>
            <w:noWrap/>
            <w:vAlign w:val="center"/>
          </w:tcPr>
          <w:p w14:paraId="7C62494E">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1.05 (0.71, 1.48)</w:t>
            </w:r>
          </w:p>
        </w:tc>
        <w:tc>
          <w:tcPr>
            <w:tcW w:w="0" w:type="auto"/>
            <w:tcBorders>
              <w:top w:val="nil"/>
              <w:left w:val="nil"/>
              <w:bottom w:val="nil"/>
              <w:right w:val="nil"/>
            </w:tcBorders>
            <w:shd w:val="clear" w:color="auto" w:fill="FFFFFF"/>
            <w:noWrap/>
            <w:vAlign w:val="center"/>
          </w:tcPr>
          <w:p w14:paraId="61A3256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103.16 (68.48, 146.36)</w:t>
            </w:r>
          </w:p>
        </w:tc>
        <w:tc>
          <w:tcPr>
            <w:tcW w:w="0" w:type="auto"/>
            <w:tcBorders>
              <w:top w:val="nil"/>
              <w:left w:val="nil"/>
              <w:bottom w:val="nil"/>
              <w:right w:val="nil"/>
            </w:tcBorders>
            <w:shd w:val="clear" w:color="auto" w:fill="FFFFFF"/>
            <w:noWrap/>
            <w:vAlign w:val="center"/>
          </w:tcPr>
          <w:p w14:paraId="4ADFBC9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97.27 (65.70, 136.93)</w:t>
            </w:r>
          </w:p>
        </w:tc>
        <w:tc>
          <w:tcPr>
            <w:tcW w:w="0" w:type="auto"/>
            <w:tcBorders>
              <w:top w:val="nil"/>
              <w:left w:val="nil"/>
              <w:bottom w:val="nil"/>
              <w:right w:val="nil"/>
            </w:tcBorders>
            <w:shd w:val="clear" w:color="auto" w:fill="FFFFFF"/>
            <w:noWrap/>
            <w:vAlign w:val="center"/>
          </w:tcPr>
          <w:p w14:paraId="045389B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-0.17 (-0.19, -0.14)</w:t>
            </w:r>
          </w:p>
        </w:tc>
      </w:tr>
      <w:tr w14:paraId="37EF1E4B">
        <w:trPr>
          <w:trHeight w:val="336" w:hRule="atLeast"/>
        </w:trPr>
        <w:tc>
          <w:tcPr>
            <w:tcW w:w="0" w:type="auto"/>
            <w:vMerge w:val="continue"/>
            <w:tcBorders>
              <w:top w:val="nil"/>
              <w:left w:val="nil"/>
              <w:bottom w:val="nil"/>
              <w:right w:val="nil"/>
            </w:tcBorders>
            <w:shd w:val="clear" w:color="auto" w:fill="FFFFFF"/>
            <w:noWrap/>
            <w:vAlign w:val="center"/>
          </w:tcPr>
          <w:p w14:paraId="5648AA07">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bottom w:val="nil"/>
              <w:right w:val="nil"/>
            </w:tcBorders>
            <w:shd w:val="clear" w:color="auto" w:fill="FFFFFF"/>
            <w:noWrap/>
            <w:vAlign w:val="center"/>
          </w:tcPr>
          <w:p w14:paraId="3CAFACE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Schizophrenia</w:t>
            </w:r>
          </w:p>
        </w:tc>
        <w:tc>
          <w:tcPr>
            <w:tcW w:w="0" w:type="auto"/>
            <w:tcBorders>
              <w:top w:val="nil"/>
              <w:left w:val="nil"/>
              <w:bottom w:val="nil"/>
              <w:right w:val="nil"/>
            </w:tcBorders>
            <w:shd w:val="clear" w:color="auto" w:fill="FFFFFF"/>
            <w:noWrap/>
            <w:vAlign w:val="center"/>
          </w:tcPr>
          <w:p w14:paraId="3A880184">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3.25 (2.72, 3.83)</w:t>
            </w:r>
          </w:p>
        </w:tc>
        <w:tc>
          <w:tcPr>
            <w:tcW w:w="0" w:type="auto"/>
            <w:tcBorders>
              <w:top w:val="nil"/>
              <w:left w:val="nil"/>
              <w:bottom w:val="nil"/>
              <w:right w:val="nil"/>
            </w:tcBorders>
            <w:shd w:val="clear" w:color="auto" w:fill="FFFFFF"/>
            <w:noWrap/>
            <w:vAlign w:val="center"/>
          </w:tcPr>
          <w:p w14:paraId="0EAEED43">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4.10 (3.47, 4.79)</w:t>
            </w:r>
          </w:p>
        </w:tc>
        <w:tc>
          <w:tcPr>
            <w:tcW w:w="0" w:type="auto"/>
            <w:tcBorders>
              <w:top w:val="nil"/>
              <w:left w:val="nil"/>
              <w:bottom w:val="nil"/>
              <w:right w:val="nil"/>
            </w:tcBorders>
            <w:shd w:val="clear" w:color="auto" w:fill="FFFFFF"/>
            <w:noWrap/>
            <w:vAlign w:val="center"/>
          </w:tcPr>
          <w:p w14:paraId="67D0E1AE">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290.78 (242.68, 342.41)</w:t>
            </w:r>
          </w:p>
        </w:tc>
        <w:tc>
          <w:tcPr>
            <w:tcW w:w="0" w:type="auto"/>
            <w:tcBorders>
              <w:top w:val="nil"/>
              <w:left w:val="nil"/>
              <w:bottom w:val="nil"/>
              <w:right w:val="nil"/>
            </w:tcBorders>
            <w:shd w:val="clear" w:color="auto" w:fill="FFFFFF"/>
            <w:noWrap/>
            <w:vAlign w:val="center"/>
          </w:tcPr>
          <w:p w14:paraId="536EAED8">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288.23 (240.77, 340.23)</w:t>
            </w:r>
          </w:p>
        </w:tc>
        <w:tc>
          <w:tcPr>
            <w:tcW w:w="0" w:type="auto"/>
            <w:tcBorders>
              <w:top w:val="nil"/>
              <w:left w:val="nil"/>
              <w:bottom w:val="nil"/>
              <w:right w:val="nil"/>
            </w:tcBorders>
            <w:shd w:val="clear" w:color="auto" w:fill="FFFFFF"/>
            <w:noWrap/>
            <w:vAlign w:val="center"/>
          </w:tcPr>
          <w:p w14:paraId="58367E1E">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0.01 (-0.02, 0.04)</w:t>
            </w:r>
          </w:p>
        </w:tc>
        <w:tc>
          <w:tcPr>
            <w:tcW w:w="0" w:type="auto"/>
            <w:tcBorders>
              <w:top w:val="nil"/>
              <w:left w:val="nil"/>
              <w:bottom w:val="nil"/>
              <w:right w:val="nil"/>
            </w:tcBorders>
            <w:shd w:val="clear" w:color="auto" w:fill="FFFFFF"/>
            <w:noWrap/>
            <w:vAlign w:val="center"/>
          </w:tcPr>
          <w:p w14:paraId="3D912315">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2.07 (1.54, 2.65)</w:t>
            </w:r>
          </w:p>
        </w:tc>
        <w:tc>
          <w:tcPr>
            <w:tcW w:w="0" w:type="auto"/>
            <w:tcBorders>
              <w:top w:val="nil"/>
              <w:left w:val="nil"/>
              <w:bottom w:val="nil"/>
              <w:right w:val="nil"/>
            </w:tcBorders>
            <w:shd w:val="clear" w:color="auto" w:fill="FFFFFF"/>
            <w:noWrap/>
            <w:vAlign w:val="center"/>
          </w:tcPr>
          <w:p w14:paraId="03FBC2D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2.58 (1.91, 3.27)</w:t>
            </w:r>
          </w:p>
        </w:tc>
        <w:tc>
          <w:tcPr>
            <w:tcW w:w="0" w:type="auto"/>
            <w:tcBorders>
              <w:top w:val="nil"/>
              <w:left w:val="nil"/>
              <w:bottom w:val="nil"/>
              <w:right w:val="nil"/>
            </w:tcBorders>
            <w:shd w:val="clear" w:color="auto" w:fill="FFFFFF"/>
            <w:noWrap/>
            <w:vAlign w:val="center"/>
          </w:tcPr>
          <w:p w14:paraId="6C6E35E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185.82 (138.40, 238.16)</w:t>
            </w:r>
          </w:p>
        </w:tc>
        <w:tc>
          <w:tcPr>
            <w:tcW w:w="0" w:type="auto"/>
            <w:tcBorders>
              <w:top w:val="nil"/>
              <w:left w:val="nil"/>
              <w:bottom w:val="nil"/>
              <w:right w:val="nil"/>
            </w:tcBorders>
            <w:shd w:val="clear" w:color="auto" w:fill="FFFFFF"/>
            <w:noWrap/>
            <w:vAlign w:val="center"/>
          </w:tcPr>
          <w:p w14:paraId="5B17A90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183.26 (136.62, 235.26)</w:t>
            </w:r>
          </w:p>
        </w:tc>
        <w:tc>
          <w:tcPr>
            <w:tcW w:w="0" w:type="auto"/>
            <w:tcBorders>
              <w:top w:val="nil"/>
              <w:left w:val="nil"/>
              <w:bottom w:val="nil"/>
              <w:right w:val="nil"/>
            </w:tcBorders>
            <w:shd w:val="clear" w:color="auto" w:fill="FFFFFF"/>
            <w:noWrap/>
            <w:vAlign w:val="center"/>
          </w:tcPr>
          <w:p w14:paraId="35BD3D8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0.00 (-0.03, 0.04)</w:t>
            </w:r>
          </w:p>
        </w:tc>
      </w:tr>
      <w:tr w14:paraId="0A972C81">
        <w:trPr>
          <w:trHeight w:val="336" w:hRule="atLeast"/>
        </w:trPr>
        <w:tc>
          <w:tcPr>
            <w:tcW w:w="0" w:type="auto"/>
            <w:vMerge w:val="continue"/>
            <w:tcBorders>
              <w:top w:val="nil"/>
              <w:left w:val="nil"/>
              <w:right w:val="nil"/>
            </w:tcBorders>
            <w:shd w:val="clear" w:color="auto" w:fill="FFFFFF"/>
            <w:noWrap/>
            <w:vAlign w:val="center"/>
          </w:tcPr>
          <w:p w14:paraId="6B69F571">
            <w:pPr>
              <w:jc w:val="center"/>
              <w:rPr>
                <w:rFonts w:hint="default" w:ascii="Times New Roman Regular" w:hAnsi="Times New Roman Regular" w:eastAsia="Times New Roman Regular" w:cs="Times New Roman Regular"/>
                <w:color w:val="000000"/>
                <w:sz w:val="20"/>
                <w:szCs w:val="20"/>
              </w:rPr>
            </w:pPr>
          </w:p>
        </w:tc>
        <w:tc>
          <w:tcPr>
            <w:tcW w:w="0" w:type="auto"/>
            <w:tcBorders>
              <w:top w:val="nil"/>
              <w:left w:val="nil"/>
              <w:right w:val="nil"/>
            </w:tcBorders>
            <w:shd w:val="clear" w:color="auto" w:fill="FFFFFF"/>
            <w:noWrap/>
            <w:vAlign w:val="center"/>
          </w:tcPr>
          <w:p w14:paraId="5AF9D3D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Autism spectrum disorders</w:t>
            </w:r>
          </w:p>
        </w:tc>
        <w:tc>
          <w:tcPr>
            <w:tcW w:w="0" w:type="auto"/>
            <w:tcBorders>
              <w:top w:val="nil"/>
              <w:left w:val="nil"/>
              <w:right w:val="nil"/>
            </w:tcBorders>
            <w:shd w:val="clear" w:color="auto" w:fill="FFFFFF"/>
            <w:noWrap/>
            <w:vAlign w:val="center"/>
          </w:tcPr>
          <w:p w14:paraId="3D41504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10.21 (8.63, 11.99)</w:t>
            </w:r>
          </w:p>
        </w:tc>
        <w:tc>
          <w:tcPr>
            <w:tcW w:w="0" w:type="auto"/>
            <w:tcBorders>
              <w:top w:val="nil"/>
              <w:left w:val="nil"/>
              <w:right w:val="nil"/>
            </w:tcBorders>
            <w:shd w:val="clear" w:color="auto" w:fill="FFFFFF"/>
            <w:noWrap/>
            <w:vAlign w:val="center"/>
          </w:tcPr>
          <w:p w14:paraId="0DB2685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12.22 (10.27, 14.41)</w:t>
            </w:r>
          </w:p>
        </w:tc>
        <w:tc>
          <w:tcPr>
            <w:tcW w:w="0" w:type="auto"/>
            <w:tcBorders>
              <w:top w:val="nil"/>
              <w:left w:val="nil"/>
              <w:right w:val="nil"/>
            </w:tcBorders>
            <w:shd w:val="clear" w:color="auto" w:fill="FFFFFF"/>
            <w:noWrap/>
            <w:vAlign w:val="center"/>
          </w:tcPr>
          <w:p w14:paraId="1059F806">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1037.19 (876.11, 1217.07)</w:t>
            </w:r>
          </w:p>
        </w:tc>
        <w:tc>
          <w:tcPr>
            <w:tcW w:w="0" w:type="auto"/>
            <w:tcBorders>
              <w:top w:val="nil"/>
              <w:left w:val="nil"/>
              <w:right w:val="nil"/>
            </w:tcBorders>
            <w:shd w:val="clear" w:color="auto" w:fill="FFFFFF"/>
            <w:noWrap/>
            <w:vAlign w:val="center"/>
          </w:tcPr>
          <w:p w14:paraId="668CC1EA">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1059.72 (891.16, 1244.68)</w:t>
            </w:r>
          </w:p>
        </w:tc>
        <w:tc>
          <w:tcPr>
            <w:tcW w:w="0" w:type="auto"/>
            <w:tcBorders>
              <w:top w:val="nil"/>
              <w:left w:val="nil"/>
              <w:right w:val="nil"/>
            </w:tcBorders>
            <w:shd w:val="clear" w:color="auto" w:fill="FFFFFF"/>
            <w:noWrap/>
            <w:vAlign w:val="center"/>
          </w:tcPr>
          <w:p w14:paraId="40F80FA4">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0.08 (0.07, 0.10)</w:t>
            </w:r>
          </w:p>
        </w:tc>
        <w:tc>
          <w:tcPr>
            <w:tcW w:w="0" w:type="auto"/>
            <w:tcBorders>
              <w:top w:val="nil"/>
              <w:left w:val="nil"/>
              <w:right w:val="nil"/>
            </w:tcBorders>
            <w:shd w:val="clear" w:color="auto" w:fill="FFFFFF"/>
            <w:noWrap/>
            <w:vAlign w:val="center"/>
          </w:tcPr>
          <w:p w14:paraId="077CD40F">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1.91 (1.31, 2.67)</w:t>
            </w:r>
          </w:p>
        </w:tc>
        <w:tc>
          <w:tcPr>
            <w:tcW w:w="0" w:type="auto"/>
            <w:tcBorders>
              <w:top w:val="nil"/>
              <w:left w:val="nil"/>
              <w:right w:val="nil"/>
            </w:tcBorders>
            <w:shd w:val="clear" w:color="auto" w:fill="FFFFFF"/>
            <w:noWrap/>
            <w:vAlign w:val="center"/>
          </w:tcPr>
          <w:p w14:paraId="5ADFEFE1">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2.26 (1.56, 3.16)</w:t>
            </w:r>
          </w:p>
        </w:tc>
        <w:tc>
          <w:tcPr>
            <w:tcW w:w="0" w:type="auto"/>
            <w:tcBorders>
              <w:top w:val="nil"/>
              <w:left w:val="nil"/>
              <w:right w:val="nil"/>
            </w:tcBorders>
            <w:shd w:val="clear" w:color="auto" w:fill="FFFFFF"/>
            <w:noWrap/>
            <w:vAlign w:val="center"/>
          </w:tcPr>
          <w:p w14:paraId="5C027FED">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195.52 (134.34, 273.32)</w:t>
            </w:r>
          </w:p>
        </w:tc>
        <w:tc>
          <w:tcPr>
            <w:tcW w:w="0" w:type="auto"/>
            <w:tcBorders>
              <w:top w:val="nil"/>
              <w:left w:val="nil"/>
              <w:right w:val="nil"/>
            </w:tcBorders>
            <w:shd w:val="clear" w:color="auto" w:fill="FFFFFF"/>
            <w:noWrap/>
            <w:vAlign w:val="center"/>
          </w:tcPr>
          <w:p w14:paraId="66F2843B">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199.28 (137.41, 278.07)</w:t>
            </w:r>
          </w:p>
        </w:tc>
        <w:tc>
          <w:tcPr>
            <w:tcW w:w="0" w:type="auto"/>
            <w:tcBorders>
              <w:top w:val="nil"/>
              <w:left w:val="nil"/>
              <w:right w:val="nil"/>
            </w:tcBorders>
            <w:shd w:val="clear" w:color="auto" w:fill="FFFFFF"/>
            <w:noWrap/>
            <w:vAlign w:val="center"/>
          </w:tcPr>
          <w:p w14:paraId="00C7C32C">
            <w:pPr>
              <w:widowControl/>
              <w:jc w:val="center"/>
              <w:textAlignment w:val="bottom"/>
              <w:rPr>
                <w:rFonts w:hint="default" w:ascii="Times New Roman Regular" w:hAnsi="Times New Roman Regular" w:eastAsia="Times New Roman Regular" w:cs="Times New Roman Regular"/>
                <w:color w:val="000000"/>
                <w:sz w:val="20"/>
                <w:szCs w:val="20"/>
              </w:rPr>
            </w:pPr>
            <w:r>
              <w:rPr>
                <w:rFonts w:hint="default" w:ascii="Times New Roman Regular" w:hAnsi="Times New Roman Regular" w:eastAsia="Times New Roman Regular" w:cs="Times New Roman Regular"/>
                <w:color w:val="000000"/>
                <w:kern w:val="0"/>
                <w:sz w:val="20"/>
                <w:szCs w:val="20"/>
                <w:lang w:bidi="ar"/>
              </w:rPr>
              <w:t>0.08 (0.06, 0.09)</w:t>
            </w:r>
          </w:p>
        </w:tc>
      </w:tr>
    </w:tbl>
    <w:p w14:paraId="263BEBC9">
      <w:pPr>
        <w:rPr>
          <w:rFonts w:ascii="Times New Roman" w:hAnsi="Times New Roman" w:cs="Times New Roman"/>
          <w:sz w:val="16"/>
          <w:szCs w:val="16"/>
        </w:rPr>
      </w:pPr>
    </w:p>
    <w:p w14:paraId="62F2CF4B">
      <w:pPr>
        <w:rPr>
          <w:rFonts w:ascii="Times New Roman" w:hAnsi="Times New Roman" w:cs="Times New Roman"/>
        </w:rPr>
      </w:pPr>
    </w:p>
    <w:p w14:paraId="39BBE120">
      <w:pPr>
        <w:rPr>
          <w:rFonts w:ascii="Times New Roman" w:hAnsi="Times New Roman" w:cs="Times New Roman"/>
        </w:rPr>
      </w:pPr>
    </w:p>
    <w:p w14:paraId="04685DB5">
      <w:pPr>
        <w:rPr>
          <w:rFonts w:ascii="Times New Roman" w:hAnsi="Times New Roman" w:cs="Times New Roman"/>
        </w:rPr>
      </w:pPr>
    </w:p>
    <w:p w14:paraId="441C4BC1">
      <w:pPr>
        <w:rPr>
          <w:rFonts w:ascii="Times New Roman" w:hAnsi="Times New Roman" w:cs="Times New Roman"/>
        </w:rPr>
      </w:pPr>
    </w:p>
    <w:p w14:paraId="5C3640D7">
      <w:pPr>
        <w:rPr>
          <w:rFonts w:ascii="Times New Roman" w:hAnsi="Times New Roman" w:cs="Times New Roman"/>
        </w:rPr>
      </w:pPr>
    </w:p>
    <w:p w14:paraId="44B09B2B">
      <w:pPr>
        <w:rPr>
          <w:rFonts w:ascii="Times New Roman" w:hAnsi="Times New Roman" w:cs="Times New Roman"/>
        </w:rPr>
      </w:pPr>
    </w:p>
    <w:p w14:paraId="3557E58D">
      <w:pPr>
        <w:rPr>
          <w:rFonts w:ascii="Times New Roman" w:hAnsi="Times New Roman" w:cs="Times New Roman"/>
        </w:rPr>
      </w:pPr>
    </w:p>
    <w:p w14:paraId="11703A6F">
      <w:pPr>
        <w:rPr>
          <w:rFonts w:ascii="Times New Roman" w:hAnsi="Times New Roman" w:cs="Times New Roman"/>
        </w:rPr>
      </w:pPr>
    </w:p>
    <w:p w14:paraId="179C48A5">
      <w:pPr>
        <w:rPr>
          <w:rFonts w:ascii="Times New Roman" w:hAnsi="Times New Roman" w:cs="Times New Roman"/>
        </w:rPr>
      </w:pPr>
    </w:p>
    <w:p w14:paraId="702121EA">
      <w:pPr>
        <w:rPr>
          <w:rFonts w:ascii="Times New Roman" w:hAnsi="Times New Roman" w:cs="Times New Roman"/>
        </w:rPr>
      </w:pPr>
    </w:p>
    <w:p w14:paraId="0F16DC6D">
      <w:pPr>
        <w:rPr>
          <w:rFonts w:ascii="Times New Roman" w:hAnsi="Times New Roman" w:cs="Times New Roman"/>
        </w:rPr>
      </w:pPr>
    </w:p>
    <w:p w14:paraId="453DA217">
      <w:pPr>
        <w:rPr>
          <w:rFonts w:ascii="Times New Roman" w:hAnsi="Times New Roman" w:cs="Times New Roman"/>
        </w:rPr>
      </w:pPr>
    </w:p>
    <w:p w14:paraId="21C25B60">
      <w:pPr>
        <w:rPr>
          <w:rFonts w:ascii="Times New Roman" w:hAnsi="Times New Roman" w:cs="Times New Roman"/>
        </w:rPr>
      </w:pPr>
    </w:p>
    <w:p w14:paraId="09C19485">
      <w:pPr>
        <w:rPr>
          <w:rFonts w:ascii="Times New Roman" w:hAnsi="Times New Roman" w:cs="Times New Roman"/>
        </w:rPr>
      </w:pPr>
    </w:p>
    <w:p w14:paraId="0CC3B6A7">
      <w:pPr>
        <w:rPr>
          <w:rFonts w:ascii="Times New Roman" w:hAnsi="Times New Roman" w:cs="Times New Roman"/>
        </w:rPr>
      </w:pPr>
    </w:p>
    <w:p w14:paraId="138C6CD9">
      <w:pPr>
        <w:rPr>
          <w:rFonts w:ascii="Times New Roman" w:hAnsi="Times New Roman" w:cs="Times New Roman"/>
        </w:rPr>
      </w:pPr>
    </w:p>
    <w:p w14:paraId="38F3DD68">
      <w:pPr>
        <w:rPr>
          <w:rFonts w:ascii="Times New Roman" w:hAnsi="Times New Roman" w:cs="Times New Roman"/>
        </w:rPr>
      </w:pPr>
    </w:p>
    <w:p w14:paraId="1656708A">
      <w:pPr>
        <w:rPr>
          <w:rFonts w:ascii="Times New Roman" w:hAnsi="Times New Roman" w:cs="Times New Roman"/>
        </w:rPr>
      </w:pPr>
    </w:p>
    <w:p w14:paraId="6D48B6AE">
      <w:pPr>
        <w:rPr>
          <w:rFonts w:ascii="Times New Roman" w:hAnsi="Times New Roman" w:cs="Times New Roman"/>
        </w:rPr>
      </w:pPr>
    </w:p>
    <w:p w14:paraId="0EA67B82">
      <w:pPr>
        <w:rPr>
          <w:rFonts w:ascii="Times New Roman" w:hAnsi="Times New Roman" w:cs="Times New Roman"/>
        </w:rPr>
      </w:pPr>
    </w:p>
    <w:p w14:paraId="1D0504DA">
      <w:pPr>
        <w:rPr>
          <w:rFonts w:ascii="Times New Roman" w:hAnsi="Times New Roman" w:cs="Times New Roman"/>
        </w:rPr>
      </w:pPr>
    </w:p>
    <w:p w14:paraId="5A9C9FF2">
      <w:pPr>
        <w:rPr>
          <w:rFonts w:ascii="Times New Roman" w:hAnsi="Times New Roman" w:cs="Times New Roman"/>
        </w:rPr>
      </w:pPr>
    </w:p>
    <w:p w14:paraId="715A70A4">
      <w:pPr>
        <w:rPr>
          <w:rFonts w:ascii="Times New Roman" w:hAnsi="Times New Roman" w:cs="Times New Roman"/>
        </w:rPr>
      </w:pPr>
    </w:p>
    <w:p w14:paraId="74F6DD85">
      <w:pPr>
        <w:rPr>
          <w:rFonts w:ascii="Times New Roman" w:hAnsi="Times New Roman" w:cs="Times New Roman"/>
        </w:rPr>
      </w:pPr>
    </w:p>
    <w:p w14:paraId="7BD4B8F7">
      <w:pPr>
        <w:rPr>
          <w:rFonts w:ascii="Times New Roman" w:hAnsi="Times New Roman" w:cs="Times New Roman"/>
        </w:rPr>
      </w:pPr>
    </w:p>
    <w:p w14:paraId="2780E5B6">
      <w:pPr>
        <w:rPr>
          <w:rFonts w:ascii="Times New Roman" w:hAnsi="Times New Roman" w:cs="Times New Roman"/>
        </w:rPr>
      </w:pPr>
    </w:p>
    <w:p w14:paraId="01AAB5D6">
      <w:pPr>
        <w:rPr>
          <w:rFonts w:ascii="Times New Roman" w:hAnsi="Times New Roman" w:cs="Times New Roman"/>
        </w:rPr>
      </w:pPr>
    </w:p>
    <w:p w14:paraId="67DC0791">
      <w:pPr>
        <w:rPr>
          <w:rFonts w:ascii="Times New Roman" w:hAnsi="Times New Roman" w:cs="Times New Roman"/>
        </w:rPr>
      </w:pPr>
    </w:p>
    <w:p w14:paraId="50A87634">
      <w:pPr>
        <w:rPr>
          <w:rFonts w:ascii="Times New Roman" w:hAnsi="Times New Roman" w:cs="Times New Roman"/>
        </w:rPr>
      </w:pPr>
    </w:p>
    <w:p w14:paraId="4CF553E4">
      <w:pPr>
        <w:rPr>
          <w:rFonts w:ascii="Times New Roman" w:hAnsi="Times New Roman" w:cs="Times New Roman"/>
        </w:rPr>
      </w:pPr>
    </w:p>
    <w:p w14:paraId="69FDAF26">
      <w:pPr>
        <w:rPr>
          <w:rFonts w:ascii="Times New Roman" w:hAnsi="Times New Roman" w:cs="Times New Roman"/>
        </w:rPr>
      </w:pPr>
    </w:p>
    <w:p w14:paraId="2A789CEA">
      <w:pPr>
        <w:pStyle w:val="29"/>
        <w:spacing w:before="156" w:after="156"/>
        <w:rPr>
          <w:rFonts w:ascii="Times New Roman" w:hAnsi="Times New Roman" w:cs="Times New Roman"/>
          <w:b/>
          <w:lang w:bidi="ar"/>
        </w:rPr>
      </w:pPr>
      <w:bookmarkStart w:id="32" w:name="_Toc1281885806"/>
      <w:r>
        <w:rPr>
          <w:rFonts w:ascii="Times New Roman" w:hAnsi="Times New Roman" w:cs="Times New Roman"/>
          <w:b/>
          <w:lang w:bidi="ar"/>
        </w:rPr>
        <w:t xml:space="preserve">Figure 1. </w:t>
      </w:r>
      <w:r>
        <w:rPr>
          <w:rFonts w:hint="eastAsia" w:ascii="Times New Roman" w:hAnsi="Times New Roman" w:cs="Times New Roman"/>
          <w:b/>
          <w:lang w:bidi="ar"/>
        </w:rPr>
        <w:t>Trends by Gender and Age Group,2021. (A)Prevalence of Mental disorders. (B) YLDs of Mental disorders</w:t>
      </w:r>
      <w:r>
        <w:rPr>
          <w:rFonts w:ascii="Times New Roman" w:hAnsi="Times New Roman" w:cs="Times New Roman"/>
          <w:b/>
          <w:lang w:bidi="ar"/>
        </w:rPr>
        <w:t>.</w:t>
      </w:r>
      <w:bookmarkEnd w:id="32"/>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2369F83C">
        <w:tc>
          <w:tcPr>
            <w:tcW w:w="0" w:type="auto"/>
            <w:tcBorders>
              <w:top w:val="nil"/>
              <w:left w:val="nil"/>
              <w:bottom w:val="nil"/>
              <w:right w:val="nil"/>
              <w:tl2br w:val="nil"/>
            </w:tcBorders>
            <w:shd w:val="clear" w:color="auto" w:fill="FFFFFF"/>
          </w:tcPr>
          <w:p w14:paraId="6059597B">
            <w:pPr>
              <w:pStyle w:val="32"/>
              <w:spacing w:line="360" w:lineRule="auto"/>
              <w:rPr>
                <w:rFonts w:ascii="Times New Roman" w:hAnsi="Times New Roman"/>
                <w:color w:val="000000"/>
                <w:sz w:val="24"/>
                <w:szCs w:val="24"/>
              </w:rPr>
            </w:pPr>
            <w:r>
              <w:rPr>
                <w:rFonts w:ascii="Times New Roman" w:hAnsi="Times New Roman"/>
                <w:color w:val="000000"/>
                <w:sz w:val="24"/>
                <w:szCs w:val="24"/>
              </w:rPr>
              <w:drawing>
                <wp:inline distT="0" distB="0" distL="0" distR="0">
                  <wp:extent cx="4865370" cy="3242310"/>
                  <wp:effectExtent l="0" t="0" r="11430" b="8890"/>
                  <wp:docPr id="633390822" name="图片 4" descr="/Users/zhaozhiwei/Library/Containers/com.kingsoft.wpsoffice.mac/Data/tmp/photoeditapp/20250523164031/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90822" name="图片 4" descr="/Users/zhaozhiwei/Library/Containers/com.kingsoft.wpsoffice.mac/Data/tmp/photoeditapp/20250523164031/temp.pngtemp"/>
                          <pic:cNvPicPr>
                            <a:picLocks noChangeAspect="1"/>
                          </pic:cNvPicPr>
                        </pic:nvPicPr>
                        <pic:blipFill>
                          <a:blip r:embed="rId5"/>
                          <a:stretch>
                            <a:fillRect/>
                          </a:stretch>
                        </pic:blipFill>
                        <pic:spPr>
                          <a:xfrm>
                            <a:off x="0" y="0"/>
                            <a:ext cx="4865370" cy="3242310"/>
                          </a:xfrm>
                          <a:prstGeom prst="rect">
                            <a:avLst/>
                          </a:prstGeom>
                        </pic:spPr>
                      </pic:pic>
                    </a:graphicData>
                  </a:graphic>
                </wp:inline>
              </w:drawing>
            </w:r>
          </w:p>
        </w:tc>
      </w:tr>
      <w:tr w14:paraId="1386C002">
        <w:tc>
          <w:tcPr>
            <w:tcW w:w="0" w:type="auto"/>
            <w:tcBorders>
              <w:top w:val="nil"/>
              <w:left w:val="nil"/>
              <w:bottom w:val="nil"/>
              <w:right w:val="nil"/>
            </w:tcBorders>
            <w:shd w:val="clear" w:color="auto" w:fill="FFFFFF"/>
          </w:tcPr>
          <w:p w14:paraId="6E9FFA92">
            <w:pPr>
              <w:pStyle w:val="32"/>
              <w:spacing w:line="360" w:lineRule="auto"/>
              <w:rPr>
                <w:rFonts w:ascii="Times New Roman" w:hAnsi="Times New Roman"/>
                <w:color w:val="000000"/>
                <w:sz w:val="24"/>
                <w:szCs w:val="24"/>
              </w:rPr>
            </w:pPr>
            <w:r>
              <w:rPr>
                <w:rFonts w:ascii="Times New Roman" w:hAnsi="Times New Roman"/>
                <w:color w:val="000000"/>
                <w:sz w:val="24"/>
                <w:szCs w:val="24"/>
              </w:rPr>
              <w:drawing>
                <wp:inline distT="0" distB="0" distL="0" distR="0">
                  <wp:extent cx="4820285" cy="3210560"/>
                  <wp:effectExtent l="0" t="0" r="5715" b="15240"/>
                  <wp:docPr id="662557375" name="图片 5" descr="/Users/zhaozhiwei/Library/Containers/com.kingsoft.wpsoffice.mac/Data/tmp/photoeditapp/2025052316412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57375" name="图片 5" descr="/Users/zhaozhiwei/Library/Containers/com.kingsoft.wpsoffice.mac/Data/tmp/photoeditapp/20250523164120/temp.pngtemp"/>
                          <pic:cNvPicPr>
                            <a:picLocks noChangeAspect="1"/>
                          </pic:cNvPicPr>
                        </pic:nvPicPr>
                        <pic:blipFill>
                          <a:blip r:embed="rId6"/>
                          <a:stretch>
                            <a:fillRect/>
                          </a:stretch>
                        </pic:blipFill>
                        <pic:spPr>
                          <a:xfrm>
                            <a:off x="0" y="0"/>
                            <a:ext cx="4820285" cy="3210560"/>
                          </a:xfrm>
                          <a:prstGeom prst="rect">
                            <a:avLst/>
                          </a:prstGeom>
                        </pic:spPr>
                      </pic:pic>
                    </a:graphicData>
                  </a:graphic>
                </wp:inline>
              </w:drawing>
            </w:r>
          </w:p>
        </w:tc>
      </w:tr>
    </w:tbl>
    <w:p w14:paraId="1B59FABC">
      <w:pPr>
        <w:rPr>
          <w:rFonts w:ascii="Times New Roman" w:hAnsi="Times New Roman" w:cs="Times New Roman"/>
        </w:rPr>
      </w:pPr>
    </w:p>
    <w:p w14:paraId="5926DD7C">
      <w:pPr>
        <w:rPr>
          <w:rFonts w:ascii="Times New Roman" w:hAnsi="Times New Roman" w:cs="Times New Roman"/>
        </w:rPr>
      </w:pPr>
    </w:p>
    <w:p w14:paraId="348326AA">
      <w:pPr>
        <w:rPr>
          <w:rFonts w:ascii="Times New Roman" w:hAnsi="Times New Roman" w:cs="Times New Roman"/>
        </w:rPr>
      </w:pPr>
    </w:p>
    <w:p w14:paraId="041B06CD">
      <w:pPr>
        <w:rPr>
          <w:rFonts w:ascii="Times New Roman" w:hAnsi="Times New Roman" w:cs="Times New Roman"/>
        </w:rPr>
      </w:pPr>
    </w:p>
    <w:p w14:paraId="456948AA">
      <w:pPr>
        <w:rPr>
          <w:rFonts w:ascii="Times New Roman" w:hAnsi="Times New Roman" w:cs="Times New Roman"/>
        </w:rPr>
      </w:pPr>
    </w:p>
    <w:p w14:paraId="28EC1352">
      <w:pPr>
        <w:rPr>
          <w:rFonts w:ascii="Times New Roman" w:hAnsi="Times New Roman" w:cs="Times New Roman"/>
        </w:rPr>
      </w:pPr>
    </w:p>
    <w:p w14:paraId="24C02C1A">
      <w:pPr>
        <w:rPr>
          <w:rFonts w:ascii="Times New Roman" w:hAnsi="Times New Roman" w:cs="Times New Roman"/>
        </w:rPr>
      </w:pPr>
    </w:p>
    <w:p w14:paraId="75BA9289">
      <w:pPr>
        <w:rPr>
          <w:rFonts w:ascii="Times New Roman" w:hAnsi="Times New Roman" w:cs="Times New Roman"/>
        </w:rPr>
      </w:pPr>
    </w:p>
    <w:p w14:paraId="329EC3A0">
      <w:pPr>
        <w:pStyle w:val="29"/>
        <w:spacing w:before="156" w:after="156"/>
        <w:rPr>
          <w:rFonts w:ascii="Times New Roman" w:hAnsi="Times New Roman" w:cs="Times New Roman"/>
          <w:b/>
          <w:szCs w:val="20"/>
          <w:lang w:bidi="ar"/>
        </w:rPr>
      </w:pPr>
      <w:bookmarkStart w:id="33" w:name="_Toc1782465017"/>
      <w:bookmarkStart w:id="34" w:name="_Toc1098794738"/>
      <w:r>
        <w:rPr>
          <w:rFonts w:ascii="Times New Roman" w:hAnsi="Times New Roman" w:cs="Times New Roman"/>
          <w:b/>
          <w:szCs w:val="20"/>
        </w:rPr>
        <w:t xml:space="preserve">Figure 2. </w:t>
      </w:r>
      <w:bookmarkEnd w:id="33"/>
      <w:r>
        <w:rPr>
          <w:rFonts w:hint="eastAsia" w:ascii="Times New Roman" w:hAnsi="Times New Roman" w:cs="Times New Roman"/>
          <w:b/>
          <w:lang w:bidi="ar"/>
        </w:rPr>
        <w:t xml:space="preserve">Trends by Gender and Age Group,2021. (A)Prevalence of </w:t>
      </w:r>
      <w:r>
        <w:rPr>
          <w:rFonts w:hint="default" w:ascii="Times New Roman" w:hAnsi="Times New Roman" w:cs="Times New Roman"/>
          <w:b/>
          <w:lang w:val="en-US" w:bidi="ar"/>
        </w:rPr>
        <w:t>Developmental Intellcetual Disability</w:t>
      </w:r>
      <w:r>
        <w:rPr>
          <w:rFonts w:hint="eastAsia" w:ascii="Times New Roman" w:hAnsi="Times New Roman" w:cs="Times New Roman"/>
          <w:b/>
          <w:lang w:bidi="ar"/>
        </w:rPr>
        <w:t xml:space="preserve">. (B) YLDs of </w:t>
      </w:r>
      <w:r>
        <w:rPr>
          <w:rFonts w:hint="default" w:ascii="Times New Roman" w:hAnsi="Times New Roman" w:cs="Times New Roman"/>
          <w:b/>
          <w:lang w:val="en-US" w:bidi="ar"/>
        </w:rPr>
        <w:t>Developmental Intellcetual Disability</w:t>
      </w:r>
      <w:r>
        <w:rPr>
          <w:rFonts w:ascii="Times New Roman" w:hAnsi="Times New Roman" w:cs="Times New Roman"/>
          <w:b/>
          <w:lang w:bidi="ar"/>
        </w:rPr>
        <w:t>.</w:t>
      </w:r>
      <w:bookmarkEnd w:id="34"/>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8522"/>
      </w:tblGrid>
      <w:tr w14:paraId="67DD526C">
        <w:tc>
          <w:tcPr>
            <w:tcW w:w="0" w:type="auto"/>
            <w:tcBorders>
              <w:top w:val="nil"/>
              <w:left w:val="nil"/>
              <w:bottom w:val="nil"/>
              <w:right w:val="nil"/>
              <w:tl2br w:val="nil"/>
            </w:tcBorders>
            <w:shd w:val="clear" w:color="auto" w:fill="FFFFFF"/>
          </w:tcPr>
          <w:p w14:paraId="0FC3A400">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2" name="图片 2" descr="/Users/zhaozhiwei/Library/Containers/com.kingsoft.wpsoffice.mac/Data/tmp/photoeditapp/20250608123051/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zhaozhiwei/Library/Containers/com.kingsoft.wpsoffice.mac/Data/tmp/photoeditapp/20250608123051/temp.pngtemp"/>
                          <pic:cNvPicPr>
                            <a:picLocks noChangeAspect="1"/>
                          </pic:cNvPicPr>
                        </pic:nvPicPr>
                        <pic:blipFill>
                          <a:blip r:embed="rId7"/>
                          <a:stretch>
                            <a:fillRect/>
                          </a:stretch>
                        </pic:blipFill>
                        <pic:spPr>
                          <a:xfrm>
                            <a:off x="0" y="0"/>
                            <a:ext cx="5269865" cy="3512185"/>
                          </a:xfrm>
                          <a:prstGeom prst="rect">
                            <a:avLst/>
                          </a:prstGeom>
                        </pic:spPr>
                      </pic:pic>
                    </a:graphicData>
                  </a:graphic>
                </wp:inline>
              </w:drawing>
            </w:r>
          </w:p>
        </w:tc>
      </w:tr>
      <w:tr w14:paraId="125DD94C">
        <w:tc>
          <w:tcPr>
            <w:tcW w:w="0" w:type="auto"/>
            <w:tcBorders>
              <w:top w:val="nil"/>
              <w:left w:val="nil"/>
              <w:bottom w:val="nil"/>
              <w:right w:val="nil"/>
            </w:tcBorders>
            <w:shd w:val="clear" w:color="auto" w:fill="FFFFFF"/>
          </w:tcPr>
          <w:p w14:paraId="53C0AFA3">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4" name="图片 4" descr="/Users/zhaozhiwei/Library/Containers/com.kingsoft.wpsoffice.mac/Data/tmp/photoeditapp/20250608123133/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Users/zhaozhiwei/Library/Containers/com.kingsoft.wpsoffice.mac/Data/tmp/photoeditapp/20250608123133/temp.pngtemp"/>
                          <pic:cNvPicPr>
                            <a:picLocks noChangeAspect="1"/>
                          </pic:cNvPicPr>
                        </pic:nvPicPr>
                        <pic:blipFill>
                          <a:blip r:embed="rId8"/>
                          <a:stretch>
                            <a:fillRect/>
                          </a:stretch>
                        </pic:blipFill>
                        <pic:spPr>
                          <a:xfrm>
                            <a:off x="0" y="0"/>
                            <a:ext cx="5269865" cy="3512185"/>
                          </a:xfrm>
                          <a:prstGeom prst="rect">
                            <a:avLst/>
                          </a:prstGeom>
                        </pic:spPr>
                      </pic:pic>
                    </a:graphicData>
                  </a:graphic>
                </wp:inline>
              </w:drawing>
            </w:r>
          </w:p>
        </w:tc>
      </w:tr>
    </w:tbl>
    <w:p w14:paraId="5F5885FE">
      <w:pPr>
        <w:rPr>
          <w:rFonts w:ascii="Times New Roman" w:hAnsi="Times New Roman" w:eastAsia="宋体" w:cs="Times New Roman"/>
          <w:b/>
          <w:bCs/>
          <w:kern w:val="0"/>
          <w:sz w:val="20"/>
          <w:szCs w:val="20"/>
          <w:lang w:bidi="ar"/>
        </w:rPr>
      </w:pPr>
    </w:p>
    <w:p w14:paraId="08132B19">
      <w:pPr>
        <w:rPr>
          <w:rFonts w:ascii="Times New Roman" w:hAnsi="Times New Roman" w:cs="Times New Roman"/>
          <w:b/>
          <w:bCs/>
          <w:sz w:val="20"/>
          <w:szCs w:val="20"/>
        </w:rPr>
      </w:pPr>
    </w:p>
    <w:p w14:paraId="68DED26E">
      <w:pPr>
        <w:rPr>
          <w:rFonts w:ascii="Times New Roman" w:hAnsi="Times New Roman" w:cs="Times New Roman"/>
          <w:b/>
          <w:bCs/>
          <w:sz w:val="20"/>
          <w:szCs w:val="20"/>
        </w:rPr>
      </w:pPr>
    </w:p>
    <w:p w14:paraId="2D8682A6">
      <w:pPr>
        <w:rPr>
          <w:rFonts w:ascii="Times New Roman" w:hAnsi="Times New Roman" w:cs="Times New Roman"/>
          <w:b/>
          <w:bCs/>
          <w:sz w:val="20"/>
          <w:szCs w:val="20"/>
        </w:rPr>
      </w:pPr>
    </w:p>
    <w:p w14:paraId="441C9CAF">
      <w:pPr>
        <w:rPr>
          <w:rFonts w:ascii="Times New Roman" w:hAnsi="Times New Roman" w:cs="Times New Roman"/>
          <w:b/>
          <w:bCs/>
          <w:sz w:val="20"/>
          <w:szCs w:val="20"/>
        </w:rPr>
      </w:pPr>
    </w:p>
    <w:p w14:paraId="3E535E1C">
      <w:pPr>
        <w:rPr>
          <w:rFonts w:ascii="Times New Roman" w:hAnsi="Times New Roman" w:cs="Times New Roman"/>
          <w:b/>
          <w:bCs/>
          <w:sz w:val="20"/>
          <w:szCs w:val="20"/>
        </w:rPr>
      </w:pPr>
    </w:p>
    <w:p w14:paraId="67EBEA36">
      <w:pPr>
        <w:pStyle w:val="29"/>
        <w:spacing w:before="156" w:after="156"/>
        <w:rPr>
          <w:rFonts w:ascii="Times New Roman" w:hAnsi="Times New Roman" w:cs="Times New Roman"/>
          <w:b/>
          <w:szCs w:val="20"/>
          <w:lang w:bidi="ar"/>
        </w:rPr>
      </w:pPr>
      <w:bookmarkStart w:id="35" w:name="_Toc492665069"/>
      <w:bookmarkStart w:id="36" w:name="_Toc1231281013"/>
      <w:r>
        <w:rPr>
          <w:rFonts w:ascii="Times New Roman" w:hAnsi="Times New Roman" w:cs="Times New Roman"/>
          <w:b/>
          <w:szCs w:val="20"/>
        </w:rPr>
        <w:t xml:space="preserve">Figure 3. </w:t>
      </w:r>
      <w:bookmarkEnd w:id="35"/>
      <w:r>
        <w:rPr>
          <w:rFonts w:hint="eastAsia" w:ascii="Times New Roman" w:hAnsi="Times New Roman" w:cs="Times New Roman"/>
          <w:b/>
          <w:lang w:bidi="ar"/>
        </w:rPr>
        <w:t xml:space="preserve">Trends by Gender and Age Group,2021. (A)Prevalence of </w:t>
      </w:r>
      <w:r>
        <w:rPr>
          <w:rFonts w:hint="default" w:ascii="Times New Roman" w:hAnsi="Times New Roman" w:cs="Times New Roman"/>
          <w:b/>
          <w:lang w:val="en-US" w:bidi="ar"/>
        </w:rPr>
        <w:t>Schizophrenia</w:t>
      </w:r>
      <w:r>
        <w:rPr>
          <w:rFonts w:hint="eastAsia" w:ascii="Times New Roman" w:hAnsi="Times New Roman" w:cs="Times New Roman"/>
          <w:b/>
          <w:lang w:bidi="ar"/>
        </w:rPr>
        <w:t xml:space="preserve">. (B) YLDs of </w:t>
      </w:r>
      <w:r>
        <w:rPr>
          <w:rFonts w:hint="default" w:ascii="Times New Roman" w:hAnsi="Times New Roman" w:cs="Times New Roman"/>
          <w:b/>
          <w:lang w:val="en-US" w:bidi="ar"/>
        </w:rPr>
        <w:t>Schizophrenia</w:t>
      </w:r>
      <w:r>
        <w:rPr>
          <w:rFonts w:ascii="Times New Roman" w:hAnsi="Times New Roman" w:cs="Times New Roman"/>
          <w:b/>
          <w:lang w:bidi="ar"/>
        </w:rPr>
        <w:t>.</w:t>
      </w:r>
      <w:bookmarkEnd w:id="36"/>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8522"/>
      </w:tblGrid>
      <w:tr w14:paraId="7D4E6403">
        <w:tc>
          <w:tcPr>
            <w:tcW w:w="0" w:type="auto"/>
            <w:tcBorders>
              <w:top w:val="nil"/>
              <w:left w:val="nil"/>
              <w:bottom w:val="nil"/>
              <w:right w:val="nil"/>
              <w:tl2br w:val="nil"/>
            </w:tcBorders>
            <w:shd w:val="clear" w:color="auto" w:fill="FFFFFF"/>
          </w:tcPr>
          <w:p w14:paraId="608514DF">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71" name="图片 71" descr="/Users/zhaozhiwei/Library/Containers/com.kingsoft.wpsoffice.mac/Data/tmp/photoeditapp/2025060812371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Users/zhaozhiwei/Library/Containers/com.kingsoft.wpsoffice.mac/Data/tmp/photoeditapp/20250608123717/temp.pngtemp"/>
                          <pic:cNvPicPr>
                            <a:picLocks noChangeAspect="1"/>
                          </pic:cNvPicPr>
                        </pic:nvPicPr>
                        <pic:blipFill>
                          <a:blip r:embed="rId9"/>
                          <a:stretch>
                            <a:fillRect/>
                          </a:stretch>
                        </pic:blipFill>
                        <pic:spPr>
                          <a:xfrm>
                            <a:off x="0" y="0"/>
                            <a:ext cx="5269865" cy="3512185"/>
                          </a:xfrm>
                          <a:prstGeom prst="rect">
                            <a:avLst/>
                          </a:prstGeom>
                        </pic:spPr>
                      </pic:pic>
                    </a:graphicData>
                  </a:graphic>
                </wp:inline>
              </w:drawing>
            </w:r>
          </w:p>
        </w:tc>
      </w:tr>
      <w:tr w14:paraId="30DB75E6">
        <w:tc>
          <w:tcPr>
            <w:tcW w:w="0" w:type="auto"/>
            <w:tcBorders>
              <w:top w:val="nil"/>
              <w:left w:val="nil"/>
              <w:bottom w:val="nil"/>
              <w:right w:val="nil"/>
            </w:tcBorders>
            <w:shd w:val="clear" w:color="auto" w:fill="FFFFFF"/>
          </w:tcPr>
          <w:p w14:paraId="492A793A">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72" name="图片 72" descr="/Users/zhaozhiwei/Library/Containers/com.kingsoft.wpsoffice.mac/Data/tmp/photoeditapp/20250608123801/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Users/zhaozhiwei/Library/Containers/com.kingsoft.wpsoffice.mac/Data/tmp/photoeditapp/20250608123801/temp.pngtemp"/>
                          <pic:cNvPicPr>
                            <a:picLocks noChangeAspect="1"/>
                          </pic:cNvPicPr>
                        </pic:nvPicPr>
                        <pic:blipFill>
                          <a:blip r:embed="rId10"/>
                          <a:stretch>
                            <a:fillRect/>
                          </a:stretch>
                        </pic:blipFill>
                        <pic:spPr>
                          <a:xfrm>
                            <a:off x="0" y="0"/>
                            <a:ext cx="5269865" cy="3512185"/>
                          </a:xfrm>
                          <a:prstGeom prst="rect">
                            <a:avLst/>
                          </a:prstGeom>
                        </pic:spPr>
                      </pic:pic>
                    </a:graphicData>
                  </a:graphic>
                </wp:inline>
              </w:drawing>
            </w:r>
          </w:p>
        </w:tc>
      </w:tr>
    </w:tbl>
    <w:p w14:paraId="66846E91">
      <w:pPr>
        <w:rPr>
          <w:rFonts w:ascii="Times New Roman" w:hAnsi="Times New Roman" w:eastAsia="宋体" w:cs="Times New Roman"/>
          <w:b/>
          <w:bCs/>
          <w:kern w:val="0"/>
          <w:sz w:val="20"/>
          <w:szCs w:val="20"/>
          <w:lang w:bidi="ar"/>
        </w:rPr>
      </w:pPr>
    </w:p>
    <w:p w14:paraId="6C7EA77E">
      <w:pPr>
        <w:rPr>
          <w:rFonts w:ascii="Times New Roman" w:hAnsi="Times New Roman" w:cs="Times New Roman"/>
          <w:b/>
          <w:bCs/>
          <w:sz w:val="20"/>
          <w:szCs w:val="20"/>
        </w:rPr>
      </w:pPr>
    </w:p>
    <w:p w14:paraId="51EC8FF9">
      <w:pPr>
        <w:rPr>
          <w:rFonts w:ascii="Times New Roman" w:hAnsi="Times New Roman" w:cs="Times New Roman"/>
          <w:b/>
          <w:bCs/>
          <w:sz w:val="20"/>
          <w:szCs w:val="20"/>
        </w:rPr>
      </w:pPr>
    </w:p>
    <w:p w14:paraId="7B5C1F64">
      <w:pPr>
        <w:rPr>
          <w:rFonts w:ascii="Times New Roman" w:hAnsi="Times New Roman" w:cs="Times New Roman"/>
          <w:b/>
          <w:bCs/>
          <w:sz w:val="20"/>
          <w:szCs w:val="20"/>
        </w:rPr>
      </w:pPr>
    </w:p>
    <w:p w14:paraId="0DB504ED">
      <w:pPr>
        <w:rPr>
          <w:rFonts w:ascii="Times New Roman" w:hAnsi="Times New Roman" w:cs="Times New Roman"/>
          <w:b/>
          <w:bCs/>
          <w:sz w:val="20"/>
          <w:szCs w:val="20"/>
        </w:rPr>
      </w:pPr>
    </w:p>
    <w:p w14:paraId="1C8F2E44">
      <w:pPr>
        <w:rPr>
          <w:rFonts w:ascii="Times New Roman" w:hAnsi="Times New Roman" w:cs="Times New Roman"/>
          <w:b/>
          <w:bCs/>
          <w:sz w:val="20"/>
          <w:szCs w:val="20"/>
        </w:rPr>
      </w:pPr>
    </w:p>
    <w:p w14:paraId="13042B91">
      <w:pPr>
        <w:pStyle w:val="29"/>
        <w:spacing w:before="156" w:after="156"/>
        <w:rPr>
          <w:rFonts w:ascii="Times New Roman" w:hAnsi="Times New Roman" w:cs="Times New Roman"/>
          <w:b/>
          <w:szCs w:val="20"/>
          <w:lang w:bidi="ar"/>
        </w:rPr>
      </w:pPr>
      <w:bookmarkStart w:id="37" w:name="_Toc1672355498"/>
      <w:bookmarkStart w:id="38" w:name="_Toc987562999"/>
      <w:r>
        <w:rPr>
          <w:rFonts w:ascii="Times New Roman" w:hAnsi="Times New Roman" w:cs="Times New Roman"/>
          <w:b/>
          <w:szCs w:val="20"/>
        </w:rPr>
        <w:t xml:space="preserve">Figure 4. </w:t>
      </w:r>
      <w:r>
        <w:rPr>
          <w:rFonts w:hint="eastAsia" w:ascii="Times New Roman" w:hAnsi="Times New Roman" w:cs="Times New Roman"/>
          <w:b/>
          <w:lang w:bidi="ar"/>
        </w:rPr>
        <w:t xml:space="preserve">Trends by Gender and Age Group,2021. (A)Prevalence of </w:t>
      </w:r>
      <w:r>
        <w:rPr>
          <w:rFonts w:hint="default" w:ascii="Times New Roman" w:hAnsi="Times New Roman" w:cs="Times New Roman"/>
          <w:b/>
          <w:lang w:val="en-US" w:bidi="ar"/>
        </w:rPr>
        <w:t>Autism Spectrum Disorders</w:t>
      </w:r>
      <w:r>
        <w:rPr>
          <w:rFonts w:hint="eastAsia" w:ascii="Times New Roman" w:hAnsi="Times New Roman" w:cs="Times New Roman"/>
          <w:b/>
          <w:lang w:bidi="ar"/>
        </w:rPr>
        <w:t xml:space="preserve">. (B) YLDs of </w:t>
      </w:r>
      <w:bookmarkEnd w:id="37"/>
      <w:r>
        <w:rPr>
          <w:rFonts w:hint="eastAsia" w:ascii="Times New Roman" w:hAnsi="Times New Roman" w:cs="Times New Roman"/>
          <w:b/>
          <w:lang w:bidi="ar"/>
        </w:rPr>
        <w:t xml:space="preserve">Prevalence of </w:t>
      </w:r>
      <w:r>
        <w:rPr>
          <w:rFonts w:hint="default" w:ascii="Times New Roman" w:hAnsi="Times New Roman" w:cs="Times New Roman"/>
          <w:b/>
          <w:lang w:val="en-US" w:bidi="ar"/>
        </w:rPr>
        <w:t>Autism Spectrum Disorders</w:t>
      </w:r>
      <w:r>
        <w:rPr>
          <w:rFonts w:hint="eastAsia" w:ascii="Times New Roman" w:hAnsi="Times New Roman" w:cs="Times New Roman"/>
          <w:b/>
          <w:lang w:bidi="ar"/>
        </w:rPr>
        <w:t>.</w:t>
      </w:r>
      <w:bookmarkEnd w:id="38"/>
      <w:r>
        <w:rPr>
          <w:rFonts w:hint="eastAsia" w:ascii="Times New Roman" w:hAnsi="Times New Roman" w:cs="Times New Roman"/>
          <w:b/>
          <w:lang w:bidi="ar"/>
        </w:rPr>
        <w:t xml:space="preserve"> </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8522"/>
      </w:tblGrid>
      <w:tr w14:paraId="626EF0C3">
        <w:tc>
          <w:tcPr>
            <w:tcW w:w="0" w:type="auto"/>
            <w:tcBorders>
              <w:top w:val="nil"/>
              <w:left w:val="nil"/>
              <w:bottom w:val="nil"/>
              <w:right w:val="nil"/>
              <w:tl2br w:val="nil"/>
            </w:tcBorders>
            <w:shd w:val="clear" w:color="auto" w:fill="FFFFFF"/>
          </w:tcPr>
          <w:p w14:paraId="4670C8FF">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73" name="图片 73" descr="/Users/zhaozhiwei/Library/Containers/com.kingsoft.wpsoffice.mac/Data/tmp/photoeditapp/2025060812413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Users/zhaozhiwei/Library/Containers/com.kingsoft.wpsoffice.mac/Data/tmp/photoeditapp/20250608124139/temp.pngtemp"/>
                          <pic:cNvPicPr>
                            <a:picLocks noChangeAspect="1"/>
                          </pic:cNvPicPr>
                        </pic:nvPicPr>
                        <pic:blipFill>
                          <a:blip r:embed="rId11"/>
                          <a:stretch>
                            <a:fillRect/>
                          </a:stretch>
                        </pic:blipFill>
                        <pic:spPr>
                          <a:xfrm>
                            <a:off x="0" y="0"/>
                            <a:ext cx="5269865" cy="3512185"/>
                          </a:xfrm>
                          <a:prstGeom prst="rect">
                            <a:avLst/>
                          </a:prstGeom>
                        </pic:spPr>
                      </pic:pic>
                    </a:graphicData>
                  </a:graphic>
                </wp:inline>
              </w:drawing>
            </w:r>
          </w:p>
        </w:tc>
      </w:tr>
      <w:tr w14:paraId="693351E2">
        <w:tc>
          <w:tcPr>
            <w:tcW w:w="0" w:type="auto"/>
            <w:tcBorders>
              <w:top w:val="nil"/>
              <w:left w:val="nil"/>
              <w:bottom w:val="nil"/>
              <w:right w:val="nil"/>
            </w:tcBorders>
            <w:shd w:val="clear" w:color="auto" w:fill="FFFFFF"/>
          </w:tcPr>
          <w:p w14:paraId="2670A952">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74" name="图片 74" descr="/Users/zhaozhiwei/Library/Containers/com.kingsoft.wpsoffice.mac/Data/tmp/photoeditapp/2025060812421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Users/zhaozhiwei/Library/Containers/com.kingsoft.wpsoffice.mac/Data/tmp/photoeditapp/20250608124217/temp.pngtemp"/>
                          <pic:cNvPicPr>
                            <a:picLocks noChangeAspect="1"/>
                          </pic:cNvPicPr>
                        </pic:nvPicPr>
                        <pic:blipFill>
                          <a:blip r:embed="rId12"/>
                          <a:stretch>
                            <a:fillRect/>
                          </a:stretch>
                        </pic:blipFill>
                        <pic:spPr>
                          <a:xfrm>
                            <a:off x="0" y="0"/>
                            <a:ext cx="5269865" cy="3512185"/>
                          </a:xfrm>
                          <a:prstGeom prst="rect">
                            <a:avLst/>
                          </a:prstGeom>
                        </pic:spPr>
                      </pic:pic>
                    </a:graphicData>
                  </a:graphic>
                </wp:inline>
              </w:drawing>
            </w:r>
          </w:p>
        </w:tc>
      </w:tr>
    </w:tbl>
    <w:p w14:paraId="2F70F156">
      <w:pPr>
        <w:rPr>
          <w:rFonts w:ascii="Times New Roman" w:hAnsi="Times New Roman" w:eastAsia="宋体" w:cs="Times New Roman"/>
          <w:b/>
          <w:bCs/>
          <w:kern w:val="0"/>
          <w:sz w:val="20"/>
          <w:szCs w:val="20"/>
          <w:lang w:bidi="ar"/>
        </w:rPr>
      </w:pPr>
    </w:p>
    <w:p w14:paraId="6FDBB361">
      <w:pPr>
        <w:rPr>
          <w:rFonts w:ascii="Times New Roman" w:hAnsi="Times New Roman" w:cs="Times New Roman"/>
          <w:b/>
          <w:bCs/>
          <w:sz w:val="20"/>
          <w:szCs w:val="20"/>
        </w:rPr>
      </w:pPr>
    </w:p>
    <w:p w14:paraId="5A7D7AC9">
      <w:pPr>
        <w:rPr>
          <w:rFonts w:ascii="Times New Roman" w:hAnsi="Times New Roman" w:cs="Times New Roman"/>
          <w:b/>
          <w:bCs/>
          <w:sz w:val="20"/>
          <w:szCs w:val="20"/>
        </w:rPr>
      </w:pPr>
    </w:p>
    <w:p w14:paraId="1ADC5640">
      <w:pPr>
        <w:rPr>
          <w:rFonts w:ascii="Times New Roman" w:hAnsi="Times New Roman" w:cs="Times New Roman"/>
          <w:b/>
          <w:bCs/>
          <w:sz w:val="20"/>
          <w:szCs w:val="20"/>
        </w:rPr>
      </w:pPr>
    </w:p>
    <w:p w14:paraId="11E597F0">
      <w:pPr>
        <w:rPr>
          <w:rFonts w:ascii="Times New Roman" w:hAnsi="Times New Roman" w:cs="Times New Roman"/>
          <w:b/>
          <w:bCs/>
          <w:sz w:val="20"/>
          <w:szCs w:val="20"/>
        </w:rPr>
      </w:pPr>
    </w:p>
    <w:p w14:paraId="7F3E2BAB">
      <w:pPr>
        <w:rPr>
          <w:rFonts w:ascii="Times New Roman" w:hAnsi="Times New Roman" w:cs="Times New Roman"/>
          <w:b/>
          <w:bCs/>
          <w:sz w:val="20"/>
          <w:szCs w:val="20"/>
        </w:rPr>
      </w:pPr>
    </w:p>
    <w:p w14:paraId="0FF8069F">
      <w:pPr>
        <w:pStyle w:val="29"/>
        <w:spacing w:before="156" w:after="156"/>
        <w:rPr>
          <w:rFonts w:ascii="Times New Roman" w:hAnsi="Times New Roman" w:cs="Times New Roman"/>
          <w:b/>
          <w:szCs w:val="20"/>
          <w:lang w:bidi="ar"/>
        </w:rPr>
      </w:pPr>
      <w:bookmarkStart w:id="39" w:name="_Toc1012882950"/>
      <w:bookmarkStart w:id="40" w:name="_Toc70216530"/>
      <w:r>
        <w:rPr>
          <w:rFonts w:ascii="Times New Roman" w:hAnsi="Times New Roman" w:cs="Times New Roman"/>
          <w:b/>
          <w:szCs w:val="20"/>
        </w:rPr>
        <w:t xml:space="preserve">Figure 5. </w:t>
      </w:r>
      <w:r>
        <w:rPr>
          <w:rFonts w:hint="eastAsia" w:ascii="Times New Roman" w:hAnsi="Times New Roman" w:cs="Times New Roman"/>
          <w:b/>
          <w:szCs w:val="20"/>
        </w:rPr>
        <w:t>Different GBD Region Burden of Mental Disorders and Related Conditions Among Both Sexes, 1990–2021. (A)ASR Prevalence of Mental Disorders. (B)ASR YLDs of Mental Disorders</w:t>
      </w:r>
      <w:r>
        <w:rPr>
          <w:rFonts w:ascii="Times New Roman" w:hAnsi="Times New Roman" w:cs="Times New Roman"/>
          <w:b/>
          <w:szCs w:val="20"/>
          <w:lang w:bidi="ar"/>
        </w:rPr>
        <w:t>.</w:t>
      </w:r>
      <w:bookmarkEnd w:id="39"/>
      <w:bookmarkEnd w:id="40"/>
    </w:p>
    <w:p w14:paraId="391697E9">
      <w:pPr>
        <w:rPr>
          <w:rFonts w:hint="default" w:ascii="Times New Roman" w:hAnsi="Times New Roman" w:eastAsia="宋体" w:cs="Times New Roman"/>
          <w:b/>
          <w:bCs/>
          <w:kern w:val="0"/>
          <w:sz w:val="20"/>
          <w:szCs w:val="20"/>
          <w:lang w:val="en-US" w:bidi="ar"/>
        </w:rPr>
      </w:pPr>
      <w:r>
        <w:rPr>
          <w:rFonts w:hint="default" w:ascii="Times New Roman" w:hAnsi="Times New Roman" w:eastAsia="宋体" w:cs="Times New Roman"/>
          <w:b/>
          <w:bCs/>
          <w:kern w:val="0"/>
          <w:sz w:val="20"/>
          <w:szCs w:val="20"/>
          <w:lang w:val="en-US" w:bidi="ar"/>
        </w:rPr>
        <w:drawing>
          <wp:inline distT="0" distB="0" distL="114300" distR="114300">
            <wp:extent cx="5273675" cy="2929890"/>
            <wp:effectExtent l="0" t="0" r="9525" b="16510"/>
            <wp:docPr id="76" name="图片 76" descr="Trend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Trend_00"/>
                    <pic:cNvPicPr>
                      <a:picLocks noChangeAspect="1"/>
                    </pic:cNvPicPr>
                  </pic:nvPicPr>
                  <pic:blipFill>
                    <a:blip r:embed="rId13"/>
                    <a:stretch>
                      <a:fillRect/>
                    </a:stretch>
                  </pic:blipFill>
                  <pic:spPr>
                    <a:xfrm>
                      <a:off x="0" y="0"/>
                      <a:ext cx="5273675" cy="2929890"/>
                    </a:xfrm>
                    <a:prstGeom prst="rect">
                      <a:avLst/>
                    </a:prstGeom>
                  </pic:spPr>
                </pic:pic>
              </a:graphicData>
            </a:graphic>
          </wp:inline>
        </w:drawing>
      </w:r>
    </w:p>
    <w:p w14:paraId="32CEAA46">
      <w:pPr>
        <w:rPr>
          <w:rFonts w:ascii="Times New Roman" w:hAnsi="Times New Roman" w:cs="Times New Roman"/>
          <w:b/>
          <w:bCs/>
          <w:sz w:val="20"/>
          <w:szCs w:val="20"/>
        </w:rPr>
      </w:pPr>
    </w:p>
    <w:p w14:paraId="3D671719">
      <w:pPr>
        <w:rPr>
          <w:rFonts w:ascii="Times New Roman" w:hAnsi="Times New Roman" w:cs="Times New Roman"/>
          <w:b/>
          <w:bCs/>
          <w:sz w:val="20"/>
          <w:szCs w:val="20"/>
        </w:rPr>
      </w:pPr>
    </w:p>
    <w:p w14:paraId="36EDE17D">
      <w:pPr>
        <w:rPr>
          <w:rFonts w:ascii="Times New Roman" w:hAnsi="Times New Roman" w:cs="Times New Roman"/>
          <w:b/>
          <w:bCs/>
          <w:sz w:val="20"/>
          <w:szCs w:val="20"/>
        </w:rPr>
      </w:pPr>
    </w:p>
    <w:p w14:paraId="5EF05638">
      <w:pPr>
        <w:rPr>
          <w:rFonts w:ascii="Times New Roman" w:hAnsi="Times New Roman" w:cs="Times New Roman"/>
          <w:b/>
          <w:bCs/>
          <w:sz w:val="20"/>
          <w:szCs w:val="20"/>
        </w:rPr>
      </w:pPr>
    </w:p>
    <w:p w14:paraId="45288C11">
      <w:pPr>
        <w:rPr>
          <w:rFonts w:ascii="Times New Roman" w:hAnsi="Times New Roman" w:cs="Times New Roman"/>
          <w:b/>
          <w:bCs/>
          <w:sz w:val="20"/>
          <w:szCs w:val="20"/>
        </w:rPr>
      </w:pPr>
    </w:p>
    <w:p w14:paraId="3F924D54">
      <w:pPr>
        <w:rPr>
          <w:rFonts w:ascii="Times New Roman" w:hAnsi="Times New Roman" w:cs="Times New Roman"/>
          <w:b/>
          <w:bCs/>
          <w:sz w:val="20"/>
          <w:szCs w:val="20"/>
        </w:rPr>
      </w:pPr>
    </w:p>
    <w:p w14:paraId="6AAD7198">
      <w:pPr>
        <w:rPr>
          <w:rFonts w:ascii="Times New Roman" w:hAnsi="Times New Roman" w:cs="Times New Roman"/>
          <w:b/>
          <w:bCs/>
          <w:sz w:val="20"/>
          <w:szCs w:val="20"/>
        </w:rPr>
      </w:pPr>
    </w:p>
    <w:p w14:paraId="1AEBCB82">
      <w:pPr>
        <w:rPr>
          <w:rFonts w:ascii="Times New Roman" w:hAnsi="Times New Roman" w:cs="Times New Roman"/>
          <w:b/>
          <w:bCs/>
          <w:sz w:val="20"/>
          <w:szCs w:val="20"/>
        </w:rPr>
      </w:pPr>
    </w:p>
    <w:p w14:paraId="62EAF44B">
      <w:pPr>
        <w:rPr>
          <w:rFonts w:ascii="Times New Roman" w:hAnsi="Times New Roman" w:cs="Times New Roman"/>
          <w:b/>
          <w:bCs/>
          <w:sz w:val="20"/>
          <w:szCs w:val="20"/>
        </w:rPr>
      </w:pPr>
    </w:p>
    <w:p w14:paraId="6AAAD8AE">
      <w:pPr>
        <w:rPr>
          <w:rFonts w:ascii="Times New Roman" w:hAnsi="Times New Roman" w:cs="Times New Roman"/>
          <w:b/>
          <w:bCs/>
          <w:sz w:val="20"/>
          <w:szCs w:val="20"/>
        </w:rPr>
      </w:pPr>
    </w:p>
    <w:p w14:paraId="37477995">
      <w:pPr>
        <w:rPr>
          <w:rFonts w:ascii="Times New Roman" w:hAnsi="Times New Roman" w:cs="Times New Roman"/>
          <w:b/>
          <w:bCs/>
          <w:sz w:val="20"/>
          <w:szCs w:val="20"/>
        </w:rPr>
      </w:pPr>
    </w:p>
    <w:p w14:paraId="4C1011F5">
      <w:pPr>
        <w:rPr>
          <w:rFonts w:ascii="Times New Roman" w:hAnsi="Times New Roman" w:cs="Times New Roman"/>
          <w:b/>
          <w:bCs/>
          <w:sz w:val="20"/>
          <w:szCs w:val="20"/>
        </w:rPr>
      </w:pPr>
    </w:p>
    <w:p w14:paraId="1F8DD320">
      <w:pPr>
        <w:rPr>
          <w:rFonts w:ascii="Times New Roman" w:hAnsi="Times New Roman" w:cs="Times New Roman"/>
          <w:b/>
          <w:bCs/>
          <w:sz w:val="20"/>
          <w:szCs w:val="20"/>
        </w:rPr>
      </w:pPr>
    </w:p>
    <w:p w14:paraId="1EE9346A">
      <w:pPr>
        <w:rPr>
          <w:rFonts w:ascii="Times New Roman" w:hAnsi="Times New Roman" w:cs="Times New Roman"/>
          <w:b/>
          <w:bCs/>
          <w:sz w:val="20"/>
          <w:szCs w:val="20"/>
        </w:rPr>
      </w:pPr>
    </w:p>
    <w:p w14:paraId="738C8C6A">
      <w:pPr>
        <w:rPr>
          <w:rFonts w:ascii="Times New Roman" w:hAnsi="Times New Roman" w:cs="Times New Roman"/>
          <w:b/>
          <w:bCs/>
          <w:sz w:val="20"/>
          <w:szCs w:val="20"/>
        </w:rPr>
      </w:pPr>
    </w:p>
    <w:p w14:paraId="71F3AA67">
      <w:pPr>
        <w:rPr>
          <w:rFonts w:ascii="Times New Roman" w:hAnsi="Times New Roman" w:cs="Times New Roman"/>
          <w:b/>
          <w:bCs/>
          <w:sz w:val="20"/>
          <w:szCs w:val="20"/>
        </w:rPr>
      </w:pPr>
    </w:p>
    <w:p w14:paraId="3A72ACD5">
      <w:pPr>
        <w:rPr>
          <w:rFonts w:ascii="Times New Roman" w:hAnsi="Times New Roman" w:cs="Times New Roman"/>
          <w:b/>
          <w:bCs/>
          <w:sz w:val="20"/>
          <w:szCs w:val="20"/>
        </w:rPr>
      </w:pPr>
    </w:p>
    <w:p w14:paraId="25CE9386">
      <w:pPr>
        <w:rPr>
          <w:rFonts w:ascii="Times New Roman" w:hAnsi="Times New Roman" w:cs="Times New Roman"/>
          <w:b/>
          <w:bCs/>
          <w:sz w:val="20"/>
          <w:szCs w:val="20"/>
        </w:rPr>
      </w:pPr>
    </w:p>
    <w:p w14:paraId="5571D692">
      <w:pPr>
        <w:rPr>
          <w:rFonts w:ascii="Times New Roman" w:hAnsi="Times New Roman" w:cs="Times New Roman"/>
          <w:b/>
          <w:bCs/>
          <w:sz w:val="20"/>
          <w:szCs w:val="20"/>
        </w:rPr>
      </w:pPr>
    </w:p>
    <w:p w14:paraId="47F13FCD">
      <w:pPr>
        <w:rPr>
          <w:rFonts w:ascii="Times New Roman" w:hAnsi="Times New Roman" w:cs="Times New Roman"/>
          <w:b/>
          <w:bCs/>
          <w:sz w:val="20"/>
          <w:szCs w:val="20"/>
        </w:rPr>
      </w:pPr>
    </w:p>
    <w:p w14:paraId="11C3F13E">
      <w:pPr>
        <w:rPr>
          <w:rFonts w:ascii="Times New Roman" w:hAnsi="Times New Roman" w:cs="Times New Roman"/>
          <w:b/>
          <w:bCs/>
          <w:sz w:val="20"/>
          <w:szCs w:val="20"/>
        </w:rPr>
      </w:pPr>
    </w:p>
    <w:p w14:paraId="03ED8032">
      <w:pPr>
        <w:rPr>
          <w:rFonts w:ascii="Times New Roman" w:hAnsi="Times New Roman" w:cs="Times New Roman"/>
          <w:b/>
          <w:bCs/>
          <w:sz w:val="20"/>
          <w:szCs w:val="20"/>
        </w:rPr>
      </w:pPr>
    </w:p>
    <w:p w14:paraId="3DB4460F">
      <w:pPr>
        <w:rPr>
          <w:rFonts w:ascii="Times New Roman" w:hAnsi="Times New Roman" w:cs="Times New Roman"/>
          <w:b/>
          <w:bCs/>
          <w:sz w:val="20"/>
          <w:szCs w:val="20"/>
        </w:rPr>
      </w:pPr>
    </w:p>
    <w:p w14:paraId="790975ED">
      <w:pPr>
        <w:rPr>
          <w:rFonts w:ascii="Times New Roman" w:hAnsi="Times New Roman" w:cs="Times New Roman"/>
          <w:b/>
          <w:bCs/>
          <w:sz w:val="20"/>
          <w:szCs w:val="20"/>
        </w:rPr>
      </w:pPr>
    </w:p>
    <w:p w14:paraId="2BF1395F">
      <w:pPr>
        <w:rPr>
          <w:rFonts w:ascii="Times New Roman" w:hAnsi="Times New Roman" w:cs="Times New Roman"/>
          <w:b/>
          <w:bCs/>
          <w:sz w:val="20"/>
          <w:szCs w:val="20"/>
        </w:rPr>
      </w:pPr>
    </w:p>
    <w:p w14:paraId="372A1E14">
      <w:pPr>
        <w:pStyle w:val="29"/>
        <w:spacing w:before="156" w:after="156"/>
        <w:rPr>
          <w:rFonts w:ascii="Times New Roman" w:hAnsi="Times New Roman" w:cs="Times New Roman"/>
          <w:b/>
          <w:szCs w:val="20"/>
          <w:lang w:bidi="ar"/>
        </w:rPr>
      </w:pPr>
      <w:bookmarkStart w:id="41" w:name="_Toc420870881"/>
      <w:bookmarkStart w:id="42" w:name="_Toc1160697507"/>
      <w:r>
        <w:rPr>
          <w:rFonts w:ascii="Times New Roman" w:hAnsi="Times New Roman" w:cs="Times New Roman"/>
          <w:b/>
          <w:szCs w:val="20"/>
        </w:rPr>
        <w:t xml:space="preserve">Figure 6. </w:t>
      </w:r>
      <w:r>
        <w:rPr>
          <w:rFonts w:hint="eastAsia" w:ascii="Times New Roman" w:hAnsi="Times New Roman" w:cs="Times New Roman"/>
          <w:b/>
          <w:szCs w:val="20"/>
        </w:rPr>
        <w:t>Country-Level Variations and Differences of Mental Disorders,2021. (A)ASR Prevalence of Mental Disorders. (B)ASR YLDs of Mental Disorders. (C)ASR Prevalence EAPC of Mental Disorders.(D)ASR YLDs EAPC of Mental Disorders</w:t>
      </w:r>
      <w:r>
        <w:rPr>
          <w:rFonts w:ascii="Times New Roman" w:hAnsi="Times New Roman" w:cs="Times New Roman"/>
          <w:b/>
          <w:szCs w:val="20"/>
          <w:lang w:bidi="ar"/>
        </w:rPr>
        <w:t>.</w:t>
      </w:r>
      <w:bookmarkEnd w:id="41"/>
      <w:bookmarkEnd w:id="42"/>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599555D8">
        <w:tc>
          <w:tcPr>
            <w:tcW w:w="0" w:type="auto"/>
            <w:tcBorders>
              <w:top w:val="nil"/>
              <w:left w:val="nil"/>
              <w:bottom w:val="nil"/>
              <w:right w:val="nil"/>
              <w:tl2br w:val="nil"/>
            </w:tcBorders>
            <w:shd w:val="clear" w:color="auto" w:fill="FFFFFF"/>
          </w:tcPr>
          <w:p w14:paraId="096A373D">
            <w:pPr>
              <w:rPr>
                <w:rFonts w:ascii="Times New Roman Regular" w:hAnsi="Times New Roman Regular" w:cs="Times New Roman Regular"/>
                <w:color w:val="000000"/>
                <w:sz w:val="24"/>
                <w:szCs w:val="24"/>
              </w:rPr>
            </w:pPr>
            <w:r>
              <w:rPr>
                <w:rFonts w:ascii="Times New Roman Regular" w:hAnsi="Times New Roman Regular" w:cs="Times New Roman Regular"/>
                <w:color w:val="000000"/>
                <w:sz w:val="24"/>
                <w:szCs w:val="24"/>
              </w:rPr>
              <w:drawing>
                <wp:inline distT="0" distB="0" distL="114300" distR="114300">
                  <wp:extent cx="5269865" cy="3512185"/>
                  <wp:effectExtent l="0" t="0" r="13335" b="18415"/>
                  <wp:docPr id="1" name="图片 1" descr="/Users/zhaozhiwei/Library/Containers/com.kingsoft.wpsoffice.mac/Data/tmp/photoeditapp/20250527000038/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Users/zhaozhiwei/Library/Containers/com.kingsoft.wpsoffice.mac/Data/tmp/photoeditapp/20250527000038/temp.pngtemp"/>
                          <pic:cNvPicPr>
                            <a:picLocks noChangeAspect="1"/>
                          </pic:cNvPicPr>
                        </pic:nvPicPr>
                        <pic:blipFill>
                          <a:blip r:embed="rId14"/>
                          <a:stretch>
                            <a:fillRect/>
                          </a:stretch>
                        </pic:blipFill>
                        <pic:spPr>
                          <a:xfrm>
                            <a:off x="0" y="0"/>
                            <a:ext cx="5269865" cy="3512185"/>
                          </a:xfrm>
                          <a:prstGeom prst="rect">
                            <a:avLst/>
                          </a:prstGeom>
                        </pic:spPr>
                      </pic:pic>
                    </a:graphicData>
                  </a:graphic>
                </wp:inline>
              </w:drawing>
            </w:r>
          </w:p>
        </w:tc>
      </w:tr>
      <w:tr w14:paraId="1394E4A5">
        <w:tc>
          <w:tcPr>
            <w:tcW w:w="0" w:type="auto"/>
            <w:tcBorders>
              <w:top w:val="nil"/>
              <w:left w:val="nil"/>
              <w:bottom w:val="nil"/>
              <w:right w:val="nil"/>
            </w:tcBorders>
            <w:shd w:val="clear" w:color="auto" w:fill="FFFFFF"/>
          </w:tcPr>
          <w:p w14:paraId="3643C62D">
            <w:pPr>
              <w:rPr>
                <w:rFonts w:ascii="Times New Roman Regular" w:hAnsi="Times New Roman Regular" w:cs="Times New Roman Regular"/>
                <w:color w:val="000000"/>
                <w:sz w:val="24"/>
                <w:szCs w:val="24"/>
              </w:rPr>
            </w:pPr>
            <w:r>
              <w:rPr>
                <w:rFonts w:ascii="Times New Roman Regular" w:hAnsi="Times New Roman Regular" w:cs="Times New Roman Regular"/>
                <w:color w:val="000000"/>
                <w:sz w:val="24"/>
                <w:szCs w:val="24"/>
              </w:rPr>
              <w:drawing>
                <wp:inline distT="0" distB="0" distL="114300" distR="114300">
                  <wp:extent cx="5269865" cy="3512185"/>
                  <wp:effectExtent l="0" t="0" r="13335" b="18415"/>
                  <wp:docPr id="3" name="图片 3" descr="/Users/zhaozhiwei/Library/Containers/com.kingsoft.wpsoffice.mac/Data/tmp/photoeditapp/2025052700025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zhaozhiwei/Library/Containers/com.kingsoft.wpsoffice.mac/Data/tmp/photoeditapp/20250527000254/temp.pngtemp"/>
                          <pic:cNvPicPr>
                            <a:picLocks noChangeAspect="1"/>
                          </pic:cNvPicPr>
                        </pic:nvPicPr>
                        <pic:blipFill>
                          <a:blip r:embed="rId15"/>
                          <a:stretch>
                            <a:fillRect/>
                          </a:stretch>
                        </pic:blipFill>
                        <pic:spPr>
                          <a:xfrm>
                            <a:off x="0" y="0"/>
                            <a:ext cx="5269865" cy="3512185"/>
                          </a:xfrm>
                          <a:prstGeom prst="rect">
                            <a:avLst/>
                          </a:prstGeom>
                        </pic:spPr>
                      </pic:pic>
                    </a:graphicData>
                  </a:graphic>
                </wp:inline>
              </w:drawing>
            </w:r>
          </w:p>
        </w:tc>
      </w:tr>
      <w:tr w14:paraId="1CEEF7B6">
        <w:tc>
          <w:tcPr>
            <w:tcW w:w="0" w:type="auto"/>
            <w:tcBorders>
              <w:top w:val="nil"/>
              <w:left w:val="nil"/>
              <w:bottom w:val="nil"/>
              <w:right w:val="nil"/>
            </w:tcBorders>
            <w:shd w:val="clear" w:color="auto" w:fill="FFFFFF"/>
          </w:tcPr>
          <w:p w14:paraId="4178FCD6">
            <w:pPr>
              <w:rPr>
                <w:rFonts w:ascii="Times New Roman Regular" w:hAnsi="Times New Roman Regular" w:cs="Times New Roman Regular"/>
                <w:color w:val="000000"/>
                <w:sz w:val="24"/>
                <w:szCs w:val="24"/>
              </w:rPr>
            </w:pPr>
            <w:r>
              <w:rPr>
                <w:rFonts w:ascii="Times New Roman Regular" w:hAnsi="Times New Roman Regular" w:cs="Times New Roman Regular"/>
                <w:color w:val="000000"/>
                <w:sz w:val="24"/>
                <w:szCs w:val="24"/>
              </w:rPr>
              <w:drawing>
                <wp:inline distT="0" distB="0" distL="114300" distR="114300">
                  <wp:extent cx="5269865" cy="3512185"/>
                  <wp:effectExtent l="0" t="0" r="13335" b="18415"/>
                  <wp:docPr id="77" name="图片 77" descr="/Users/zhaozhiwei/Library/Containers/com.kingsoft.wpsoffice.mac/Data/tmp/photoeditapp/20250527000346/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Users/zhaozhiwei/Library/Containers/com.kingsoft.wpsoffice.mac/Data/tmp/photoeditapp/20250527000346/temp.pngtemp"/>
                          <pic:cNvPicPr>
                            <a:picLocks noChangeAspect="1"/>
                          </pic:cNvPicPr>
                        </pic:nvPicPr>
                        <pic:blipFill>
                          <a:blip r:embed="rId16"/>
                          <a:stretch>
                            <a:fillRect/>
                          </a:stretch>
                        </pic:blipFill>
                        <pic:spPr>
                          <a:xfrm>
                            <a:off x="0" y="0"/>
                            <a:ext cx="5269865" cy="3512185"/>
                          </a:xfrm>
                          <a:prstGeom prst="rect">
                            <a:avLst/>
                          </a:prstGeom>
                        </pic:spPr>
                      </pic:pic>
                    </a:graphicData>
                  </a:graphic>
                </wp:inline>
              </w:drawing>
            </w:r>
          </w:p>
        </w:tc>
      </w:tr>
      <w:tr w14:paraId="61F119C3">
        <w:tc>
          <w:tcPr>
            <w:tcW w:w="0" w:type="auto"/>
            <w:tcBorders>
              <w:top w:val="nil"/>
              <w:left w:val="nil"/>
              <w:bottom w:val="nil"/>
              <w:right w:val="nil"/>
            </w:tcBorders>
            <w:shd w:val="clear" w:color="auto" w:fill="FFFFFF"/>
          </w:tcPr>
          <w:p w14:paraId="1190A2B9">
            <w:pPr>
              <w:rPr>
                <w:rFonts w:ascii="Times New Roman Regular" w:hAnsi="Times New Roman Regular" w:cs="Times New Roman Regular"/>
                <w:color w:val="000000"/>
                <w:sz w:val="24"/>
                <w:szCs w:val="24"/>
              </w:rPr>
            </w:pPr>
            <w:r>
              <w:rPr>
                <w:rFonts w:ascii="Times New Roman Regular" w:hAnsi="Times New Roman Regular" w:cs="Times New Roman Regular"/>
                <w:color w:val="000000"/>
                <w:sz w:val="24"/>
                <w:szCs w:val="24"/>
              </w:rPr>
              <w:drawing>
                <wp:inline distT="0" distB="0" distL="114300" distR="114300">
                  <wp:extent cx="5269865" cy="3512185"/>
                  <wp:effectExtent l="0" t="0" r="13335" b="18415"/>
                  <wp:docPr id="5" name="图片 5" descr="/Users/zhaozhiwei/Library/Containers/com.kingsoft.wpsoffice.mac/Data/tmp/photoeditapp/2025052700042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zhaozhiwei/Library/Containers/com.kingsoft.wpsoffice.mac/Data/tmp/photoeditapp/20250527000420/temp.pngtemp"/>
                          <pic:cNvPicPr>
                            <a:picLocks noChangeAspect="1"/>
                          </pic:cNvPicPr>
                        </pic:nvPicPr>
                        <pic:blipFill>
                          <a:blip r:embed="rId17"/>
                          <a:stretch>
                            <a:fillRect/>
                          </a:stretch>
                        </pic:blipFill>
                        <pic:spPr>
                          <a:xfrm>
                            <a:off x="0" y="0"/>
                            <a:ext cx="5269865" cy="3512185"/>
                          </a:xfrm>
                          <a:prstGeom prst="rect">
                            <a:avLst/>
                          </a:prstGeom>
                        </pic:spPr>
                      </pic:pic>
                    </a:graphicData>
                  </a:graphic>
                </wp:inline>
              </w:drawing>
            </w:r>
          </w:p>
        </w:tc>
      </w:tr>
    </w:tbl>
    <w:p w14:paraId="6091826D">
      <w:pPr>
        <w:rPr>
          <w:rFonts w:ascii="Times New Roman" w:hAnsi="Times New Roman" w:eastAsia="宋体" w:cs="Times New Roman"/>
          <w:b/>
          <w:bCs/>
          <w:kern w:val="0"/>
          <w:sz w:val="20"/>
          <w:szCs w:val="20"/>
          <w:lang w:bidi="ar"/>
        </w:rPr>
      </w:pPr>
    </w:p>
    <w:p w14:paraId="10D0A80F">
      <w:pPr>
        <w:rPr>
          <w:rFonts w:ascii="Times New Roman" w:hAnsi="Times New Roman" w:cs="Times New Roman"/>
          <w:b/>
          <w:bCs/>
          <w:sz w:val="20"/>
          <w:szCs w:val="20"/>
        </w:rPr>
      </w:pPr>
    </w:p>
    <w:p w14:paraId="2FCBF588">
      <w:pPr>
        <w:rPr>
          <w:rFonts w:ascii="Times New Roman" w:hAnsi="Times New Roman" w:cs="Times New Roman"/>
          <w:b/>
          <w:bCs/>
          <w:sz w:val="20"/>
          <w:szCs w:val="20"/>
        </w:rPr>
      </w:pPr>
    </w:p>
    <w:p w14:paraId="3E973115">
      <w:pPr>
        <w:rPr>
          <w:rFonts w:ascii="Times New Roman" w:hAnsi="Times New Roman" w:cs="Times New Roman"/>
          <w:b/>
          <w:bCs/>
          <w:sz w:val="20"/>
          <w:szCs w:val="20"/>
        </w:rPr>
      </w:pPr>
    </w:p>
    <w:p w14:paraId="4942C1D4">
      <w:pPr>
        <w:rPr>
          <w:rFonts w:ascii="Times New Roman" w:hAnsi="Times New Roman" w:cs="Times New Roman"/>
          <w:b/>
          <w:bCs/>
          <w:sz w:val="20"/>
          <w:szCs w:val="20"/>
        </w:rPr>
      </w:pPr>
    </w:p>
    <w:p w14:paraId="57112DA4">
      <w:pPr>
        <w:rPr>
          <w:rFonts w:ascii="Times New Roman" w:hAnsi="Times New Roman" w:cs="Times New Roman"/>
          <w:b/>
          <w:bCs/>
          <w:sz w:val="20"/>
          <w:szCs w:val="20"/>
        </w:rPr>
      </w:pPr>
    </w:p>
    <w:p w14:paraId="4910D70D">
      <w:pPr>
        <w:rPr>
          <w:rFonts w:ascii="Times New Roman" w:hAnsi="Times New Roman" w:cs="Times New Roman"/>
          <w:b/>
          <w:bCs/>
          <w:sz w:val="20"/>
          <w:szCs w:val="20"/>
        </w:rPr>
      </w:pPr>
    </w:p>
    <w:p w14:paraId="2616EBD6">
      <w:pPr>
        <w:rPr>
          <w:rFonts w:ascii="Times New Roman" w:hAnsi="Times New Roman" w:cs="Times New Roman"/>
          <w:b/>
          <w:bCs/>
          <w:sz w:val="20"/>
          <w:szCs w:val="20"/>
        </w:rPr>
      </w:pPr>
    </w:p>
    <w:p w14:paraId="24023F4C">
      <w:pPr>
        <w:pStyle w:val="29"/>
        <w:spacing w:before="156" w:after="156"/>
        <w:ind w:left="100" w:hanging="100" w:hangingChars="50"/>
        <w:rPr>
          <w:rFonts w:ascii="Times New Roman" w:hAnsi="Times New Roman" w:cs="Times New Roman"/>
          <w:b/>
          <w:szCs w:val="20"/>
          <w:lang w:bidi="ar"/>
        </w:rPr>
      </w:pPr>
      <w:bookmarkStart w:id="43" w:name="_Toc1913247396"/>
      <w:bookmarkStart w:id="44" w:name="_Toc101550801"/>
      <w:r>
        <w:rPr>
          <w:rFonts w:ascii="Times New Roman" w:hAnsi="Times New Roman" w:cs="Times New Roman"/>
          <w:b/>
          <w:szCs w:val="20"/>
        </w:rPr>
        <w:t xml:space="preserve">Figure 7. </w:t>
      </w:r>
      <w:r>
        <w:rPr>
          <w:rFonts w:hint="eastAsia" w:ascii="Times New Roman" w:hAnsi="Times New Roman" w:cs="Times New Roman"/>
          <w:b/>
          <w:szCs w:val="20"/>
        </w:rPr>
        <w:t xml:space="preserve">Country-Level Variations and Differences of </w:t>
      </w:r>
      <w:r>
        <w:rPr>
          <w:rFonts w:hint="default" w:ascii="Times New Roman" w:hAnsi="Times New Roman" w:cs="Times New Roman"/>
          <w:b/>
          <w:lang w:val="en-US" w:bidi="ar"/>
        </w:rPr>
        <w:t>Developmental Intellcetual Disability</w:t>
      </w:r>
      <w:r>
        <w:rPr>
          <w:rFonts w:hint="eastAsia" w:ascii="Times New Roman" w:hAnsi="Times New Roman" w:cs="Times New Roman"/>
          <w:b/>
          <w:szCs w:val="20"/>
        </w:rPr>
        <w:t xml:space="preserve">,2021.(A)ASR Prevalence of </w:t>
      </w:r>
      <w:r>
        <w:rPr>
          <w:rFonts w:hint="default" w:ascii="Times New Roman" w:hAnsi="Times New Roman" w:cs="Times New Roman"/>
          <w:b/>
          <w:lang w:val="en-US" w:bidi="ar"/>
        </w:rPr>
        <w:t>Developmental Intellcetual Disability</w:t>
      </w:r>
      <w:r>
        <w:rPr>
          <w:rFonts w:hint="eastAsia" w:ascii="Times New Roman" w:hAnsi="Times New Roman" w:cs="Times New Roman"/>
          <w:b/>
          <w:szCs w:val="20"/>
        </w:rPr>
        <w:t xml:space="preserve">. (B)ASR YLDs of </w:t>
      </w:r>
      <w:r>
        <w:rPr>
          <w:rFonts w:hint="default" w:ascii="Times New Roman" w:hAnsi="Times New Roman" w:cs="Times New Roman"/>
          <w:b/>
          <w:lang w:val="en-US" w:bidi="ar"/>
        </w:rPr>
        <w:t>Developmental Intellcetual Disability</w:t>
      </w:r>
      <w:r>
        <w:rPr>
          <w:rFonts w:hint="eastAsia" w:ascii="Times New Roman" w:hAnsi="Times New Roman" w:cs="Times New Roman"/>
          <w:b/>
          <w:szCs w:val="20"/>
        </w:rPr>
        <w:t xml:space="preserve">. (C)ASR Prevalence EAPC of </w:t>
      </w:r>
      <w:r>
        <w:rPr>
          <w:rFonts w:hint="default" w:ascii="Times New Roman" w:hAnsi="Times New Roman" w:cs="Times New Roman"/>
          <w:b/>
          <w:lang w:val="en-US" w:bidi="ar"/>
        </w:rPr>
        <w:t>Developmental Intellcetual Disability</w:t>
      </w:r>
      <w:r>
        <w:rPr>
          <w:rFonts w:hint="eastAsia" w:ascii="Times New Roman" w:hAnsi="Times New Roman" w:cs="Times New Roman"/>
          <w:b/>
          <w:szCs w:val="20"/>
        </w:rPr>
        <w:t xml:space="preserve">.(D)ASR YLDs EAPC of </w:t>
      </w:r>
      <w:r>
        <w:rPr>
          <w:rFonts w:hint="default" w:ascii="Times New Roman" w:hAnsi="Times New Roman" w:cs="Times New Roman"/>
          <w:b/>
          <w:lang w:val="en-US" w:bidi="ar"/>
        </w:rPr>
        <w:t>Developmental Intellcetual Disability</w:t>
      </w:r>
      <w:r>
        <w:rPr>
          <w:rFonts w:ascii="Times New Roman" w:hAnsi="Times New Roman" w:cs="Times New Roman"/>
          <w:b/>
          <w:szCs w:val="20"/>
          <w:lang w:bidi="ar"/>
        </w:rPr>
        <w:t>.</w:t>
      </w:r>
      <w:bookmarkEnd w:id="43"/>
      <w:bookmarkEnd w:id="44"/>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8522"/>
      </w:tblGrid>
      <w:tr w14:paraId="69E51D4D">
        <w:tc>
          <w:tcPr>
            <w:tcW w:w="0" w:type="auto"/>
            <w:tcBorders>
              <w:top w:val="nil"/>
              <w:left w:val="nil"/>
              <w:bottom w:val="nil"/>
              <w:right w:val="nil"/>
              <w:tl2br w:val="nil"/>
            </w:tcBorders>
            <w:shd w:val="clear" w:color="auto" w:fill="FFFFFF"/>
          </w:tcPr>
          <w:p w14:paraId="0542FAFD">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78" name="图片 78" descr="/Users/zhaozhiwei/Library/Containers/com.kingsoft.wpsoffice.mac/Data/tmp/photoeditapp/2025060812580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Users/zhaozhiwei/Library/Containers/com.kingsoft.wpsoffice.mac/Data/tmp/photoeditapp/20250608125804/temp.pngtemp"/>
                          <pic:cNvPicPr>
                            <a:picLocks noChangeAspect="1"/>
                          </pic:cNvPicPr>
                        </pic:nvPicPr>
                        <pic:blipFill>
                          <a:blip r:embed="rId18"/>
                          <a:stretch>
                            <a:fillRect/>
                          </a:stretch>
                        </pic:blipFill>
                        <pic:spPr>
                          <a:xfrm>
                            <a:off x="0" y="0"/>
                            <a:ext cx="5269865" cy="3512185"/>
                          </a:xfrm>
                          <a:prstGeom prst="rect">
                            <a:avLst/>
                          </a:prstGeom>
                        </pic:spPr>
                      </pic:pic>
                    </a:graphicData>
                  </a:graphic>
                </wp:inline>
              </w:drawing>
            </w:r>
          </w:p>
        </w:tc>
      </w:tr>
      <w:tr w14:paraId="1E9F6D8A">
        <w:tc>
          <w:tcPr>
            <w:tcW w:w="0" w:type="auto"/>
            <w:tcBorders>
              <w:top w:val="nil"/>
              <w:left w:val="nil"/>
              <w:bottom w:val="nil"/>
              <w:right w:val="nil"/>
            </w:tcBorders>
            <w:shd w:val="clear" w:color="auto" w:fill="FFFFFF"/>
          </w:tcPr>
          <w:p w14:paraId="72A32066">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79" name="图片 79" descr="/Users/zhaozhiwei/Library/Containers/com.kingsoft.wpsoffice.mac/Data/tmp/photoeditapp/2025060812583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Users/zhaozhiwei/Library/Containers/com.kingsoft.wpsoffice.mac/Data/tmp/photoeditapp/20250608125834/temp.pngtemp"/>
                          <pic:cNvPicPr>
                            <a:picLocks noChangeAspect="1"/>
                          </pic:cNvPicPr>
                        </pic:nvPicPr>
                        <pic:blipFill>
                          <a:blip r:embed="rId19"/>
                          <a:stretch>
                            <a:fillRect/>
                          </a:stretch>
                        </pic:blipFill>
                        <pic:spPr>
                          <a:xfrm>
                            <a:off x="0" y="0"/>
                            <a:ext cx="5269865" cy="3512185"/>
                          </a:xfrm>
                          <a:prstGeom prst="rect">
                            <a:avLst/>
                          </a:prstGeom>
                        </pic:spPr>
                      </pic:pic>
                    </a:graphicData>
                  </a:graphic>
                </wp:inline>
              </w:drawing>
            </w:r>
          </w:p>
        </w:tc>
      </w:tr>
      <w:tr w14:paraId="2847C3C8">
        <w:tc>
          <w:tcPr>
            <w:tcW w:w="0" w:type="auto"/>
            <w:tcBorders>
              <w:top w:val="nil"/>
              <w:left w:val="nil"/>
              <w:bottom w:val="nil"/>
              <w:right w:val="nil"/>
            </w:tcBorders>
            <w:shd w:val="clear" w:color="auto" w:fill="FFFFFF"/>
          </w:tcPr>
          <w:p w14:paraId="0E8F66DF">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80" name="图片 80" descr="/Users/zhaozhiwei/Library/Containers/com.kingsoft.wpsoffice.mac/Data/tmp/photoeditapp/2025060812592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Users/zhaozhiwei/Library/Containers/com.kingsoft.wpsoffice.mac/Data/tmp/photoeditapp/20250608125922/temp.pngtemp"/>
                          <pic:cNvPicPr>
                            <a:picLocks noChangeAspect="1"/>
                          </pic:cNvPicPr>
                        </pic:nvPicPr>
                        <pic:blipFill>
                          <a:blip r:embed="rId20"/>
                          <a:stretch>
                            <a:fillRect/>
                          </a:stretch>
                        </pic:blipFill>
                        <pic:spPr>
                          <a:xfrm>
                            <a:off x="0" y="0"/>
                            <a:ext cx="5269865" cy="3512185"/>
                          </a:xfrm>
                          <a:prstGeom prst="rect">
                            <a:avLst/>
                          </a:prstGeom>
                        </pic:spPr>
                      </pic:pic>
                    </a:graphicData>
                  </a:graphic>
                </wp:inline>
              </w:drawing>
            </w:r>
          </w:p>
        </w:tc>
      </w:tr>
      <w:tr w14:paraId="6863C6DE">
        <w:tc>
          <w:tcPr>
            <w:tcW w:w="0" w:type="auto"/>
            <w:tcBorders>
              <w:top w:val="nil"/>
              <w:left w:val="nil"/>
              <w:bottom w:val="nil"/>
              <w:right w:val="nil"/>
            </w:tcBorders>
            <w:shd w:val="clear" w:color="auto" w:fill="FFFFFF"/>
          </w:tcPr>
          <w:p w14:paraId="3F986493">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81" name="图片 81" descr="/Users/zhaozhiwei/Library/Containers/com.kingsoft.wpsoffice.mac/Data/tmp/photoeditapp/20250608125945/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Users/zhaozhiwei/Library/Containers/com.kingsoft.wpsoffice.mac/Data/tmp/photoeditapp/20250608125945/temp.pngtemp"/>
                          <pic:cNvPicPr>
                            <a:picLocks noChangeAspect="1"/>
                          </pic:cNvPicPr>
                        </pic:nvPicPr>
                        <pic:blipFill>
                          <a:blip r:embed="rId21"/>
                          <a:stretch>
                            <a:fillRect/>
                          </a:stretch>
                        </pic:blipFill>
                        <pic:spPr>
                          <a:xfrm>
                            <a:off x="0" y="0"/>
                            <a:ext cx="5269865" cy="3512185"/>
                          </a:xfrm>
                          <a:prstGeom prst="rect">
                            <a:avLst/>
                          </a:prstGeom>
                        </pic:spPr>
                      </pic:pic>
                    </a:graphicData>
                  </a:graphic>
                </wp:inline>
              </w:drawing>
            </w:r>
          </w:p>
        </w:tc>
      </w:tr>
    </w:tbl>
    <w:p w14:paraId="48633BD1">
      <w:pPr>
        <w:rPr>
          <w:rFonts w:ascii="Times New Roman" w:hAnsi="Times New Roman" w:cs="Times New Roman"/>
          <w:b/>
          <w:bCs/>
          <w:sz w:val="20"/>
          <w:szCs w:val="20"/>
        </w:rPr>
      </w:pPr>
    </w:p>
    <w:p w14:paraId="21FA973F">
      <w:pPr>
        <w:rPr>
          <w:rFonts w:ascii="Times New Roman" w:hAnsi="Times New Roman" w:cs="Times New Roman"/>
          <w:b/>
          <w:bCs/>
          <w:sz w:val="20"/>
          <w:szCs w:val="20"/>
        </w:rPr>
      </w:pPr>
    </w:p>
    <w:p w14:paraId="258908F5">
      <w:pPr>
        <w:rPr>
          <w:rFonts w:ascii="Times New Roman" w:hAnsi="Times New Roman" w:cs="Times New Roman"/>
          <w:b/>
          <w:bCs/>
          <w:sz w:val="20"/>
          <w:szCs w:val="20"/>
        </w:rPr>
      </w:pPr>
    </w:p>
    <w:p w14:paraId="152953E8">
      <w:pPr>
        <w:rPr>
          <w:rFonts w:ascii="Times New Roman" w:hAnsi="Times New Roman" w:cs="Times New Roman"/>
          <w:b/>
          <w:bCs/>
          <w:sz w:val="20"/>
          <w:szCs w:val="20"/>
        </w:rPr>
      </w:pPr>
    </w:p>
    <w:p w14:paraId="6D84A7E5">
      <w:pPr>
        <w:rPr>
          <w:rFonts w:ascii="Times New Roman" w:hAnsi="Times New Roman" w:cs="Times New Roman"/>
          <w:b/>
          <w:bCs/>
          <w:sz w:val="20"/>
          <w:szCs w:val="20"/>
        </w:rPr>
      </w:pPr>
    </w:p>
    <w:p w14:paraId="5E651410">
      <w:pPr>
        <w:rPr>
          <w:rFonts w:ascii="Times New Roman" w:hAnsi="Times New Roman" w:cs="Times New Roman"/>
          <w:b/>
          <w:bCs/>
          <w:sz w:val="20"/>
          <w:szCs w:val="20"/>
        </w:rPr>
      </w:pPr>
    </w:p>
    <w:p w14:paraId="1CF6145D">
      <w:pPr>
        <w:rPr>
          <w:rFonts w:ascii="Times New Roman" w:hAnsi="Times New Roman" w:cs="Times New Roman"/>
          <w:b/>
          <w:bCs/>
          <w:sz w:val="20"/>
          <w:szCs w:val="20"/>
        </w:rPr>
      </w:pPr>
    </w:p>
    <w:p w14:paraId="4CE55634">
      <w:pPr>
        <w:rPr>
          <w:rFonts w:ascii="Times New Roman" w:hAnsi="Times New Roman" w:cs="Times New Roman"/>
          <w:b/>
          <w:bCs/>
          <w:sz w:val="20"/>
          <w:szCs w:val="20"/>
        </w:rPr>
      </w:pPr>
    </w:p>
    <w:p w14:paraId="50514931">
      <w:pPr>
        <w:pStyle w:val="29"/>
        <w:spacing w:before="156" w:after="156"/>
        <w:rPr>
          <w:rFonts w:ascii="Times New Roman" w:hAnsi="Times New Roman" w:cs="Times New Roman"/>
          <w:b/>
          <w:szCs w:val="20"/>
          <w:lang w:bidi="ar"/>
        </w:rPr>
      </w:pPr>
      <w:bookmarkStart w:id="45" w:name="_Toc1676338041"/>
      <w:bookmarkStart w:id="46" w:name="_Toc1662296689"/>
      <w:r>
        <w:rPr>
          <w:rFonts w:ascii="Times New Roman" w:hAnsi="Times New Roman" w:cs="Times New Roman"/>
          <w:b/>
          <w:szCs w:val="20"/>
        </w:rPr>
        <w:t xml:space="preserve">Figure 8. </w:t>
      </w:r>
      <w:r>
        <w:rPr>
          <w:rFonts w:hint="eastAsia" w:ascii="Times New Roman" w:hAnsi="Times New Roman" w:cs="Times New Roman"/>
          <w:b/>
          <w:szCs w:val="20"/>
        </w:rPr>
        <w:t xml:space="preserve">Country-Level Variations and Differences of </w:t>
      </w:r>
      <w:r>
        <w:rPr>
          <w:rFonts w:hint="default" w:ascii="Times New Roman" w:hAnsi="Times New Roman" w:cs="Times New Roman"/>
          <w:b/>
          <w:lang w:val="en-US" w:bidi="ar"/>
        </w:rPr>
        <w:t>Schizophrenia</w:t>
      </w:r>
      <w:r>
        <w:rPr>
          <w:rFonts w:hint="eastAsia" w:ascii="Times New Roman" w:hAnsi="Times New Roman" w:cs="Times New Roman"/>
          <w:b/>
          <w:szCs w:val="20"/>
        </w:rPr>
        <w:t xml:space="preserve">,2021.(A)ASR Prevalence of </w:t>
      </w:r>
      <w:r>
        <w:rPr>
          <w:rFonts w:hint="default" w:ascii="Times New Roman" w:hAnsi="Times New Roman" w:cs="Times New Roman"/>
          <w:b/>
          <w:lang w:val="en-US" w:bidi="ar"/>
        </w:rPr>
        <w:t>Schizophrenia</w:t>
      </w:r>
      <w:r>
        <w:rPr>
          <w:rFonts w:hint="eastAsia" w:ascii="Times New Roman" w:hAnsi="Times New Roman" w:cs="Times New Roman"/>
          <w:b/>
          <w:szCs w:val="20"/>
        </w:rPr>
        <w:t xml:space="preserve">. (B)ASR YLDs of </w:t>
      </w:r>
      <w:r>
        <w:rPr>
          <w:rFonts w:hint="default" w:ascii="Times New Roman" w:hAnsi="Times New Roman" w:cs="Times New Roman"/>
          <w:b/>
          <w:lang w:val="en-US" w:bidi="ar"/>
        </w:rPr>
        <w:t>Schizophrenia</w:t>
      </w:r>
      <w:r>
        <w:rPr>
          <w:rFonts w:hint="eastAsia" w:ascii="Times New Roman" w:hAnsi="Times New Roman" w:cs="Times New Roman"/>
          <w:b/>
          <w:szCs w:val="20"/>
        </w:rPr>
        <w:t xml:space="preserve">. (C)ASR Prevalence EAPC of </w:t>
      </w:r>
      <w:r>
        <w:rPr>
          <w:rFonts w:hint="default" w:ascii="Times New Roman" w:hAnsi="Times New Roman" w:cs="Times New Roman"/>
          <w:b/>
          <w:lang w:val="en-US" w:bidi="ar"/>
        </w:rPr>
        <w:t>Schizophrenia</w:t>
      </w:r>
      <w:r>
        <w:rPr>
          <w:rFonts w:hint="eastAsia" w:ascii="Times New Roman" w:hAnsi="Times New Roman" w:cs="Times New Roman"/>
          <w:b/>
          <w:szCs w:val="20"/>
        </w:rPr>
        <w:t xml:space="preserve">.(D)ASR YLDs EAPC of </w:t>
      </w:r>
      <w:r>
        <w:rPr>
          <w:rFonts w:hint="default" w:ascii="Times New Roman" w:hAnsi="Times New Roman" w:cs="Times New Roman"/>
          <w:b/>
          <w:lang w:val="en-US" w:bidi="ar"/>
        </w:rPr>
        <w:t>Schizophrenia</w:t>
      </w:r>
      <w:r>
        <w:rPr>
          <w:rFonts w:ascii="Times New Roman" w:hAnsi="Times New Roman" w:cs="Times New Roman"/>
          <w:b/>
          <w:szCs w:val="20"/>
          <w:lang w:bidi="ar"/>
        </w:rPr>
        <w:t>.</w:t>
      </w:r>
      <w:bookmarkEnd w:id="45"/>
      <w:bookmarkEnd w:id="46"/>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8522"/>
      </w:tblGrid>
      <w:tr w14:paraId="258E805B">
        <w:tc>
          <w:tcPr>
            <w:tcW w:w="0" w:type="auto"/>
            <w:tcBorders>
              <w:top w:val="nil"/>
              <w:left w:val="nil"/>
              <w:bottom w:val="nil"/>
              <w:right w:val="nil"/>
              <w:tl2br w:val="nil"/>
            </w:tcBorders>
            <w:shd w:val="clear" w:color="auto" w:fill="FFFFFF"/>
          </w:tcPr>
          <w:p w14:paraId="5971BC09">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82" name="图片 82" descr="/Users/zhaozhiwei/Library/Containers/com.kingsoft.wpsoffice.mac/Data/tmp/photoeditapp/20250608130424/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Users/zhaozhiwei/Library/Containers/com.kingsoft.wpsoffice.mac/Data/tmp/photoeditapp/20250608130424/temp.pngtemp"/>
                          <pic:cNvPicPr>
                            <a:picLocks noChangeAspect="1"/>
                          </pic:cNvPicPr>
                        </pic:nvPicPr>
                        <pic:blipFill>
                          <a:blip r:embed="rId22"/>
                          <a:stretch>
                            <a:fillRect/>
                          </a:stretch>
                        </pic:blipFill>
                        <pic:spPr>
                          <a:xfrm>
                            <a:off x="0" y="0"/>
                            <a:ext cx="5269865" cy="3512185"/>
                          </a:xfrm>
                          <a:prstGeom prst="rect">
                            <a:avLst/>
                          </a:prstGeom>
                        </pic:spPr>
                      </pic:pic>
                    </a:graphicData>
                  </a:graphic>
                </wp:inline>
              </w:drawing>
            </w:r>
          </w:p>
        </w:tc>
      </w:tr>
      <w:tr w14:paraId="447B2D45">
        <w:tc>
          <w:tcPr>
            <w:tcW w:w="0" w:type="auto"/>
            <w:tcBorders>
              <w:top w:val="nil"/>
              <w:left w:val="nil"/>
              <w:bottom w:val="nil"/>
              <w:right w:val="nil"/>
            </w:tcBorders>
            <w:shd w:val="clear" w:color="auto" w:fill="FFFFFF"/>
          </w:tcPr>
          <w:p w14:paraId="6A12CFD1">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83" name="图片 83" descr="/Users/zhaozhiwei/Library/Containers/com.kingsoft.wpsoffice.mac/Data/tmp/photoeditapp/2025060813045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Users/zhaozhiwei/Library/Containers/com.kingsoft.wpsoffice.mac/Data/tmp/photoeditapp/20250608130450/temp.pngtemp"/>
                          <pic:cNvPicPr>
                            <a:picLocks noChangeAspect="1"/>
                          </pic:cNvPicPr>
                        </pic:nvPicPr>
                        <pic:blipFill>
                          <a:blip r:embed="rId23"/>
                          <a:stretch>
                            <a:fillRect/>
                          </a:stretch>
                        </pic:blipFill>
                        <pic:spPr>
                          <a:xfrm>
                            <a:off x="0" y="0"/>
                            <a:ext cx="5269865" cy="3512185"/>
                          </a:xfrm>
                          <a:prstGeom prst="rect">
                            <a:avLst/>
                          </a:prstGeom>
                        </pic:spPr>
                      </pic:pic>
                    </a:graphicData>
                  </a:graphic>
                </wp:inline>
              </w:drawing>
            </w:r>
          </w:p>
        </w:tc>
      </w:tr>
      <w:tr w14:paraId="38FB961D">
        <w:tc>
          <w:tcPr>
            <w:tcW w:w="0" w:type="auto"/>
            <w:tcBorders>
              <w:top w:val="nil"/>
              <w:left w:val="nil"/>
              <w:bottom w:val="nil"/>
              <w:right w:val="nil"/>
            </w:tcBorders>
            <w:shd w:val="clear" w:color="auto" w:fill="FFFFFF"/>
          </w:tcPr>
          <w:p w14:paraId="707D83EA">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84" name="图片 84" descr="/Users/zhaozhiwei/Library/Containers/com.kingsoft.wpsoffice.mac/Data/tmp/photoeditapp/2025060813052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Users/zhaozhiwei/Library/Containers/com.kingsoft.wpsoffice.mac/Data/tmp/photoeditapp/20250608130520/temp.pngtemp"/>
                          <pic:cNvPicPr>
                            <a:picLocks noChangeAspect="1"/>
                          </pic:cNvPicPr>
                        </pic:nvPicPr>
                        <pic:blipFill>
                          <a:blip r:embed="rId24"/>
                          <a:stretch>
                            <a:fillRect/>
                          </a:stretch>
                        </pic:blipFill>
                        <pic:spPr>
                          <a:xfrm>
                            <a:off x="0" y="0"/>
                            <a:ext cx="5269865" cy="3512185"/>
                          </a:xfrm>
                          <a:prstGeom prst="rect">
                            <a:avLst/>
                          </a:prstGeom>
                        </pic:spPr>
                      </pic:pic>
                    </a:graphicData>
                  </a:graphic>
                </wp:inline>
              </w:drawing>
            </w:r>
          </w:p>
        </w:tc>
      </w:tr>
      <w:tr w14:paraId="44A09B8C">
        <w:tc>
          <w:tcPr>
            <w:tcW w:w="0" w:type="auto"/>
            <w:tcBorders>
              <w:top w:val="nil"/>
              <w:left w:val="nil"/>
              <w:bottom w:val="nil"/>
              <w:right w:val="nil"/>
            </w:tcBorders>
            <w:shd w:val="clear" w:color="auto" w:fill="FFFFFF"/>
          </w:tcPr>
          <w:p w14:paraId="377F6171">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85" name="图片 85" descr="/Users/zhaozhiwei/Library/Containers/com.kingsoft.wpsoffice.mac/Data/tmp/photoeditapp/2025060813073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Users/zhaozhiwei/Library/Containers/com.kingsoft.wpsoffice.mac/Data/tmp/photoeditapp/20250608130732/temp.pngtemp"/>
                          <pic:cNvPicPr>
                            <a:picLocks noChangeAspect="1"/>
                          </pic:cNvPicPr>
                        </pic:nvPicPr>
                        <pic:blipFill>
                          <a:blip r:embed="rId25"/>
                          <a:stretch>
                            <a:fillRect/>
                          </a:stretch>
                        </pic:blipFill>
                        <pic:spPr>
                          <a:xfrm>
                            <a:off x="0" y="0"/>
                            <a:ext cx="5269865" cy="3512185"/>
                          </a:xfrm>
                          <a:prstGeom prst="rect">
                            <a:avLst/>
                          </a:prstGeom>
                        </pic:spPr>
                      </pic:pic>
                    </a:graphicData>
                  </a:graphic>
                </wp:inline>
              </w:drawing>
            </w:r>
          </w:p>
        </w:tc>
      </w:tr>
    </w:tbl>
    <w:p w14:paraId="0E62CB22">
      <w:pPr>
        <w:rPr>
          <w:rFonts w:ascii="Times New Roman" w:hAnsi="Times New Roman" w:eastAsia="宋体" w:cs="Times New Roman"/>
          <w:b/>
          <w:bCs/>
          <w:kern w:val="0"/>
          <w:sz w:val="20"/>
          <w:szCs w:val="20"/>
          <w:lang w:bidi="ar"/>
        </w:rPr>
      </w:pPr>
    </w:p>
    <w:p w14:paraId="7B4779EF">
      <w:pPr>
        <w:rPr>
          <w:rFonts w:ascii="Times New Roman" w:hAnsi="Times New Roman" w:cs="Times New Roman"/>
          <w:b/>
          <w:bCs/>
          <w:sz w:val="20"/>
          <w:szCs w:val="20"/>
        </w:rPr>
      </w:pPr>
    </w:p>
    <w:p w14:paraId="001DCFC5">
      <w:pPr>
        <w:rPr>
          <w:rFonts w:ascii="Times New Roman" w:hAnsi="Times New Roman" w:cs="Times New Roman"/>
          <w:b/>
          <w:bCs/>
          <w:sz w:val="20"/>
          <w:szCs w:val="20"/>
        </w:rPr>
      </w:pPr>
    </w:p>
    <w:p w14:paraId="12B87B7B">
      <w:pPr>
        <w:rPr>
          <w:rFonts w:ascii="Times New Roman" w:hAnsi="Times New Roman" w:cs="Times New Roman"/>
          <w:b/>
          <w:bCs/>
          <w:sz w:val="20"/>
          <w:szCs w:val="20"/>
        </w:rPr>
      </w:pPr>
    </w:p>
    <w:p w14:paraId="4A65D907">
      <w:pPr>
        <w:rPr>
          <w:rFonts w:ascii="Times New Roman" w:hAnsi="Times New Roman" w:cs="Times New Roman"/>
          <w:b/>
          <w:bCs/>
          <w:sz w:val="20"/>
          <w:szCs w:val="20"/>
        </w:rPr>
      </w:pPr>
    </w:p>
    <w:p w14:paraId="4043C45B">
      <w:pPr>
        <w:rPr>
          <w:rFonts w:ascii="Times New Roman" w:hAnsi="Times New Roman" w:cs="Times New Roman"/>
          <w:b/>
          <w:bCs/>
          <w:sz w:val="20"/>
          <w:szCs w:val="20"/>
        </w:rPr>
      </w:pPr>
    </w:p>
    <w:p w14:paraId="2E3EA4FA">
      <w:pPr>
        <w:rPr>
          <w:rFonts w:ascii="Times New Roman" w:hAnsi="Times New Roman" w:cs="Times New Roman"/>
          <w:b/>
          <w:bCs/>
          <w:sz w:val="20"/>
          <w:szCs w:val="20"/>
        </w:rPr>
      </w:pPr>
    </w:p>
    <w:p w14:paraId="59394296">
      <w:pPr>
        <w:rPr>
          <w:rFonts w:ascii="Times New Roman" w:hAnsi="Times New Roman" w:cs="Times New Roman"/>
          <w:b/>
          <w:bCs/>
          <w:sz w:val="20"/>
          <w:szCs w:val="20"/>
        </w:rPr>
      </w:pPr>
    </w:p>
    <w:p w14:paraId="6E8D4BE8">
      <w:pPr>
        <w:pStyle w:val="29"/>
        <w:spacing w:before="156" w:after="156"/>
        <w:rPr>
          <w:rFonts w:ascii="Times New Roman" w:hAnsi="Times New Roman" w:cs="Times New Roman"/>
          <w:b/>
          <w:szCs w:val="20"/>
          <w:lang w:bidi="ar"/>
        </w:rPr>
      </w:pPr>
      <w:bookmarkStart w:id="47" w:name="_Toc1375490094"/>
      <w:bookmarkStart w:id="48" w:name="_Toc1605688200"/>
      <w:r>
        <w:rPr>
          <w:rFonts w:ascii="Times New Roman" w:hAnsi="Times New Roman" w:cs="Times New Roman"/>
          <w:b/>
          <w:szCs w:val="20"/>
        </w:rPr>
        <w:t xml:space="preserve">Figure 9. </w:t>
      </w:r>
      <w:r>
        <w:rPr>
          <w:rFonts w:hint="eastAsia" w:ascii="Times New Roman" w:hAnsi="Times New Roman" w:cs="Times New Roman"/>
          <w:b/>
          <w:szCs w:val="20"/>
        </w:rPr>
        <w:t xml:space="preserve">Country-Level Variations and Differences of </w:t>
      </w:r>
      <w:r>
        <w:rPr>
          <w:rFonts w:hint="default" w:ascii="Times New Roman" w:hAnsi="Times New Roman" w:cs="Times New Roman"/>
          <w:b/>
          <w:lang w:val="en-US" w:bidi="ar"/>
        </w:rPr>
        <w:t>Autism Spectrum Disorders</w:t>
      </w:r>
      <w:r>
        <w:rPr>
          <w:rFonts w:hint="eastAsia" w:ascii="Times New Roman" w:hAnsi="Times New Roman" w:cs="Times New Roman"/>
          <w:b/>
          <w:szCs w:val="20"/>
        </w:rPr>
        <w:t xml:space="preserve">,2021.(A)ASR Prevalence of </w:t>
      </w:r>
      <w:r>
        <w:rPr>
          <w:rFonts w:hint="default" w:ascii="Times New Roman" w:hAnsi="Times New Roman" w:cs="Times New Roman"/>
          <w:b/>
          <w:lang w:val="en-US" w:bidi="ar"/>
        </w:rPr>
        <w:t>Autism Spectrum Disorders</w:t>
      </w:r>
      <w:r>
        <w:rPr>
          <w:rFonts w:hint="eastAsia" w:ascii="Times New Roman" w:hAnsi="Times New Roman" w:cs="Times New Roman"/>
          <w:b/>
          <w:szCs w:val="20"/>
        </w:rPr>
        <w:t xml:space="preserve">. (B)ASR YLDs of </w:t>
      </w:r>
      <w:r>
        <w:rPr>
          <w:rFonts w:hint="default" w:ascii="Times New Roman" w:hAnsi="Times New Roman" w:cs="Times New Roman"/>
          <w:b/>
          <w:lang w:val="en-US" w:bidi="ar"/>
        </w:rPr>
        <w:t>Autism Spectrum Disorders</w:t>
      </w:r>
      <w:r>
        <w:rPr>
          <w:rFonts w:hint="eastAsia" w:ascii="Times New Roman" w:hAnsi="Times New Roman" w:cs="Times New Roman"/>
          <w:b/>
          <w:szCs w:val="20"/>
        </w:rPr>
        <w:t xml:space="preserve">. (C)ASR Prevalence EAPC of </w:t>
      </w:r>
      <w:r>
        <w:rPr>
          <w:rFonts w:hint="default" w:ascii="Times New Roman" w:hAnsi="Times New Roman" w:cs="Times New Roman"/>
          <w:b/>
          <w:lang w:val="en-US" w:bidi="ar"/>
        </w:rPr>
        <w:t>Autism Spectrum Disorders</w:t>
      </w:r>
      <w:r>
        <w:rPr>
          <w:rFonts w:hint="eastAsia" w:ascii="Times New Roman" w:hAnsi="Times New Roman" w:cs="Times New Roman"/>
          <w:b/>
          <w:szCs w:val="20"/>
        </w:rPr>
        <w:t xml:space="preserve">.(D)ASR YLDs EAPC of </w:t>
      </w:r>
      <w:r>
        <w:rPr>
          <w:rFonts w:hint="default" w:ascii="Times New Roman" w:hAnsi="Times New Roman" w:cs="Times New Roman"/>
          <w:b/>
          <w:lang w:val="en-US" w:bidi="ar"/>
        </w:rPr>
        <w:t>Autism Spectrum Disorders</w:t>
      </w:r>
      <w:r>
        <w:rPr>
          <w:rFonts w:ascii="Times New Roman" w:hAnsi="Times New Roman" w:cs="Times New Roman"/>
          <w:b/>
          <w:szCs w:val="20"/>
          <w:lang w:bidi="ar"/>
        </w:rPr>
        <w:t>.</w:t>
      </w:r>
      <w:bookmarkEnd w:id="47"/>
      <w:bookmarkEnd w:id="48"/>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8522"/>
      </w:tblGrid>
      <w:tr w14:paraId="260DB7F4">
        <w:tc>
          <w:tcPr>
            <w:tcW w:w="0" w:type="auto"/>
            <w:tcBorders>
              <w:top w:val="nil"/>
              <w:left w:val="nil"/>
              <w:bottom w:val="nil"/>
              <w:right w:val="nil"/>
              <w:tl2br w:val="nil"/>
            </w:tcBorders>
            <w:shd w:val="clear" w:color="auto" w:fill="FFFFFF"/>
          </w:tcPr>
          <w:p w14:paraId="3DA5EDC1">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86" name="图片 86" descr="/Users/zhaozhiwei/Library/Containers/com.kingsoft.wpsoffice.mac/Data/tmp/photoeditapp/20250608131205/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Users/zhaozhiwei/Library/Containers/com.kingsoft.wpsoffice.mac/Data/tmp/photoeditapp/20250608131205/temp.pngtemp"/>
                          <pic:cNvPicPr>
                            <a:picLocks noChangeAspect="1"/>
                          </pic:cNvPicPr>
                        </pic:nvPicPr>
                        <pic:blipFill>
                          <a:blip r:embed="rId26"/>
                          <a:stretch>
                            <a:fillRect/>
                          </a:stretch>
                        </pic:blipFill>
                        <pic:spPr>
                          <a:xfrm>
                            <a:off x="0" y="0"/>
                            <a:ext cx="5269865" cy="3512185"/>
                          </a:xfrm>
                          <a:prstGeom prst="rect">
                            <a:avLst/>
                          </a:prstGeom>
                        </pic:spPr>
                      </pic:pic>
                    </a:graphicData>
                  </a:graphic>
                </wp:inline>
              </w:drawing>
            </w:r>
          </w:p>
        </w:tc>
      </w:tr>
      <w:tr w14:paraId="3EB42602">
        <w:tc>
          <w:tcPr>
            <w:tcW w:w="0" w:type="auto"/>
            <w:tcBorders>
              <w:top w:val="nil"/>
              <w:left w:val="nil"/>
              <w:bottom w:val="nil"/>
              <w:right w:val="nil"/>
            </w:tcBorders>
            <w:shd w:val="clear" w:color="auto" w:fill="FFFFFF"/>
          </w:tcPr>
          <w:p w14:paraId="2365D2A1">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87" name="图片 87" descr="/Users/zhaozhiwei/Library/Containers/com.kingsoft.wpsoffice.mac/Data/tmp/photoeditapp/20250608131230/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Users/zhaozhiwei/Library/Containers/com.kingsoft.wpsoffice.mac/Data/tmp/photoeditapp/20250608131230/temp.pngtemp"/>
                          <pic:cNvPicPr>
                            <a:picLocks noChangeAspect="1"/>
                          </pic:cNvPicPr>
                        </pic:nvPicPr>
                        <pic:blipFill>
                          <a:blip r:embed="rId27"/>
                          <a:stretch>
                            <a:fillRect/>
                          </a:stretch>
                        </pic:blipFill>
                        <pic:spPr>
                          <a:xfrm>
                            <a:off x="0" y="0"/>
                            <a:ext cx="5269865" cy="3512185"/>
                          </a:xfrm>
                          <a:prstGeom prst="rect">
                            <a:avLst/>
                          </a:prstGeom>
                        </pic:spPr>
                      </pic:pic>
                    </a:graphicData>
                  </a:graphic>
                </wp:inline>
              </w:drawing>
            </w:r>
          </w:p>
        </w:tc>
      </w:tr>
      <w:tr w14:paraId="5E1F8759">
        <w:tc>
          <w:tcPr>
            <w:tcW w:w="0" w:type="auto"/>
            <w:tcBorders>
              <w:top w:val="nil"/>
              <w:left w:val="nil"/>
              <w:bottom w:val="nil"/>
              <w:right w:val="nil"/>
            </w:tcBorders>
            <w:shd w:val="clear" w:color="auto" w:fill="FFFFFF"/>
          </w:tcPr>
          <w:p w14:paraId="4CC82658">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88" name="图片 88" descr="/Users/zhaozhiwei/Library/Containers/com.kingsoft.wpsoffice.mac/Data/tmp/photoeditapp/2025060813130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Users/zhaozhiwei/Library/Containers/com.kingsoft.wpsoffice.mac/Data/tmp/photoeditapp/20250608131302/temp.pngtemp"/>
                          <pic:cNvPicPr>
                            <a:picLocks noChangeAspect="1"/>
                          </pic:cNvPicPr>
                        </pic:nvPicPr>
                        <pic:blipFill>
                          <a:blip r:embed="rId28"/>
                          <a:stretch>
                            <a:fillRect/>
                          </a:stretch>
                        </pic:blipFill>
                        <pic:spPr>
                          <a:xfrm>
                            <a:off x="0" y="0"/>
                            <a:ext cx="5269865" cy="3512185"/>
                          </a:xfrm>
                          <a:prstGeom prst="rect">
                            <a:avLst/>
                          </a:prstGeom>
                        </pic:spPr>
                      </pic:pic>
                    </a:graphicData>
                  </a:graphic>
                </wp:inline>
              </w:drawing>
            </w:r>
          </w:p>
        </w:tc>
      </w:tr>
      <w:tr w14:paraId="342B880E">
        <w:tc>
          <w:tcPr>
            <w:tcW w:w="0" w:type="auto"/>
            <w:tcBorders>
              <w:top w:val="nil"/>
              <w:left w:val="nil"/>
              <w:bottom w:val="nil"/>
              <w:right w:val="nil"/>
            </w:tcBorders>
            <w:shd w:val="clear" w:color="auto" w:fill="FFFFFF"/>
          </w:tcPr>
          <w:p w14:paraId="6033EECD">
            <w:pPr>
              <w:rPr>
                <w:rFonts w:hint="default" w:ascii="Times New Roman" w:hAnsi="Times New Roman" w:eastAsia="宋体" w:cs="Times New Roman"/>
                <w:b w:val="0"/>
                <w:bCs/>
                <w:color w:val="000000"/>
                <w:kern w:val="0"/>
                <w:sz w:val="20"/>
                <w:szCs w:val="20"/>
                <w:vertAlign w:val="baseline"/>
                <w:lang w:val="en-US" w:bidi="ar"/>
              </w:rPr>
            </w:pPr>
            <w:r>
              <w:rPr>
                <w:rFonts w:hint="default" w:ascii="Times New Roman" w:hAnsi="Times New Roman" w:eastAsia="宋体" w:cs="Times New Roman"/>
                <w:b w:val="0"/>
                <w:bCs/>
                <w:color w:val="000000"/>
                <w:kern w:val="0"/>
                <w:sz w:val="20"/>
                <w:szCs w:val="20"/>
                <w:vertAlign w:val="baseline"/>
                <w:lang w:val="en-US" w:bidi="ar"/>
              </w:rPr>
              <w:drawing>
                <wp:inline distT="0" distB="0" distL="114300" distR="114300">
                  <wp:extent cx="5269865" cy="3512185"/>
                  <wp:effectExtent l="0" t="0" r="13335" b="18415"/>
                  <wp:docPr id="89" name="图片 89" descr="/Users/zhaozhiwei/Library/Containers/com.kingsoft.wpsoffice.mac/Data/tmp/photoeditapp/20250608131353/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Users/zhaozhiwei/Library/Containers/com.kingsoft.wpsoffice.mac/Data/tmp/photoeditapp/20250608131353/temp.pngtemp"/>
                          <pic:cNvPicPr>
                            <a:picLocks noChangeAspect="1"/>
                          </pic:cNvPicPr>
                        </pic:nvPicPr>
                        <pic:blipFill>
                          <a:blip r:embed="rId29"/>
                          <a:stretch>
                            <a:fillRect/>
                          </a:stretch>
                        </pic:blipFill>
                        <pic:spPr>
                          <a:xfrm>
                            <a:off x="0" y="0"/>
                            <a:ext cx="5269865" cy="3512185"/>
                          </a:xfrm>
                          <a:prstGeom prst="rect">
                            <a:avLst/>
                          </a:prstGeom>
                        </pic:spPr>
                      </pic:pic>
                    </a:graphicData>
                  </a:graphic>
                </wp:inline>
              </w:drawing>
            </w:r>
          </w:p>
        </w:tc>
      </w:tr>
    </w:tbl>
    <w:p w14:paraId="116A3DAE">
      <w:pPr>
        <w:rPr>
          <w:rFonts w:ascii="Times New Roman" w:hAnsi="Times New Roman" w:eastAsia="宋体" w:cs="Times New Roman"/>
          <w:b/>
          <w:bCs/>
          <w:kern w:val="0"/>
          <w:sz w:val="20"/>
          <w:szCs w:val="20"/>
          <w:lang w:bidi="ar"/>
        </w:rPr>
      </w:pPr>
    </w:p>
    <w:p w14:paraId="219EE34D">
      <w:pPr>
        <w:rPr>
          <w:rFonts w:ascii="Times New Roman" w:hAnsi="Times New Roman" w:cs="Times New Roman"/>
          <w:b/>
          <w:bCs/>
          <w:sz w:val="20"/>
          <w:szCs w:val="20"/>
        </w:rPr>
      </w:pPr>
    </w:p>
    <w:p w14:paraId="6782C0CF">
      <w:pPr>
        <w:rPr>
          <w:rFonts w:ascii="Times New Roman" w:hAnsi="Times New Roman" w:cs="Times New Roman"/>
          <w:b/>
          <w:bCs/>
          <w:sz w:val="20"/>
          <w:szCs w:val="20"/>
        </w:rPr>
      </w:pPr>
    </w:p>
    <w:p w14:paraId="1E2BBC1D">
      <w:pPr>
        <w:rPr>
          <w:rFonts w:ascii="Times New Roman" w:hAnsi="Times New Roman" w:cs="Times New Roman"/>
          <w:b/>
          <w:bCs/>
          <w:sz w:val="20"/>
          <w:szCs w:val="20"/>
        </w:rPr>
      </w:pPr>
    </w:p>
    <w:p w14:paraId="0EDC6221">
      <w:pPr>
        <w:rPr>
          <w:rFonts w:ascii="Times New Roman" w:hAnsi="Times New Roman" w:cs="Times New Roman"/>
          <w:b/>
          <w:bCs/>
          <w:sz w:val="20"/>
          <w:szCs w:val="20"/>
        </w:rPr>
      </w:pPr>
    </w:p>
    <w:p w14:paraId="174C167D">
      <w:pPr>
        <w:rPr>
          <w:rFonts w:ascii="Times New Roman" w:hAnsi="Times New Roman" w:cs="Times New Roman"/>
          <w:b/>
          <w:bCs/>
          <w:sz w:val="20"/>
          <w:szCs w:val="20"/>
        </w:rPr>
      </w:pPr>
    </w:p>
    <w:p w14:paraId="5D077E91">
      <w:pPr>
        <w:rPr>
          <w:rFonts w:ascii="Times New Roman" w:hAnsi="Times New Roman" w:cs="Times New Roman"/>
          <w:b/>
          <w:bCs/>
          <w:sz w:val="20"/>
          <w:szCs w:val="20"/>
        </w:rPr>
      </w:pPr>
    </w:p>
    <w:p w14:paraId="038F739F">
      <w:pPr>
        <w:rPr>
          <w:rFonts w:ascii="Times New Roman" w:hAnsi="Times New Roman" w:cs="Times New Roman"/>
          <w:b/>
          <w:bCs/>
          <w:sz w:val="20"/>
          <w:szCs w:val="20"/>
        </w:rPr>
      </w:pPr>
    </w:p>
    <w:p w14:paraId="37153EDE">
      <w:pPr>
        <w:pStyle w:val="29"/>
        <w:spacing w:before="156" w:after="156"/>
        <w:rPr>
          <w:rFonts w:ascii="Times New Roman" w:hAnsi="Times New Roman" w:cs="Times New Roman"/>
          <w:b/>
          <w:szCs w:val="20"/>
          <w:lang w:bidi="ar"/>
        </w:rPr>
      </w:pPr>
      <w:bookmarkStart w:id="49" w:name="_Toc200549903"/>
      <w:bookmarkStart w:id="50" w:name="_Toc1522069198"/>
      <w:r>
        <w:rPr>
          <w:rFonts w:ascii="Times New Roman" w:hAnsi="Times New Roman" w:cs="Times New Roman"/>
          <w:b/>
          <w:szCs w:val="20"/>
        </w:rPr>
        <w:t xml:space="preserve">Figure 10. </w:t>
      </w:r>
      <w:r>
        <w:rPr>
          <w:rFonts w:hint="eastAsia" w:ascii="Times New Roman" w:hAnsi="Times New Roman" w:cs="Times New Roman"/>
          <w:b/>
          <w:szCs w:val="20"/>
        </w:rPr>
        <w:t>Association Between Mental Disorders and SDI. (A)ASR Prevalence of Mental Disorders. (B)ASR YLDs of Mental Disorders</w:t>
      </w:r>
      <w:r>
        <w:rPr>
          <w:rFonts w:ascii="Times New Roman" w:hAnsi="Times New Roman" w:cs="Times New Roman"/>
          <w:b/>
          <w:szCs w:val="20"/>
          <w:lang w:bidi="ar"/>
        </w:rPr>
        <w:t>.</w:t>
      </w:r>
      <w:bookmarkEnd w:id="49"/>
      <w:bookmarkEnd w:id="50"/>
    </w:p>
    <w:p w14:paraId="4519A9E2">
      <w:pPr>
        <w:rPr>
          <w:rFonts w:hint="default" w:ascii="Times New Roman" w:hAnsi="Times New Roman" w:eastAsia="宋体" w:cs="Times New Roman"/>
          <w:b/>
          <w:bCs/>
          <w:kern w:val="0"/>
          <w:sz w:val="20"/>
          <w:szCs w:val="20"/>
          <w:lang w:val="en-US" w:bidi="ar"/>
        </w:rPr>
      </w:pPr>
      <w:r>
        <w:rPr>
          <w:rFonts w:hint="default" w:ascii="Times New Roman" w:hAnsi="Times New Roman" w:eastAsia="宋体" w:cs="Times New Roman"/>
          <w:b/>
          <w:bCs/>
          <w:kern w:val="0"/>
          <w:sz w:val="20"/>
          <w:szCs w:val="20"/>
          <w:lang w:val="en-US" w:bidi="ar"/>
        </w:rPr>
        <w:drawing>
          <wp:inline distT="0" distB="0" distL="114300" distR="114300">
            <wp:extent cx="5272405" cy="3012440"/>
            <wp:effectExtent l="0" t="0" r="10795" b="10160"/>
            <wp:docPr id="90" name="图片 90" descr="SDI_Mental_disorders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SDI_Mental_disorders_00"/>
                    <pic:cNvPicPr>
                      <a:picLocks noChangeAspect="1"/>
                    </pic:cNvPicPr>
                  </pic:nvPicPr>
                  <pic:blipFill>
                    <a:blip r:embed="rId30"/>
                    <a:stretch>
                      <a:fillRect/>
                    </a:stretch>
                  </pic:blipFill>
                  <pic:spPr>
                    <a:xfrm>
                      <a:off x="0" y="0"/>
                      <a:ext cx="5272405" cy="3012440"/>
                    </a:xfrm>
                    <a:prstGeom prst="rect">
                      <a:avLst/>
                    </a:prstGeom>
                  </pic:spPr>
                </pic:pic>
              </a:graphicData>
            </a:graphic>
          </wp:inline>
        </w:drawing>
      </w:r>
    </w:p>
    <w:p w14:paraId="049717C6">
      <w:pPr>
        <w:rPr>
          <w:rFonts w:ascii="Times New Roman" w:hAnsi="Times New Roman" w:cs="Times New Roman"/>
          <w:b/>
          <w:bCs/>
          <w:sz w:val="20"/>
          <w:szCs w:val="20"/>
        </w:rPr>
      </w:pPr>
    </w:p>
    <w:p w14:paraId="3377C426">
      <w:pPr>
        <w:rPr>
          <w:rFonts w:ascii="Times New Roman" w:hAnsi="Times New Roman" w:cs="Times New Roman"/>
          <w:b/>
          <w:bCs/>
          <w:sz w:val="20"/>
          <w:szCs w:val="20"/>
        </w:rPr>
      </w:pPr>
    </w:p>
    <w:p w14:paraId="14ACA8A5">
      <w:pPr>
        <w:rPr>
          <w:rFonts w:ascii="Times New Roman" w:hAnsi="Times New Roman" w:cs="Times New Roman"/>
          <w:b/>
          <w:bCs/>
          <w:sz w:val="20"/>
          <w:szCs w:val="20"/>
        </w:rPr>
      </w:pPr>
    </w:p>
    <w:p w14:paraId="3ECE7651">
      <w:pPr>
        <w:rPr>
          <w:rFonts w:ascii="Times New Roman" w:hAnsi="Times New Roman" w:cs="Times New Roman"/>
          <w:b/>
          <w:bCs/>
          <w:sz w:val="20"/>
          <w:szCs w:val="20"/>
        </w:rPr>
      </w:pPr>
    </w:p>
    <w:p w14:paraId="119DD9FF">
      <w:pPr>
        <w:rPr>
          <w:rFonts w:ascii="Times New Roman" w:hAnsi="Times New Roman" w:cs="Times New Roman"/>
          <w:b/>
          <w:bCs/>
          <w:sz w:val="20"/>
          <w:szCs w:val="20"/>
        </w:rPr>
      </w:pPr>
    </w:p>
    <w:p w14:paraId="6FC0B392">
      <w:pPr>
        <w:rPr>
          <w:rFonts w:ascii="Times New Roman" w:hAnsi="Times New Roman" w:cs="Times New Roman"/>
          <w:b/>
          <w:bCs/>
          <w:sz w:val="20"/>
          <w:szCs w:val="20"/>
        </w:rPr>
      </w:pPr>
    </w:p>
    <w:p w14:paraId="4EB5E11F">
      <w:pPr>
        <w:rPr>
          <w:rFonts w:ascii="Times New Roman" w:hAnsi="Times New Roman" w:cs="Times New Roman"/>
          <w:b/>
          <w:bCs/>
          <w:sz w:val="20"/>
          <w:szCs w:val="20"/>
        </w:rPr>
      </w:pPr>
    </w:p>
    <w:p w14:paraId="328A507B">
      <w:pPr>
        <w:rPr>
          <w:rFonts w:ascii="Times New Roman" w:hAnsi="Times New Roman" w:cs="Times New Roman"/>
          <w:b/>
          <w:bCs/>
          <w:sz w:val="20"/>
          <w:szCs w:val="20"/>
        </w:rPr>
      </w:pPr>
    </w:p>
    <w:p w14:paraId="7F3E5FF0">
      <w:pPr>
        <w:rPr>
          <w:rFonts w:ascii="Times New Roman" w:hAnsi="Times New Roman" w:cs="Times New Roman"/>
          <w:b/>
          <w:bCs/>
          <w:sz w:val="20"/>
          <w:szCs w:val="20"/>
        </w:rPr>
      </w:pPr>
    </w:p>
    <w:p w14:paraId="16F3718D">
      <w:pPr>
        <w:rPr>
          <w:rFonts w:ascii="Times New Roman" w:hAnsi="Times New Roman" w:cs="Times New Roman"/>
          <w:b/>
          <w:bCs/>
          <w:sz w:val="20"/>
          <w:szCs w:val="20"/>
        </w:rPr>
      </w:pPr>
    </w:p>
    <w:p w14:paraId="1457EF57">
      <w:pPr>
        <w:rPr>
          <w:rFonts w:ascii="Times New Roman" w:hAnsi="Times New Roman" w:cs="Times New Roman"/>
          <w:b/>
          <w:bCs/>
          <w:sz w:val="20"/>
          <w:szCs w:val="20"/>
        </w:rPr>
      </w:pPr>
    </w:p>
    <w:p w14:paraId="0C858A2A">
      <w:pPr>
        <w:rPr>
          <w:rFonts w:ascii="Times New Roman" w:hAnsi="Times New Roman" w:cs="Times New Roman"/>
          <w:b/>
          <w:bCs/>
          <w:sz w:val="20"/>
          <w:szCs w:val="20"/>
        </w:rPr>
      </w:pPr>
    </w:p>
    <w:p w14:paraId="275093BB">
      <w:pPr>
        <w:rPr>
          <w:rFonts w:ascii="Times New Roman" w:hAnsi="Times New Roman" w:cs="Times New Roman"/>
          <w:b/>
          <w:bCs/>
          <w:sz w:val="20"/>
          <w:szCs w:val="20"/>
        </w:rPr>
      </w:pPr>
    </w:p>
    <w:p w14:paraId="73D25A94">
      <w:pPr>
        <w:rPr>
          <w:rFonts w:ascii="Times New Roman" w:hAnsi="Times New Roman" w:cs="Times New Roman"/>
          <w:b/>
          <w:bCs/>
          <w:sz w:val="20"/>
          <w:szCs w:val="20"/>
        </w:rPr>
      </w:pPr>
    </w:p>
    <w:p w14:paraId="10F76DA4">
      <w:pPr>
        <w:rPr>
          <w:rFonts w:ascii="Times New Roman" w:hAnsi="Times New Roman" w:cs="Times New Roman"/>
          <w:b/>
          <w:bCs/>
          <w:sz w:val="20"/>
          <w:szCs w:val="20"/>
        </w:rPr>
      </w:pPr>
    </w:p>
    <w:p w14:paraId="52D85420">
      <w:pPr>
        <w:rPr>
          <w:rFonts w:ascii="Times New Roman" w:hAnsi="Times New Roman" w:cs="Times New Roman"/>
          <w:b/>
          <w:bCs/>
          <w:sz w:val="20"/>
          <w:szCs w:val="20"/>
        </w:rPr>
      </w:pPr>
    </w:p>
    <w:p w14:paraId="7A123184">
      <w:pPr>
        <w:rPr>
          <w:rFonts w:ascii="Times New Roman" w:hAnsi="Times New Roman" w:cs="Times New Roman"/>
          <w:b/>
          <w:bCs/>
          <w:sz w:val="20"/>
          <w:szCs w:val="20"/>
        </w:rPr>
      </w:pPr>
    </w:p>
    <w:p w14:paraId="27028100">
      <w:pPr>
        <w:rPr>
          <w:rFonts w:ascii="Times New Roman" w:hAnsi="Times New Roman" w:cs="Times New Roman"/>
          <w:b/>
          <w:bCs/>
          <w:sz w:val="20"/>
          <w:szCs w:val="20"/>
        </w:rPr>
      </w:pPr>
    </w:p>
    <w:p w14:paraId="261BB425">
      <w:pPr>
        <w:rPr>
          <w:rFonts w:ascii="Times New Roman" w:hAnsi="Times New Roman" w:cs="Times New Roman"/>
          <w:b/>
          <w:bCs/>
          <w:sz w:val="20"/>
          <w:szCs w:val="20"/>
        </w:rPr>
      </w:pPr>
    </w:p>
    <w:p w14:paraId="115A31C3">
      <w:pPr>
        <w:rPr>
          <w:rFonts w:ascii="Times New Roman" w:hAnsi="Times New Roman" w:cs="Times New Roman"/>
          <w:b/>
          <w:bCs/>
          <w:sz w:val="20"/>
          <w:szCs w:val="20"/>
        </w:rPr>
      </w:pPr>
    </w:p>
    <w:p w14:paraId="6EF2D518">
      <w:pPr>
        <w:rPr>
          <w:rFonts w:ascii="Times New Roman" w:hAnsi="Times New Roman" w:cs="Times New Roman"/>
          <w:b/>
          <w:bCs/>
          <w:sz w:val="20"/>
          <w:szCs w:val="20"/>
        </w:rPr>
      </w:pPr>
    </w:p>
    <w:p w14:paraId="5583EB10">
      <w:pPr>
        <w:rPr>
          <w:rFonts w:ascii="Times New Roman" w:hAnsi="Times New Roman" w:cs="Times New Roman"/>
          <w:b/>
          <w:bCs/>
          <w:sz w:val="20"/>
          <w:szCs w:val="20"/>
        </w:rPr>
      </w:pPr>
    </w:p>
    <w:p w14:paraId="2D7DB9F5">
      <w:pPr>
        <w:rPr>
          <w:rFonts w:ascii="Times New Roman" w:hAnsi="Times New Roman" w:cs="Times New Roman"/>
          <w:b/>
          <w:bCs/>
          <w:sz w:val="20"/>
          <w:szCs w:val="20"/>
        </w:rPr>
      </w:pPr>
    </w:p>
    <w:p w14:paraId="77DE5D1A">
      <w:pPr>
        <w:rPr>
          <w:rFonts w:ascii="Times New Roman" w:hAnsi="Times New Roman" w:cs="Times New Roman"/>
          <w:b/>
          <w:bCs/>
          <w:sz w:val="20"/>
          <w:szCs w:val="20"/>
        </w:rPr>
      </w:pPr>
    </w:p>
    <w:p w14:paraId="2F92E705">
      <w:pPr>
        <w:rPr>
          <w:rFonts w:ascii="Times New Roman" w:hAnsi="Times New Roman" w:cs="Times New Roman"/>
          <w:b/>
          <w:bCs/>
          <w:sz w:val="20"/>
          <w:szCs w:val="20"/>
        </w:rPr>
      </w:pPr>
    </w:p>
    <w:p w14:paraId="6346CBF1">
      <w:pPr>
        <w:pStyle w:val="29"/>
        <w:spacing w:before="156" w:after="156"/>
        <w:rPr>
          <w:rFonts w:ascii="Times New Roman" w:hAnsi="Times New Roman" w:cs="Times New Roman"/>
          <w:b/>
          <w:szCs w:val="20"/>
          <w:lang w:bidi="ar"/>
        </w:rPr>
      </w:pPr>
      <w:bookmarkStart w:id="51" w:name="_Toc1240377578"/>
      <w:bookmarkStart w:id="52" w:name="_Toc591807722"/>
      <w:r>
        <w:rPr>
          <w:rFonts w:ascii="Times New Roman" w:hAnsi="Times New Roman" w:cs="Times New Roman"/>
          <w:b/>
          <w:szCs w:val="20"/>
        </w:rPr>
        <w:t xml:space="preserve">Figure 11. </w:t>
      </w:r>
      <w:r>
        <w:rPr>
          <w:rFonts w:hint="eastAsia" w:ascii="Times New Roman" w:hAnsi="Times New Roman" w:cs="Times New Roman"/>
          <w:b/>
          <w:szCs w:val="20"/>
        </w:rPr>
        <w:t xml:space="preserve">Association Between </w:t>
      </w:r>
      <w:r>
        <w:rPr>
          <w:rFonts w:hint="default" w:ascii="Times New Roman" w:hAnsi="Times New Roman" w:cs="Times New Roman"/>
          <w:b/>
          <w:lang w:val="en-US" w:bidi="ar"/>
        </w:rPr>
        <w:t>Developmental Intellcetual Disability</w:t>
      </w:r>
      <w:r>
        <w:rPr>
          <w:rFonts w:hint="eastAsia" w:ascii="Times New Roman" w:hAnsi="Times New Roman" w:cs="Times New Roman"/>
          <w:b/>
          <w:szCs w:val="20"/>
        </w:rPr>
        <w:t xml:space="preserve"> and SDI. (A)ASR Prevalence of </w:t>
      </w:r>
      <w:r>
        <w:rPr>
          <w:rFonts w:hint="default" w:ascii="Times New Roman" w:hAnsi="Times New Roman" w:cs="Times New Roman"/>
          <w:b/>
          <w:lang w:val="en-US" w:bidi="ar"/>
        </w:rPr>
        <w:t>Developmental Intellcetual Disability</w:t>
      </w:r>
      <w:r>
        <w:rPr>
          <w:rFonts w:hint="eastAsia" w:ascii="Times New Roman" w:hAnsi="Times New Roman" w:cs="Times New Roman"/>
          <w:b/>
          <w:szCs w:val="20"/>
        </w:rPr>
        <w:t xml:space="preserve">. (B)ASR YLDs of </w:t>
      </w:r>
      <w:r>
        <w:rPr>
          <w:rFonts w:hint="default" w:ascii="Times New Roman" w:hAnsi="Times New Roman" w:cs="Times New Roman"/>
          <w:b/>
          <w:lang w:val="en-US" w:bidi="ar"/>
        </w:rPr>
        <w:t>Developmental Intellcetual Disability</w:t>
      </w:r>
      <w:r>
        <w:rPr>
          <w:rFonts w:ascii="Times New Roman" w:hAnsi="Times New Roman" w:cs="Times New Roman"/>
          <w:b/>
          <w:szCs w:val="20"/>
          <w:lang w:bidi="ar"/>
        </w:rPr>
        <w:t>.</w:t>
      </w:r>
      <w:bookmarkEnd w:id="51"/>
      <w:bookmarkEnd w:id="52"/>
    </w:p>
    <w:p w14:paraId="2E0AB56B">
      <w:pPr>
        <w:rPr>
          <w:rFonts w:hint="default" w:ascii="Times New Roman" w:hAnsi="Times New Roman" w:cs="Times New Roman"/>
          <w:b/>
          <w:bCs/>
          <w:sz w:val="20"/>
          <w:szCs w:val="20"/>
          <w:lang w:val="en-US"/>
        </w:rPr>
      </w:pPr>
      <w:r>
        <w:rPr>
          <w:rFonts w:hint="default" w:ascii="Times New Roman" w:hAnsi="Times New Roman" w:cs="Times New Roman"/>
          <w:b/>
          <w:bCs/>
          <w:sz w:val="20"/>
          <w:szCs w:val="20"/>
          <w:lang w:val="en-US"/>
        </w:rPr>
        <w:drawing>
          <wp:inline distT="0" distB="0" distL="114300" distR="114300">
            <wp:extent cx="5272405" cy="3012440"/>
            <wp:effectExtent l="0" t="0" r="10795" b="10160"/>
            <wp:docPr id="91" name="图片 91" descr="SDI_Developmental_intellectual_disability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SDI_Developmental_intellectual_disability_00"/>
                    <pic:cNvPicPr>
                      <a:picLocks noChangeAspect="1"/>
                    </pic:cNvPicPr>
                  </pic:nvPicPr>
                  <pic:blipFill>
                    <a:blip r:embed="rId31"/>
                    <a:stretch>
                      <a:fillRect/>
                    </a:stretch>
                  </pic:blipFill>
                  <pic:spPr>
                    <a:xfrm>
                      <a:off x="0" y="0"/>
                      <a:ext cx="5272405" cy="3012440"/>
                    </a:xfrm>
                    <a:prstGeom prst="rect">
                      <a:avLst/>
                    </a:prstGeom>
                  </pic:spPr>
                </pic:pic>
              </a:graphicData>
            </a:graphic>
          </wp:inline>
        </w:drawing>
      </w:r>
    </w:p>
    <w:p w14:paraId="6BDE8DAE">
      <w:pPr>
        <w:rPr>
          <w:rFonts w:ascii="Times New Roman" w:hAnsi="Times New Roman" w:cs="Times New Roman"/>
          <w:b/>
          <w:bCs/>
          <w:sz w:val="20"/>
          <w:szCs w:val="20"/>
        </w:rPr>
      </w:pPr>
    </w:p>
    <w:p w14:paraId="53EE34CF">
      <w:pPr>
        <w:rPr>
          <w:rFonts w:ascii="Times New Roman" w:hAnsi="Times New Roman" w:cs="Times New Roman"/>
          <w:b/>
          <w:bCs/>
          <w:sz w:val="20"/>
          <w:szCs w:val="20"/>
        </w:rPr>
      </w:pPr>
    </w:p>
    <w:p w14:paraId="746CD8EA">
      <w:pPr>
        <w:rPr>
          <w:rFonts w:ascii="Times New Roman" w:hAnsi="Times New Roman" w:cs="Times New Roman"/>
          <w:b/>
          <w:bCs/>
          <w:sz w:val="20"/>
          <w:szCs w:val="20"/>
        </w:rPr>
      </w:pPr>
    </w:p>
    <w:p w14:paraId="0ECA828B">
      <w:pPr>
        <w:rPr>
          <w:rFonts w:ascii="Times New Roman" w:hAnsi="Times New Roman" w:cs="Times New Roman"/>
          <w:b/>
          <w:bCs/>
          <w:sz w:val="20"/>
          <w:szCs w:val="20"/>
        </w:rPr>
      </w:pPr>
    </w:p>
    <w:p w14:paraId="09FED9F4">
      <w:pPr>
        <w:rPr>
          <w:rFonts w:ascii="Times New Roman" w:hAnsi="Times New Roman" w:cs="Times New Roman"/>
          <w:b/>
          <w:bCs/>
          <w:sz w:val="20"/>
          <w:szCs w:val="20"/>
        </w:rPr>
      </w:pPr>
    </w:p>
    <w:p w14:paraId="10FC15BF">
      <w:pPr>
        <w:rPr>
          <w:rFonts w:ascii="Times New Roman" w:hAnsi="Times New Roman" w:cs="Times New Roman"/>
          <w:b/>
          <w:bCs/>
          <w:sz w:val="20"/>
          <w:szCs w:val="20"/>
        </w:rPr>
      </w:pPr>
    </w:p>
    <w:p w14:paraId="31DB0B64">
      <w:pPr>
        <w:rPr>
          <w:rFonts w:ascii="Times New Roman" w:hAnsi="Times New Roman" w:cs="Times New Roman"/>
          <w:b/>
          <w:bCs/>
          <w:sz w:val="20"/>
          <w:szCs w:val="20"/>
        </w:rPr>
      </w:pPr>
    </w:p>
    <w:p w14:paraId="3B50CE59">
      <w:pPr>
        <w:rPr>
          <w:rFonts w:ascii="Times New Roman" w:hAnsi="Times New Roman" w:cs="Times New Roman"/>
          <w:b/>
          <w:bCs/>
          <w:sz w:val="20"/>
          <w:szCs w:val="20"/>
        </w:rPr>
      </w:pPr>
    </w:p>
    <w:p w14:paraId="26091010">
      <w:pPr>
        <w:rPr>
          <w:rFonts w:ascii="Times New Roman" w:hAnsi="Times New Roman" w:cs="Times New Roman"/>
          <w:b/>
          <w:bCs/>
          <w:sz w:val="20"/>
          <w:szCs w:val="20"/>
        </w:rPr>
      </w:pPr>
    </w:p>
    <w:p w14:paraId="44BA0696">
      <w:pPr>
        <w:rPr>
          <w:rFonts w:ascii="Times New Roman" w:hAnsi="Times New Roman" w:cs="Times New Roman"/>
          <w:b/>
          <w:bCs/>
          <w:sz w:val="20"/>
          <w:szCs w:val="20"/>
        </w:rPr>
      </w:pPr>
    </w:p>
    <w:p w14:paraId="2F9B7AFD">
      <w:pPr>
        <w:rPr>
          <w:rFonts w:ascii="Times New Roman" w:hAnsi="Times New Roman" w:cs="Times New Roman"/>
          <w:b/>
          <w:bCs/>
          <w:sz w:val="20"/>
          <w:szCs w:val="20"/>
        </w:rPr>
      </w:pPr>
    </w:p>
    <w:p w14:paraId="2DA5AE6E">
      <w:pPr>
        <w:rPr>
          <w:rFonts w:ascii="Times New Roman" w:hAnsi="Times New Roman" w:cs="Times New Roman"/>
          <w:b/>
          <w:bCs/>
          <w:sz w:val="20"/>
          <w:szCs w:val="20"/>
        </w:rPr>
      </w:pPr>
    </w:p>
    <w:p w14:paraId="07CC566D">
      <w:pPr>
        <w:rPr>
          <w:rFonts w:ascii="Times New Roman" w:hAnsi="Times New Roman" w:cs="Times New Roman"/>
          <w:b/>
          <w:bCs/>
          <w:sz w:val="20"/>
          <w:szCs w:val="20"/>
        </w:rPr>
      </w:pPr>
    </w:p>
    <w:p w14:paraId="68893974">
      <w:pPr>
        <w:rPr>
          <w:rFonts w:ascii="Times New Roman" w:hAnsi="Times New Roman" w:cs="Times New Roman"/>
          <w:b/>
          <w:bCs/>
          <w:sz w:val="20"/>
          <w:szCs w:val="20"/>
        </w:rPr>
      </w:pPr>
    </w:p>
    <w:p w14:paraId="7ACA1539">
      <w:pPr>
        <w:rPr>
          <w:rFonts w:ascii="Times New Roman" w:hAnsi="Times New Roman" w:cs="Times New Roman"/>
          <w:b/>
          <w:bCs/>
          <w:sz w:val="20"/>
          <w:szCs w:val="20"/>
        </w:rPr>
      </w:pPr>
    </w:p>
    <w:p w14:paraId="359D1954">
      <w:pPr>
        <w:rPr>
          <w:rFonts w:ascii="Times New Roman" w:hAnsi="Times New Roman" w:cs="Times New Roman"/>
          <w:b/>
          <w:bCs/>
          <w:sz w:val="20"/>
          <w:szCs w:val="20"/>
        </w:rPr>
      </w:pPr>
    </w:p>
    <w:p w14:paraId="66E17B76">
      <w:pPr>
        <w:rPr>
          <w:rFonts w:ascii="Times New Roman" w:hAnsi="Times New Roman" w:cs="Times New Roman"/>
          <w:b/>
          <w:bCs/>
          <w:sz w:val="20"/>
          <w:szCs w:val="20"/>
        </w:rPr>
      </w:pPr>
    </w:p>
    <w:p w14:paraId="734A56CC">
      <w:pPr>
        <w:rPr>
          <w:rFonts w:ascii="Times New Roman" w:hAnsi="Times New Roman" w:cs="Times New Roman"/>
          <w:b/>
          <w:bCs/>
          <w:sz w:val="20"/>
          <w:szCs w:val="20"/>
        </w:rPr>
      </w:pPr>
    </w:p>
    <w:p w14:paraId="352FAA3C">
      <w:pPr>
        <w:rPr>
          <w:rFonts w:ascii="Times New Roman" w:hAnsi="Times New Roman" w:cs="Times New Roman"/>
          <w:b/>
          <w:bCs/>
          <w:sz w:val="20"/>
          <w:szCs w:val="20"/>
        </w:rPr>
      </w:pPr>
    </w:p>
    <w:p w14:paraId="64644A5D">
      <w:pPr>
        <w:rPr>
          <w:rFonts w:ascii="Times New Roman" w:hAnsi="Times New Roman" w:cs="Times New Roman"/>
          <w:b/>
          <w:bCs/>
          <w:sz w:val="20"/>
          <w:szCs w:val="20"/>
        </w:rPr>
      </w:pPr>
    </w:p>
    <w:p w14:paraId="6C540E23">
      <w:pPr>
        <w:rPr>
          <w:rFonts w:ascii="Times New Roman" w:hAnsi="Times New Roman" w:cs="Times New Roman"/>
          <w:b/>
          <w:bCs/>
          <w:sz w:val="20"/>
          <w:szCs w:val="20"/>
        </w:rPr>
      </w:pPr>
    </w:p>
    <w:p w14:paraId="081F5CE3">
      <w:pPr>
        <w:rPr>
          <w:rFonts w:ascii="Times New Roman" w:hAnsi="Times New Roman" w:cs="Times New Roman"/>
          <w:b/>
          <w:bCs/>
          <w:sz w:val="20"/>
          <w:szCs w:val="20"/>
        </w:rPr>
      </w:pPr>
    </w:p>
    <w:p w14:paraId="3A883A7B">
      <w:pPr>
        <w:rPr>
          <w:rFonts w:ascii="Times New Roman" w:hAnsi="Times New Roman" w:cs="Times New Roman"/>
          <w:b/>
          <w:bCs/>
          <w:sz w:val="20"/>
          <w:szCs w:val="20"/>
        </w:rPr>
      </w:pPr>
    </w:p>
    <w:p w14:paraId="05F0D6C2">
      <w:pPr>
        <w:rPr>
          <w:rFonts w:ascii="Times New Roman" w:hAnsi="Times New Roman" w:cs="Times New Roman"/>
          <w:b/>
          <w:bCs/>
          <w:sz w:val="20"/>
          <w:szCs w:val="20"/>
        </w:rPr>
      </w:pPr>
    </w:p>
    <w:p w14:paraId="1279287F">
      <w:pPr>
        <w:pStyle w:val="29"/>
        <w:spacing w:before="156" w:after="156"/>
        <w:rPr>
          <w:rFonts w:ascii="Times New Roman" w:hAnsi="Times New Roman" w:cs="Times New Roman"/>
          <w:b/>
          <w:szCs w:val="20"/>
          <w:lang w:bidi="ar"/>
        </w:rPr>
      </w:pPr>
      <w:bookmarkStart w:id="53" w:name="_Toc1402192017"/>
      <w:bookmarkStart w:id="54" w:name="_Toc1515614397"/>
      <w:r>
        <w:rPr>
          <w:rFonts w:ascii="Times New Roman" w:hAnsi="Times New Roman" w:cs="Times New Roman"/>
          <w:b/>
          <w:szCs w:val="20"/>
        </w:rPr>
        <w:t xml:space="preserve">Figure 12. </w:t>
      </w:r>
      <w:r>
        <w:rPr>
          <w:rFonts w:hint="eastAsia" w:ascii="Times New Roman" w:hAnsi="Times New Roman" w:cs="Times New Roman"/>
          <w:b/>
          <w:szCs w:val="20"/>
        </w:rPr>
        <w:t xml:space="preserve">Association Between </w:t>
      </w:r>
      <w:r>
        <w:rPr>
          <w:rFonts w:hint="default" w:ascii="Times New Roman" w:hAnsi="Times New Roman" w:cs="Times New Roman"/>
          <w:b/>
          <w:lang w:val="en-US" w:bidi="ar"/>
        </w:rPr>
        <w:t>Schizophrenia</w:t>
      </w:r>
      <w:r>
        <w:rPr>
          <w:rFonts w:hint="eastAsia" w:ascii="Times New Roman" w:hAnsi="Times New Roman" w:cs="Times New Roman"/>
          <w:b/>
          <w:szCs w:val="20"/>
        </w:rPr>
        <w:t xml:space="preserve"> and SDI. (A)ASR Prevalence of </w:t>
      </w:r>
      <w:r>
        <w:rPr>
          <w:rFonts w:hint="default" w:ascii="Times New Roman" w:hAnsi="Times New Roman" w:cs="Times New Roman"/>
          <w:b/>
          <w:lang w:val="en-US" w:bidi="ar"/>
        </w:rPr>
        <w:t>Schizophrenia</w:t>
      </w:r>
      <w:r>
        <w:rPr>
          <w:rFonts w:hint="eastAsia" w:ascii="Times New Roman" w:hAnsi="Times New Roman" w:cs="Times New Roman"/>
          <w:b/>
          <w:szCs w:val="20"/>
        </w:rPr>
        <w:t xml:space="preserve">. (B)ASR YLDs of </w:t>
      </w:r>
      <w:r>
        <w:rPr>
          <w:rFonts w:hint="default" w:ascii="Times New Roman" w:hAnsi="Times New Roman" w:cs="Times New Roman"/>
          <w:b/>
          <w:lang w:val="en-US" w:bidi="ar"/>
        </w:rPr>
        <w:t>Schizophrenia</w:t>
      </w:r>
      <w:r>
        <w:rPr>
          <w:rFonts w:ascii="Times New Roman" w:hAnsi="Times New Roman" w:cs="Times New Roman"/>
          <w:b/>
          <w:szCs w:val="20"/>
          <w:lang w:bidi="ar"/>
        </w:rPr>
        <w:t>.</w:t>
      </w:r>
      <w:bookmarkEnd w:id="53"/>
      <w:bookmarkEnd w:id="54"/>
    </w:p>
    <w:p w14:paraId="4D1339F2">
      <w:pPr>
        <w:rPr>
          <w:rFonts w:hint="default" w:ascii="Times New Roman" w:hAnsi="Times New Roman" w:cs="Times New Roman"/>
          <w:b/>
          <w:bCs/>
          <w:sz w:val="20"/>
          <w:szCs w:val="20"/>
          <w:lang w:val="en-US"/>
        </w:rPr>
      </w:pPr>
      <w:r>
        <w:rPr>
          <w:rFonts w:hint="default" w:ascii="Times New Roman" w:hAnsi="Times New Roman" w:cs="Times New Roman"/>
          <w:b/>
          <w:bCs/>
          <w:sz w:val="20"/>
          <w:szCs w:val="20"/>
          <w:lang w:val="en-US"/>
        </w:rPr>
        <w:drawing>
          <wp:inline distT="0" distB="0" distL="114300" distR="114300">
            <wp:extent cx="5272405" cy="3012440"/>
            <wp:effectExtent l="0" t="0" r="10795" b="10160"/>
            <wp:docPr id="92" name="图片 92" descr="SDI_Schizophrenia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SDI_Schizophrenia_00"/>
                    <pic:cNvPicPr>
                      <a:picLocks noChangeAspect="1"/>
                    </pic:cNvPicPr>
                  </pic:nvPicPr>
                  <pic:blipFill>
                    <a:blip r:embed="rId32"/>
                    <a:stretch>
                      <a:fillRect/>
                    </a:stretch>
                  </pic:blipFill>
                  <pic:spPr>
                    <a:xfrm>
                      <a:off x="0" y="0"/>
                      <a:ext cx="5272405" cy="3012440"/>
                    </a:xfrm>
                    <a:prstGeom prst="rect">
                      <a:avLst/>
                    </a:prstGeom>
                  </pic:spPr>
                </pic:pic>
              </a:graphicData>
            </a:graphic>
          </wp:inline>
        </w:drawing>
      </w:r>
    </w:p>
    <w:p w14:paraId="75A2E063">
      <w:pPr>
        <w:rPr>
          <w:rFonts w:ascii="Times New Roman" w:hAnsi="Times New Roman" w:cs="Times New Roman"/>
          <w:b/>
          <w:bCs/>
          <w:sz w:val="20"/>
          <w:szCs w:val="20"/>
        </w:rPr>
      </w:pPr>
    </w:p>
    <w:p w14:paraId="04873040">
      <w:pPr>
        <w:rPr>
          <w:rFonts w:ascii="Times New Roman" w:hAnsi="Times New Roman" w:cs="Times New Roman"/>
          <w:b/>
          <w:bCs/>
          <w:sz w:val="20"/>
          <w:szCs w:val="20"/>
        </w:rPr>
      </w:pPr>
    </w:p>
    <w:p w14:paraId="5152CB82">
      <w:pPr>
        <w:rPr>
          <w:rFonts w:ascii="Times New Roman" w:hAnsi="Times New Roman" w:cs="Times New Roman"/>
          <w:b/>
          <w:bCs/>
          <w:sz w:val="20"/>
          <w:szCs w:val="20"/>
        </w:rPr>
      </w:pPr>
    </w:p>
    <w:p w14:paraId="70562645">
      <w:pPr>
        <w:rPr>
          <w:rFonts w:ascii="Times New Roman" w:hAnsi="Times New Roman" w:cs="Times New Roman"/>
          <w:b/>
          <w:bCs/>
          <w:sz w:val="20"/>
          <w:szCs w:val="20"/>
        </w:rPr>
      </w:pPr>
    </w:p>
    <w:p w14:paraId="3407226C">
      <w:pPr>
        <w:rPr>
          <w:rFonts w:ascii="Times New Roman" w:hAnsi="Times New Roman" w:cs="Times New Roman"/>
          <w:b/>
          <w:bCs/>
          <w:sz w:val="20"/>
          <w:szCs w:val="20"/>
        </w:rPr>
      </w:pPr>
    </w:p>
    <w:p w14:paraId="10C05EBB">
      <w:pPr>
        <w:rPr>
          <w:rFonts w:ascii="Times New Roman" w:hAnsi="Times New Roman" w:cs="Times New Roman"/>
          <w:b/>
          <w:bCs/>
          <w:sz w:val="20"/>
          <w:szCs w:val="20"/>
        </w:rPr>
      </w:pPr>
    </w:p>
    <w:p w14:paraId="3EFEE913">
      <w:pPr>
        <w:rPr>
          <w:rFonts w:ascii="Times New Roman" w:hAnsi="Times New Roman" w:cs="Times New Roman"/>
          <w:b/>
          <w:bCs/>
          <w:sz w:val="20"/>
          <w:szCs w:val="20"/>
        </w:rPr>
      </w:pPr>
    </w:p>
    <w:p w14:paraId="54406022">
      <w:pPr>
        <w:rPr>
          <w:rFonts w:ascii="Times New Roman" w:hAnsi="Times New Roman" w:cs="Times New Roman"/>
          <w:b/>
          <w:bCs/>
          <w:sz w:val="20"/>
          <w:szCs w:val="20"/>
        </w:rPr>
      </w:pPr>
    </w:p>
    <w:p w14:paraId="44B4D736">
      <w:pPr>
        <w:rPr>
          <w:rFonts w:ascii="Times New Roman" w:hAnsi="Times New Roman" w:cs="Times New Roman"/>
          <w:b/>
          <w:bCs/>
          <w:sz w:val="20"/>
          <w:szCs w:val="20"/>
        </w:rPr>
      </w:pPr>
    </w:p>
    <w:p w14:paraId="68B10ACE">
      <w:pPr>
        <w:rPr>
          <w:rFonts w:ascii="Times New Roman" w:hAnsi="Times New Roman" w:cs="Times New Roman"/>
          <w:b/>
          <w:bCs/>
          <w:sz w:val="20"/>
          <w:szCs w:val="20"/>
        </w:rPr>
      </w:pPr>
    </w:p>
    <w:p w14:paraId="6AF87905">
      <w:pPr>
        <w:rPr>
          <w:rFonts w:ascii="Times New Roman" w:hAnsi="Times New Roman" w:cs="Times New Roman"/>
          <w:b/>
          <w:bCs/>
          <w:sz w:val="20"/>
          <w:szCs w:val="20"/>
        </w:rPr>
      </w:pPr>
    </w:p>
    <w:p w14:paraId="59479C24">
      <w:pPr>
        <w:rPr>
          <w:rFonts w:ascii="Times New Roman" w:hAnsi="Times New Roman" w:cs="Times New Roman"/>
          <w:b/>
          <w:bCs/>
          <w:sz w:val="20"/>
          <w:szCs w:val="20"/>
        </w:rPr>
      </w:pPr>
    </w:p>
    <w:p w14:paraId="2B3DFD80">
      <w:pPr>
        <w:rPr>
          <w:rFonts w:ascii="Times New Roman" w:hAnsi="Times New Roman" w:cs="Times New Roman"/>
          <w:b/>
          <w:bCs/>
          <w:sz w:val="20"/>
          <w:szCs w:val="20"/>
        </w:rPr>
      </w:pPr>
    </w:p>
    <w:p w14:paraId="0432EAF9">
      <w:pPr>
        <w:rPr>
          <w:rFonts w:ascii="Times New Roman" w:hAnsi="Times New Roman" w:cs="Times New Roman"/>
          <w:b/>
          <w:bCs/>
          <w:sz w:val="20"/>
          <w:szCs w:val="20"/>
        </w:rPr>
      </w:pPr>
    </w:p>
    <w:p w14:paraId="306D1345">
      <w:pPr>
        <w:rPr>
          <w:rFonts w:ascii="Times New Roman" w:hAnsi="Times New Roman" w:cs="Times New Roman"/>
          <w:b/>
          <w:bCs/>
          <w:sz w:val="20"/>
          <w:szCs w:val="20"/>
        </w:rPr>
      </w:pPr>
    </w:p>
    <w:p w14:paraId="63891C79">
      <w:pPr>
        <w:rPr>
          <w:rFonts w:ascii="Times New Roman" w:hAnsi="Times New Roman" w:cs="Times New Roman"/>
          <w:b/>
          <w:bCs/>
          <w:sz w:val="20"/>
          <w:szCs w:val="20"/>
        </w:rPr>
      </w:pPr>
    </w:p>
    <w:p w14:paraId="6C9CAAB6">
      <w:pPr>
        <w:rPr>
          <w:rFonts w:ascii="Times New Roman" w:hAnsi="Times New Roman" w:cs="Times New Roman"/>
          <w:b/>
          <w:bCs/>
          <w:sz w:val="20"/>
          <w:szCs w:val="20"/>
        </w:rPr>
      </w:pPr>
    </w:p>
    <w:p w14:paraId="47ABB251">
      <w:pPr>
        <w:rPr>
          <w:rFonts w:ascii="Times New Roman" w:hAnsi="Times New Roman" w:cs="Times New Roman"/>
          <w:b/>
          <w:bCs/>
          <w:sz w:val="20"/>
          <w:szCs w:val="20"/>
        </w:rPr>
      </w:pPr>
    </w:p>
    <w:p w14:paraId="1E164911">
      <w:pPr>
        <w:rPr>
          <w:rFonts w:ascii="Times New Roman" w:hAnsi="Times New Roman" w:cs="Times New Roman"/>
          <w:b/>
          <w:bCs/>
          <w:sz w:val="20"/>
          <w:szCs w:val="20"/>
        </w:rPr>
      </w:pPr>
    </w:p>
    <w:p w14:paraId="013D689A">
      <w:pPr>
        <w:rPr>
          <w:rFonts w:ascii="Times New Roman" w:hAnsi="Times New Roman" w:cs="Times New Roman"/>
          <w:b/>
          <w:bCs/>
          <w:sz w:val="20"/>
          <w:szCs w:val="20"/>
        </w:rPr>
      </w:pPr>
    </w:p>
    <w:p w14:paraId="34DCE0DD">
      <w:pPr>
        <w:rPr>
          <w:rFonts w:ascii="Times New Roman" w:hAnsi="Times New Roman" w:cs="Times New Roman"/>
          <w:b/>
          <w:bCs/>
          <w:sz w:val="20"/>
          <w:szCs w:val="20"/>
        </w:rPr>
      </w:pPr>
    </w:p>
    <w:p w14:paraId="019EE1B3">
      <w:pPr>
        <w:rPr>
          <w:rFonts w:ascii="Times New Roman" w:hAnsi="Times New Roman" w:cs="Times New Roman"/>
          <w:b/>
          <w:bCs/>
          <w:sz w:val="20"/>
          <w:szCs w:val="20"/>
        </w:rPr>
      </w:pPr>
    </w:p>
    <w:p w14:paraId="37088E07">
      <w:pPr>
        <w:rPr>
          <w:rFonts w:ascii="Times New Roman" w:hAnsi="Times New Roman" w:cs="Times New Roman"/>
          <w:b/>
          <w:bCs/>
          <w:sz w:val="20"/>
          <w:szCs w:val="20"/>
        </w:rPr>
      </w:pPr>
    </w:p>
    <w:p w14:paraId="19CFB0F8">
      <w:pPr>
        <w:rPr>
          <w:rFonts w:ascii="Times New Roman" w:hAnsi="Times New Roman" w:cs="Times New Roman"/>
          <w:b/>
          <w:bCs/>
          <w:sz w:val="20"/>
          <w:szCs w:val="20"/>
        </w:rPr>
      </w:pPr>
    </w:p>
    <w:p w14:paraId="672F2728">
      <w:pPr>
        <w:rPr>
          <w:rFonts w:ascii="Times New Roman" w:hAnsi="Times New Roman" w:cs="Times New Roman"/>
          <w:b/>
          <w:bCs/>
          <w:sz w:val="20"/>
          <w:szCs w:val="20"/>
        </w:rPr>
      </w:pPr>
    </w:p>
    <w:p w14:paraId="18E36815">
      <w:pPr>
        <w:pStyle w:val="29"/>
        <w:spacing w:before="156" w:after="156"/>
        <w:rPr>
          <w:rFonts w:ascii="Times New Roman" w:hAnsi="Times New Roman" w:cs="Times New Roman"/>
          <w:b/>
          <w:szCs w:val="20"/>
          <w:lang w:bidi="ar"/>
        </w:rPr>
      </w:pPr>
      <w:bookmarkStart w:id="55" w:name="_Toc155687541"/>
      <w:bookmarkStart w:id="56" w:name="_Toc1627633312"/>
      <w:r>
        <w:rPr>
          <w:rFonts w:ascii="Times New Roman" w:hAnsi="Times New Roman" w:cs="Times New Roman"/>
          <w:b/>
          <w:szCs w:val="20"/>
        </w:rPr>
        <w:t xml:space="preserve">Figure 13. </w:t>
      </w:r>
      <w:r>
        <w:rPr>
          <w:rFonts w:hint="eastAsia" w:ascii="Times New Roman" w:hAnsi="Times New Roman" w:cs="Times New Roman"/>
          <w:b/>
          <w:szCs w:val="20"/>
        </w:rPr>
        <w:t xml:space="preserve">Association Between </w:t>
      </w:r>
      <w:r>
        <w:rPr>
          <w:rFonts w:hint="default" w:ascii="Times New Roman" w:hAnsi="Times New Roman" w:cs="Times New Roman"/>
          <w:b/>
          <w:lang w:val="en-US" w:bidi="ar"/>
        </w:rPr>
        <w:t>Autism Spectrum Disorders</w:t>
      </w:r>
      <w:r>
        <w:rPr>
          <w:rFonts w:hint="eastAsia" w:ascii="Times New Roman" w:hAnsi="Times New Roman" w:cs="Times New Roman"/>
          <w:b/>
          <w:szCs w:val="20"/>
        </w:rPr>
        <w:t xml:space="preserve"> and SDI. (A)ASR Prevalence of </w:t>
      </w:r>
      <w:r>
        <w:rPr>
          <w:rFonts w:hint="default" w:ascii="Times New Roman" w:hAnsi="Times New Roman" w:cs="Times New Roman"/>
          <w:b/>
          <w:lang w:val="en-US" w:bidi="ar"/>
        </w:rPr>
        <w:t>Autism Spectrum Disorders</w:t>
      </w:r>
      <w:r>
        <w:rPr>
          <w:rFonts w:hint="eastAsia" w:ascii="Times New Roman" w:hAnsi="Times New Roman" w:cs="Times New Roman"/>
          <w:b/>
          <w:szCs w:val="20"/>
        </w:rPr>
        <w:t xml:space="preserve">. (B)ASR YLDs of </w:t>
      </w:r>
      <w:r>
        <w:rPr>
          <w:rFonts w:hint="default" w:ascii="Times New Roman" w:hAnsi="Times New Roman" w:cs="Times New Roman"/>
          <w:b/>
          <w:lang w:val="en-US" w:bidi="ar"/>
        </w:rPr>
        <w:t>Autism Spectrum Disorders</w:t>
      </w:r>
      <w:r>
        <w:rPr>
          <w:rFonts w:ascii="Times New Roman" w:hAnsi="Times New Roman" w:cs="Times New Roman"/>
          <w:b/>
          <w:szCs w:val="20"/>
          <w:lang w:bidi="ar"/>
        </w:rPr>
        <w:t>.</w:t>
      </w:r>
      <w:bookmarkEnd w:id="55"/>
      <w:bookmarkEnd w:id="56"/>
    </w:p>
    <w:p w14:paraId="320B7CD5">
      <w:pPr>
        <w:rPr>
          <w:rFonts w:hint="default" w:ascii="Times New Roman" w:hAnsi="Times New Roman" w:cs="Times New Roman"/>
          <w:b/>
          <w:bCs/>
          <w:sz w:val="20"/>
          <w:szCs w:val="20"/>
          <w:lang w:val="en-US"/>
        </w:rPr>
      </w:pPr>
      <w:r>
        <w:rPr>
          <w:rFonts w:hint="default" w:ascii="Times New Roman" w:hAnsi="Times New Roman" w:cs="Times New Roman"/>
          <w:b/>
          <w:bCs/>
          <w:sz w:val="20"/>
          <w:szCs w:val="20"/>
          <w:lang w:val="en-US"/>
        </w:rPr>
        <w:drawing>
          <wp:inline distT="0" distB="0" distL="114300" distR="114300">
            <wp:extent cx="5272405" cy="3012440"/>
            <wp:effectExtent l="0" t="0" r="10795" b="10160"/>
            <wp:docPr id="93" name="图片 93" descr="SDI_Autism_spectrum_disorders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SDI_Autism_spectrum_disorders_00"/>
                    <pic:cNvPicPr>
                      <a:picLocks noChangeAspect="1"/>
                    </pic:cNvPicPr>
                  </pic:nvPicPr>
                  <pic:blipFill>
                    <a:blip r:embed="rId33"/>
                    <a:stretch>
                      <a:fillRect/>
                    </a:stretch>
                  </pic:blipFill>
                  <pic:spPr>
                    <a:xfrm>
                      <a:off x="0" y="0"/>
                      <a:ext cx="5272405" cy="3012440"/>
                    </a:xfrm>
                    <a:prstGeom prst="rect">
                      <a:avLst/>
                    </a:prstGeom>
                  </pic:spPr>
                </pic:pic>
              </a:graphicData>
            </a:graphic>
          </wp:inline>
        </w:drawing>
      </w:r>
    </w:p>
    <w:p w14:paraId="48547B4E">
      <w:pPr>
        <w:rPr>
          <w:rFonts w:hint="default" w:ascii="Times New Roman" w:hAnsi="Times New Roman" w:cs="Times New Roman"/>
          <w:b/>
          <w:bCs/>
          <w:sz w:val="20"/>
          <w:szCs w:val="20"/>
          <w:lang w:val="en-US"/>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Calibri Light">
    <w:altName w:val="Helvetica Neue"/>
    <w:panose1 w:val="020F0302020204030204"/>
    <w:charset w:val="00"/>
    <w:family w:val="swiss"/>
    <w:pitch w:val="default"/>
    <w:sig w:usb0="00000000" w:usb1="00000000" w:usb2="00000009" w:usb3="00000000" w:csb0="000001FF" w:csb1="0000000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冬青黑体简体中文">
    <w:panose1 w:val="020B0300000000000000"/>
    <w:charset w:val="86"/>
    <w:family w:val="auto"/>
    <w:pitch w:val="default"/>
    <w:sig w:usb0="A00002BF" w:usb1="1ACF7CFA" w:usb2="00000016" w:usb3="00000000" w:csb0="00060007" w:csb1="00000000"/>
  </w:font>
  <w:font w:name="宋体-简">
    <w:panose1 w:val="02010800040101010101"/>
    <w:charset w:val="86"/>
    <w:family w:val="auto"/>
    <w:pitch w:val="default"/>
    <w:sig w:usb0="00000001" w:usb1="080F0000" w:usb2="00000000" w:usb3="00000000" w:csb0="00040000" w:csb1="00000000"/>
  </w:font>
  <w:font w:name="Apple Symbols">
    <w:panose1 w:val="02000000000000000000"/>
    <w:charset w:val="00"/>
    <w:family w:val="auto"/>
    <w:pitch w:val="default"/>
    <w:sig w:usb0="800000A3" w:usb1="08007BEB" w:usb2="01840034" w:usb3="0000A268" w:csb0="200001FB" w:csb1="DDFF0000"/>
  </w:font>
  <w:font w:name="汉仪中黑KW">
    <w:panose1 w:val="00020600040101010101"/>
    <w:charset w:val="86"/>
    <w:family w:val="auto"/>
    <w:pitch w:val="default"/>
    <w:sig w:usb0="A00002BF" w:usb1="18EF7CFA" w:usb2="00000016" w:usb3="00000000" w:csb0="00040000" w:csb1="00000000"/>
  </w:font>
  <w:font w:name="Times New Roman Regular">
    <w:panose1 w:val="02020503050405090304"/>
    <w:charset w:val="00"/>
    <w:family w:val="auto"/>
    <w:pitch w:val="default"/>
    <w:sig w:usb0="E0000AFF" w:usb1="00007843" w:usb2="00000001" w:usb3="00000000" w:csb0="400001BF" w:csb1="DFF7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71933920"/>
      <w:docPartObj>
        <w:docPartGallery w:val="autotext"/>
      </w:docPartObj>
    </w:sdtPr>
    <w:sdtContent>
      <w:p w14:paraId="15BC06C5">
        <w:pPr>
          <w:pStyle w:val="9"/>
          <w:jc w:val="center"/>
        </w:pPr>
        <w:r>
          <w:fldChar w:fldCharType="begin"/>
        </w:r>
        <w:r>
          <w:instrText xml:space="preserve">PAGE   \* MERGEFORMAT</w:instrText>
        </w:r>
        <w:r>
          <w:fldChar w:fldCharType="separate"/>
        </w:r>
        <w:r>
          <w:rPr>
            <w:lang w:val="zh-CN"/>
          </w:rPr>
          <w:t>2</w:t>
        </w:r>
        <w:r>
          <w:fldChar w:fldCharType="end"/>
        </w:r>
      </w:p>
    </w:sdtContent>
  </w:sdt>
  <w:p w14:paraId="057EAF8F">
    <w:pPr>
      <w:pStyle w:val="9"/>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F2C4DAD"/>
    <w:multiLevelType w:val="multilevel"/>
    <w:tmpl w:val="6F2C4DAD"/>
    <w:lvl w:ilvl="0" w:tentative="0">
      <w:start w:val="1"/>
      <w:numFmt w:val="decimal"/>
      <w:lvlText w:val="%1."/>
      <w:lvlJc w:val="left"/>
      <w:pPr>
        <w:ind w:left="360" w:hanging="360"/>
      </w:pPr>
      <w:rPr>
        <w:rFonts w:hint="default" w:eastAsiaTheme="minor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5"/>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7FBB51AC"/>
    <w:rsid w:val="0003167D"/>
    <w:rsid w:val="000454B5"/>
    <w:rsid w:val="000F2747"/>
    <w:rsid w:val="00145711"/>
    <w:rsid w:val="00151D8C"/>
    <w:rsid w:val="00206C52"/>
    <w:rsid w:val="00243B87"/>
    <w:rsid w:val="002605A8"/>
    <w:rsid w:val="00292CF0"/>
    <w:rsid w:val="002973DB"/>
    <w:rsid w:val="002A5329"/>
    <w:rsid w:val="002D6433"/>
    <w:rsid w:val="00341B29"/>
    <w:rsid w:val="00345DD2"/>
    <w:rsid w:val="003A39F0"/>
    <w:rsid w:val="0040568C"/>
    <w:rsid w:val="004720C2"/>
    <w:rsid w:val="00474C4C"/>
    <w:rsid w:val="00556851"/>
    <w:rsid w:val="005A66A1"/>
    <w:rsid w:val="00620796"/>
    <w:rsid w:val="0065123E"/>
    <w:rsid w:val="00711080"/>
    <w:rsid w:val="00734A40"/>
    <w:rsid w:val="007500E5"/>
    <w:rsid w:val="00784DD9"/>
    <w:rsid w:val="007F3F32"/>
    <w:rsid w:val="009468B6"/>
    <w:rsid w:val="00954DC0"/>
    <w:rsid w:val="0098410A"/>
    <w:rsid w:val="00984262"/>
    <w:rsid w:val="00A5684D"/>
    <w:rsid w:val="00A74D5D"/>
    <w:rsid w:val="00A92670"/>
    <w:rsid w:val="00B457D1"/>
    <w:rsid w:val="00B7540B"/>
    <w:rsid w:val="00B77E22"/>
    <w:rsid w:val="00CB3C9A"/>
    <w:rsid w:val="00CF671A"/>
    <w:rsid w:val="00D111FE"/>
    <w:rsid w:val="00D31876"/>
    <w:rsid w:val="00DE0AD6"/>
    <w:rsid w:val="00E03253"/>
    <w:rsid w:val="00E25C8C"/>
    <w:rsid w:val="00ED4CB9"/>
    <w:rsid w:val="00F650E3"/>
    <w:rsid w:val="00FF6B93"/>
    <w:rsid w:val="01FD16D9"/>
    <w:rsid w:val="03E925F9"/>
    <w:rsid w:val="0DFF3F6D"/>
    <w:rsid w:val="11FFD363"/>
    <w:rsid w:val="13A7D053"/>
    <w:rsid w:val="17EFB9D4"/>
    <w:rsid w:val="1FFB3DC0"/>
    <w:rsid w:val="27231BE0"/>
    <w:rsid w:val="2B1BC73F"/>
    <w:rsid w:val="2E5AD84B"/>
    <w:rsid w:val="2F6BAF94"/>
    <w:rsid w:val="2FFF9B90"/>
    <w:rsid w:val="33E4EF56"/>
    <w:rsid w:val="35F7D36F"/>
    <w:rsid w:val="37672D26"/>
    <w:rsid w:val="377F0F8A"/>
    <w:rsid w:val="3BEF1475"/>
    <w:rsid w:val="3D3CF452"/>
    <w:rsid w:val="3DB2989F"/>
    <w:rsid w:val="3DEEF0D4"/>
    <w:rsid w:val="3E57CA28"/>
    <w:rsid w:val="3EBF62CF"/>
    <w:rsid w:val="3EDA240E"/>
    <w:rsid w:val="3F733ACC"/>
    <w:rsid w:val="3FAF0412"/>
    <w:rsid w:val="3FBF94F0"/>
    <w:rsid w:val="3FF57DC1"/>
    <w:rsid w:val="457AE111"/>
    <w:rsid w:val="469EE074"/>
    <w:rsid w:val="4BBE47A7"/>
    <w:rsid w:val="4C9F1761"/>
    <w:rsid w:val="4DCE8B25"/>
    <w:rsid w:val="4DCFB736"/>
    <w:rsid w:val="539E68E7"/>
    <w:rsid w:val="5777DFD5"/>
    <w:rsid w:val="57DF3583"/>
    <w:rsid w:val="59BBEC43"/>
    <w:rsid w:val="5B9F6D3F"/>
    <w:rsid w:val="5BFE8FEA"/>
    <w:rsid w:val="5DFD50BE"/>
    <w:rsid w:val="5DFEE77A"/>
    <w:rsid w:val="5E4F6B3F"/>
    <w:rsid w:val="5E655A72"/>
    <w:rsid w:val="5F4D5CBB"/>
    <w:rsid w:val="5FEE9F25"/>
    <w:rsid w:val="6557A6DA"/>
    <w:rsid w:val="678B26EE"/>
    <w:rsid w:val="67C6C531"/>
    <w:rsid w:val="67F68C1B"/>
    <w:rsid w:val="67FD3140"/>
    <w:rsid w:val="69CF1FBF"/>
    <w:rsid w:val="69EA7A28"/>
    <w:rsid w:val="6BFF286A"/>
    <w:rsid w:val="6D3D98CA"/>
    <w:rsid w:val="6DBFBD78"/>
    <w:rsid w:val="6DF64A6D"/>
    <w:rsid w:val="6DF7839B"/>
    <w:rsid w:val="6EFDF8F2"/>
    <w:rsid w:val="6F1703DA"/>
    <w:rsid w:val="6FFB034E"/>
    <w:rsid w:val="6FFFC312"/>
    <w:rsid w:val="735DBAD6"/>
    <w:rsid w:val="737FFCE6"/>
    <w:rsid w:val="73BF4439"/>
    <w:rsid w:val="73DB4433"/>
    <w:rsid w:val="73FDADAC"/>
    <w:rsid w:val="75AFD557"/>
    <w:rsid w:val="75BB626D"/>
    <w:rsid w:val="75ECED7B"/>
    <w:rsid w:val="76FFE16B"/>
    <w:rsid w:val="777D181C"/>
    <w:rsid w:val="77A7DFE8"/>
    <w:rsid w:val="77EFD4F9"/>
    <w:rsid w:val="77FD1146"/>
    <w:rsid w:val="79797063"/>
    <w:rsid w:val="7ADF81A3"/>
    <w:rsid w:val="7AFF1142"/>
    <w:rsid w:val="7B4AB12E"/>
    <w:rsid w:val="7BE5534F"/>
    <w:rsid w:val="7BEF6B1A"/>
    <w:rsid w:val="7BEFC1FB"/>
    <w:rsid w:val="7BF7532F"/>
    <w:rsid w:val="7D766F52"/>
    <w:rsid w:val="7DFF70ED"/>
    <w:rsid w:val="7DFFED8B"/>
    <w:rsid w:val="7E2F17D4"/>
    <w:rsid w:val="7E5F5D60"/>
    <w:rsid w:val="7E8DB58C"/>
    <w:rsid w:val="7EBD0A8C"/>
    <w:rsid w:val="7EBE13E9"/>
    <w:rsid w:val="7F5E64C6"/>
    <w:rsid w:val="7F7D984B"/>
    <w:rsid w:val="7FA330C7"/>
    <w:rsid w:val="7FBB0FD3"/>
    <w:rsid w:val="7FBB51AC"/>
    <w:rsid w:val="7FCFB629"/>
    <w:rsid w:val="7FD52D70"/>
    <w:rsid w:val="7FDE1466"/>
    <w:rsid w:val="7FEF2E7D"/>
    <w:rsid w:val="7FF167E2"/>
    <w:rsid w:val="7FF7B454"/>
    <w:rsid w:val="7FFB0DF5"/>
    <w:rsid w:val="7FFB6FD9"/>
    <w:rsid w:val="7FFB82A8"/>
    <w:rsid w:val="7FFD8C2B"/>
    <w:rsid w:val="7FFE48AB"/>
    <w:rsid w:val="7FFE551F"/>
    <w:rsid w:val="7FFF3572"/>
    <w:rsid w:val="7FFF46D1"/>
    <w:rsid w:val="8F6BC3A5"/>
    <w:rsid w:val="987FF52A"/>
    <w:rsid w:val="9C5E75B0"/>
    <w:rsid w:val="9EEB5B1C"/>
    <w:rsid w:val="A3B470C1"/>
    <w:rsid w:val="A9FF5575"/>
    <w:rsid w:val="AEEDCB56"/>
    <w:rsid w:val="AEF9A609"/>
    <w:rsid w:val="AFBB30D0"/>
    <w:rsid w:val="B6BFEB18"/>
    <w:rsid w:val="B7761836"/>
    <w:rsid w:val="B79FBA91"/>
    <w:rsid w:val="BBFF7557"/>
    <w:rsid w:val="BE7F6ABD"/>
    <w:rsid w:val="BE9EA21F"/>
    <w:rsid w:val="BEF85338"/>
    <w:rsid w:val="BFEB2282"/>
    <w:rsid w:val="D167A301"/>
    <w:rsid w:val="D4EE084B"/>
    <w:rsid w:val="D5D30B0A"/>
    <w:rsid w:val="D5DB8365"/>
    <w:rsid w:val="D5FDECE8"/>
    <w:rsid w:val="D5FFA589"/>
    <w:rsid w:val="D7FFD1CF"/>
    <w:rsid w:val="DBB658EF"/>
    <w:rsid w:val="DBCAB551"/>
    <w:rsid w:val="DC2F2C3F"/>
    <w:rsid w:val="DDEED679"/>
    <w:rsid w:val="DDF1D8D6"/>
    <w:rsid w:val="DEB5F9C7"/>
    <w:rsid w:val="DEEE80AB"/>
    <w:rsid w:val="DFFF9A72"/>
    <w:rsid w:val="DFFFB2C8"/>
    <w:rsid w:val="E1D30F04"/>
    <w:rsid w:val="E5FC3A69"/>
    <w:rsid w:val="E6AF4263"/>
    <w:rsid w:val="E7B59452"/>
    <w:rsid w:val="EA7BFC5B"/>
    <w:rsid w:val="EBBD4B86"/>
    <w:rsid w:val="EBF3553C"/>
    <w:rsid w:val="EBFDD7C7"/>
    <w:rsid w:val="ECF728B6"/>
    <w:rsid w:val="EDDAA930"/>
    <w:rsid w:val="EF3EAD84"/>
    <w:rsid w:val="EF5ECBAD"/>
    <w:rsid w:val="EFEA241B"/>
    <w:rsid w:val="EFFFAE2C"/>
    <w:rsid w:val="EFFFD7EC"/>
    <w:rsid w:val="F1FFE162"/>
    <w:rsid w:val="F3968609"/>
    <w:rsid w:val="F3BD3DC6"/>
    <w:rsid w:val="F4EF53FC"/>
    <w:rsid w:val="F59FF745"/>
    <w:rsid w:val="F5B35029"/>
    <w:rsid w:val="F5BF7834"/>
    <w:rsid w:val="F76BB41C"/>
    <w:rsid w:val="F7AA605E"/>
    <w:rsid w:val="F7BCA431"/>
    <w:rsid w:val="F7CE8CAA"/>
    <w:rsid w:val="F7FB610E"/>
    <w:rsid w:val="F7FF81C2"/>
    <w:rsid w:val="F9DF9592"/>
    <w:rsid w:val="FB6FCC2E"/>
    <w:rsid w:val="FBF701F6"/>
    <w:rsid w:val="FD6F7E60"/>
    <w:rsid w:val="FD79FF92"/>
    <w:rsid w:val="FD7FA42A"/>
    <w:rsid w:val="FD9FC504"/>
    <w:rsid w:val="FDAA3B99"/>
    <w:rsid w:val="FDB6BDA8"/>
    <w:rsid w:val="FDDB5D18"/>
    <w:rsid w:val="FDF3E8C3"/>
    <w:rsid w:val="FDFD6D39"/>
    <w:rsid w:val="FDFF69EF"/>
    <w:rsid w:val="FEDC1897"/>
    <w:rsid w:val="FEE51EFD"/>
    <w:rsid w:val="FEF52C90"/>
    <w:rsid w:val="FEFA4E9A"/>
    <w:rsid w:val="FEFEBCFD"/>
    <w:rsid w:val="FF2E3A70"/>
    <w:rsid w:val="FF53A3C0"/>
    <w:rsid w:val="FFB774CF"/>
    <w:rsid w:val="FFD53E1C"/>
    <w:rsid w:val="FFF5585B"/>
    <w:rsid w:val="FFFF7C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39" w:semiHidden="0" w:name="toc 1"/>
    <w:lsdException w:unhideWhenUsed="0" w:uiPriority="39" w:semiHidden="0" w:name="toc 2"/>
    <w:lsdException w:unhideWhenUsed="0" w:uiPriority="39" w:semiHidden="0" w:name="toc 3"/>
    <w:lsdException w:unhideWhenUsed="0" w:uiPriority="39" w:semiHidden="0" w:name="toc 4"/>
    <w:lsdException w:uiPriority="39" w:semiHidden="0" w:name="toc 5"/>
    <w:lsdException w:uiPriority="39" w:semiHidden="0" w:name="toc 6"/>
    <w:lsdException w:uiPriority="39" w:semiHidden="0" w:name="toc 7"/>
    <w:lsdException w:uiPriority="39" w:semiHidden="0" w:name="toc 8"/>
    <w:lsdException w:uiPriority="39"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120" w:after="120"/>
      <w:outlineLvl w:val="0"/>
    </w:pPr>
    <w:rPr>
      <w:rFonts w:eastAsia="Times New Roman"/>
      <w:b/>
      <w:kern w:val="44"/>
      <w:sz w:val="24"/>
    </w:rPr>
  </w:style>
  <w:style w:type="paragraph" w:styleId="3">
    <w:name w:val="heading 2"/>
    <w:basedOn w:val="1"/>
    <w:next w:val="1"/>
    <w:link w:val="25"/>
    <w:unhideWhenUsed/>
    <w:qFormat/>
    <w:uiPriority w:val="0"/>
    <w:pPr>
      <w:keepNext/>
      <w:keepLines/>
      <w:spacing w:before="260" w:after="260" w:line="413" w:lineRule="auto"/>
      <w:outlineLvl w:val="1"/>
    </w:pPr>
    <w:rPr>
      <w:rFonts w:ascii="Arial" w:hAnsi="Arial" w:eastAsia="黑体"/>
      <w:b/>
      <w:sz w:val="32"/>
    </w:rPr>
  </w:style>
  <w:style w:type="paragraph" w:styleId="4">
    <w:name w:val="heading 3"/>
    <w:basedOn w:val="1"/>
    <w:next w:val="1"/>
    <w:semiHidden/>
    <w:unhideWhenUsed/>
    <w:qFormat/>
    <w:uiPriority w:val="0"/>
    <w:pPr>
      <w:keepNext/>
      <w:keepLines/>
      <w:spacing w:before="260" w:after="260" w:line="413" w:lineRule="auto"/>
      <w:outlineLvl w:val="2"/>
    </w:pPr>
    <w:rPr>
      <w:b/>
      <w:sz w:val="32"/>
    </w:rPr>
  </w:style>
  <w:style w:type="character" w:default="1" w:styleId="20">
    <w:name w:val="Default Paragraph Font"/>
    <w:semiHidden/>
    <w:unhideWhenUsed/>
    <w:uiPriority w:val="1"/>
  </w:style>
  <w:style w:type="table" w:default="1" w:styleId="18">
    <w:name w:val="Normal Table"/>
    <w:semiHidden/>
    <w:unhideWhenUsed/>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5">
    <w:name w:val="toc 7"/>
    <w:basedOn w:val="1"/>
    <w:next w:val="1"/>
    <w:autoRedefine/>
    <w:unhideWhenUsed/>
    <w:uiPriority w:val="39"/>
    <w:pPr>
      <w:spacing w:after="160" w:line="278" w:lineRule="auto"/>
      <w:ind w:left="2520" w:leftChars="1200"/>
      <w:jc w:val="left"/>
    </w:pPr>
    <w:rPr>
      <w:sz w:val="22"/>
      <w14:ligatures w14:val="standardContextual"/>
    </w:rPr>
  </w:style>
  <w:style w:type="paragraph" w:styleId="6">
    <w:name w:val="toc 5"/>
    <w:basedOn w:val="1"/>
    <w:next w:val="1"/>
    <w:autoRedefine/>
    <w:unhideWhenUsed/>
    <w:uiPriority w:val="39"/>
    <w:pPr>
      <w:spacing w:after="160" w:line="278" w:lineRule="auto"/>
      <w:ind w:left="1680" w:leftChars="800"/>
      <w:jc w:val="left"/>
    </w:pPr>
    <w:rPr>
      <w:sz w:val="22"/>
      <w14:ligatures w14:val="standardContextual"/>
    </w:rPr>
  </w:style>
  <w:style w:type="paragraph" w:styleId="7">
    <w:name w:val="toc 3"/>
    <w:basedOn w:val="1"/>
    <w:next w:val="1"/>
    <w:uiPriority w:val="39"/>
    <w:pPr>
      <w:ind w:left="840" w:leftChars="400"/>
    </w:pPr>
  </w:style>
  <w:style w:type="paragraph" w:styleId="8">
    <w:name w:val="toc 8"/>
    <w:basedOn w:val="1"/>
    <w:next w:val="1"/>
    <w:autoRedefine/>
    <w:unhideWhenUsed/>
    <w:uiPriority w:val="39"/>
    <w:pPr>
      <w:spacing w:after="160" w:line="278" w:lineRule="auto"/>
      <w:ind w:left="2940" w:leftChars="1400"/>
      <w:jc w:val="left"/>
    </w:pPr>
    <w:rPr>
      <w:sz w:val="22"/>
      <w14:ligatures w14:val="standardContextual"/>
    </w:rPr>
  </w:style>
  <w:style w:type="paragraph" w:styleId="9">
    <w:name w:val="footer"/>
    <w:basedOn w:val="1"/>
    <w:link w:val="26"/>
    <w:uiPriority w:val="99"/>
    <w:pPr>
      <w:tabs>
        <w:tab w:val="center" w:pos="4153"/>
        <w:tab w:val="right" w:pos="8306"/>
      </w:tabs>
      <w:snapToGrid w:val="0"/>
      <w:jc w:val="left"/>
    </w:pPr>
    <w:rPr>
      <w:sz w:val="18"/>
    </w:rPr>
  </w:style>
  <w:style w:type="paragraph" w:styleId="10">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1">
    <w:name w:val="toc 1"/>
    <w:basedOn w:val="1"/>
    <w:next w:val="1"/>
    <w:autoRedefine/>
    <w:uiPriority w:val="39"/>
    <w:pPr>
      <w:tabs>
        <w:tab w:val="right" w:leader="dot" w:pos="8296"/>
      </w:tabs>
    </w:pPr>
    <w:rPr>
      <w:rFonts w:ascii="Times New Roman" w:hAnsi="Times New Roman" w:cs="Times New Roman"/>
      <w:b/>
      <w:bCs/>
    </w:rPr>
  </w:style>
  <w:style w:type="paragraph" w:styleId="12">
    <w:name w:val="toc 4"/>
    <w:basedOn w:val="1"/>
    <w:next w:val="1"/>
    <w:uiPriority w:val="39"/>
    <w:pPr>
      <w:ind w:left="1260" w:leftChars="600"/>
    </w:pPr>
  </w:style>
  <w:style w:type="paragraph" w:styleId="13">
    <w:name w:val="Subtitle"/>
    <w:basedOn w:val="1"/>
    <w:next w:val="1"/>
    <w:link w:val="28"/>
    <w:qFormat/>
    <w:uiPriority w:val="0"/>
    <w:pPr>
      <w:spacing w:before="240" w:after="60" w:line="312" w:lineRule="auto"/>
      <w:jc w:val="center"/>
      <w:outlineLvl w:val="1"/>
    </w:pPr>
    <w:rPr>
      <w:b/>
      <w:bCs/>
      <w:kern w:val="28"/>
      <w:sz w:val="32"/>
      <w:szCs w:val="32"/>
    </w:rPr>
  </w:style>
  <w:style w:type="paragraph" w:styleId="14">
    <w:name w:val="toc 6"/>
    <w:basedOn w:val="1"/>
    <w:next w:val="1"/>
    <w:autoRedefine/>
    <w:unhideWhenUsed/>
    <w:uiPriority w:val="39"/>
    <w:pPr>
      <w:spacing w:after="160" w:line="278" w:lineRule="auto"/>
      <w:ind w:left="2100" w:leftChars="1000"/>
      <w:jc w:val="left"/>
    </w:pPr>
    <w:rPr>
      <w:sz w:val="22"/>
      <w14:ligatures w14:val="standardContextual"/>
    </w:rPr>
  </w:style>
  <w:style w:type="paragraph" w:styleId="15">
    <w:name w:val="toc 2"/>
    <w:basedOn w:val="1"/>
    <w:next w:val="1"/>
    <w:uiPriority w:val="39"/>
    <w:pPr>
      <w:ind w:left="420" w:leftChars="200"/>
    </w:pPr>
  </w:style>
  <w:style w:type="paragraph" w:styleId="16">
    <w:name w:val="toc 9"/>
    <w:basedOn w:val="1"/>
    <w:next w:val="1"/>
    <w:autoRedefine/>
    <w:unhideWhenUsed/>
    <w:uiPriority w:val="39"/>
    <w:pPr>
      <w:spacing w:after="160" w:line="278" w:lineRule="auto"/>
      <w:ind w:left="3360" w:leftChars="1600"/>
      <w:jc w:val="left"/>
    </w:pPr>
    <w:rPr>
      <w:sz w:val="22"/>
      <w14:ligatures w14:val="standardContextual"/>
    </w:rPr>
  </w:style>
  <w:style w:type="paragraph" w:styleId="17">
    <w:name w:val="Title"/>
    <w:basedOn w:val="1"/>
    <w:next w:val="1"/>
    <w:link w:val="27"/>
    <w:qFormat/>
    <w:uiPriority w:val="0"/>
    <w:pPr>
      <w:spacing w:before="240" w:after="60"/>
      <w:jc w:val="center"/>
      <w:outlineLvl w:val="0"/>
    </w:pPr>
    <w:rPr>
      <w:rFonts w:asciiTheme="majorHAnsi" w:hAnsiTheme="majorHAnsi" w:eastAsiaTheme="majorEastAsia" w:cstheme="majorBidi"/>
      <w:b/>
      <w:bCs/>
      <w:sz w:val="32"/>
      <w:szCs w:val="32"/>
    </w:rPr>
  </w:style>
  <w:style w:type="table" w:styleId="19">
    <w:name w:val="Table Grid"/>
    <w:basedOn w:val="18"/>
    <w:uiPriority w:val="39"/>
    <w:rPr>
      <w:rFonts w:asciiTheme="minorHAnsi" w:hAnsiTheme="minorHAnsi" w:eastAsiaTheme="minorEastAsia" w:cstheme="minorBidi"/>
      <w:kern w:val="2"/>
      <w:sz w:val="21"/>
      <w:szCs w:val="22"/>
      <w14:ligatures w14:val="standardContextu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basedOn w:val="20"/>
    <w:qFormat/>
    <w:uiPriority w:val="0"/>
    <w:rPr>
      <w:b/>
    </w:rPr>
  </w:style>
  <w:style w:type="character" w:styleId="22">
    <w:name w:val="Hyperlink"/>
    <w:basedOn w:val="20"/>
    <w:unhideWhenUsed/>
    <w:uiPriority w:val="99"/>
    <w:rPr>
      <w:color w:val="0026E5" w:themeColor="hyperlink"/>
      <w:u w:val="single"/>
      <w14:textFill>
        <w14:solidFill>
          <w14:schemeClr w14:val="hlink"/>
        </w14:solidFill>
      </w14:textFill>
    </w:rPr>
  </w:style>
  <w:style w:type="character" w:customStyle="1" w:styleId="23">
    <w:name w:val="font31"/>
    <w:basedOn w:val="20"/>
    <w:uiPriority w:val="0"/>
    <w:rPr>
      <w:rFonts w:hint="eastAsia" w:ascii="宋体" w:hAnsi="宋体" w:eastAsia="宋体" w:cs="宋体"/>
      <w:b/>
      <w:bCs/>
      <w:color w:val="000000"/>
      <w:sz w:val="20"/>
      <w:szCs w:val="20"/>
      <w:u w:val="none"/>
    </w:rPr>
  </w:style>
  <w:style w:type="character" w:customStyle="1" w:styleId="24">
    <w:name w:val="font21"/>
    <w:basedOn w:val="20"/>
    <w:uiPriority w:val="0"/>
    <w:rPr>
      <w:rFonts w:hint="default" w:ascii="黑体" w:hAnsi="宋体" w:eastAsia="黑体" w:cs="黑体"/>
      <w:b/>
      <w:bCs/>
      <w:color w:val="000000"/>
      <w:sz w:val="20"/>
      <w:szCs w:val="20"/>
      <w:u w:val="none"/>
    </w:rPr>
  </w:style>
  <w:style w:type="character" w:customStyle="1" w:styleId="25">
    <w:name w:val="标题 2 字符"/>
    <w:link w:val="3"/>
    <w:uiPriority w:val="0"/>
    <w:rPr>
      <w:rFonts w:ascii="Arial" w:hAnsi="Arial" w:eastAsia="黑体"/>
      <w:b/>
      <w:sz w:val="32"/>
    </w:rPr>
  </w:style>
  <w:style w:type="character" w:customStyle="1" w:styleId="26">
    <w:name w:val="页脚 字符"/>
    <w:basedOn w:val="20"/>
    <w:link w:val="9"/>
    <w:uiPriority w:val="99"/>
    <w:rPr>
      <w:rFonts w:asciiTheme="minorHAnsi" w:hAnsiTheme="minorHAnsi" w:eastAsiaTheme="minorEastAsia" w:cstheme="minorBidi"/>
      <w:kern w:val="2"/>
      <w:sz w:val="18"/>
      <w:szCs w:val="24"/>
    </w:rPr>
  </w:style>
  <w:style w:type="character" w:customStyle="1" w:styleId="27">
    <w:name w:val="标题 字符"/>
    <w:basedOn w:val="20"/>
    <w:link w:val="17"/>
    <w:uiPriority w:val="0"/>
    <w:rPr>
      <w:rFonts w:asciiTheme="majorHAnsi" w:hAnsiTheme="majorHAnsi" w:eastAsiaTheme="majorEastAsia" w:cstheme="majorBidi"/>
      <w:b/>
      <w:bCs/>
      <w:kern w:val="2"/>
      <w:sz w:val="32"/>
      <w:szCs w:val="32"/>
    </w:rPr>
  </w:style>
  <w:style w:type="character" w:customStyle="1" w:styleId="28">
    <w:name w:val="副标题 字符"/>
    <w:basedOn w:val="20"/>
    <w:link w:val="13"/>
    <w:uiPriority w:val="0"/>
    <w:rPr>
      <w:rFonts w:asciiTheme="minorHAnsi" w:hAnsiTheme="minorHAnsi" w:eastAsiaTheme="minorEastAsia" w:cstheme="minorBidi"/>
      <w:b/>
      <w:bCs/>
      <w:kern w:val="28"/>
      <w:sz w:val="32"/>
      <w:szCs w:val="32"/>
    </w:rPr>
  </w:style>
  <w:style w:type="paragraph" w:customStyle="1" w:styleId="29">
    <w:name w:val="样式1"/>
    <w:basedOn w:val="13"/>
    <w:qFormat/>
    <w:uiPriority w:val="0"/>
    <w:pPr>
      <w:spacing w:before="50" w:beforeLines="50" w:after="50" w:afterLines="50" w:line="240" w:lineRule="auto"/>
      <w:jc w:val="both"/>
    </w:pPr>
    <w:rPr>
      <w:rFonts w:eastAsia="Times New Roman"/>
      <w:b w:val="0"/>
      <w:sz w:val="20"/>
    </w:rPr>
  </w:style>
  <w:style w:type="paragraph" w:customStyle="1" w:styleId="30">
    <w:name w:val="样式2"/>
    <w:basedOn w:val="1"/>
    <w:qFormat/>
    <w:uiPriority w:val="0"/>
    <w:pPr>
      <w:spacing w:before="50" w:beforeLines="50" w:after="50" w:afterLines="50"/>
      <w:outlineLvl w:val="2"/>
    </w:pPr>
    <w:rPr>
      <w:rFonts w:ascii="Times New Roman" w:hAnsi="Times New Roman" w:eastAsia="Times New Roman" w:cs="Times New Roman"/>
      <w:sz w:val="24"/>
    </w:rPr>
  </w:style>
  <w:style w:type="character" w:customStyle="1" w:styleId="31">
    <w:name w:val="Unresolved Mention"/>
    <w:basedOn w:val="20"/>
    <w:semiHidden/>
    <w:unhideWhenUsed/>
    <w:uiPriority w:val="99"/>
    <w:rPr>
      <w:color w:val="605E5C"/>
      <w:shd w:val="clear" w:color="auto" w:fill="E1DFDD"/>
    </w:rPr>
  </w:style>
  <w:style w:type="paragraph" w:styleId="32">
    <w:name w:val="List Paragraph"/>
    <w:basedOn w:val="1"/>
    <w:qFormat/>
    <w:uiPriority w:val="34"/>
    <w:pPr>
      <w:ind w:left="720"/>
      <w:contextualSpacing/>
    </w:p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6" Type="http://schemas.openxmlformats.org/officeDocument/2006/relationships/fontTable" Target="fontTable.xml"/><Relationship Id="rId35" Type="http://schemas.openxmlformats.org/officeDocument/2006/relationships/customXml" Target="../customXml/item1.xml"/><Relationship Id="rId34" Type="http://schemas.openxmlformats.org/officeDocument/2006/relationships/numbering" Target="numbering.xml"/><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jpe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F07039-B1A4-42BF-9A56-AE99E84D1392}">
  <ds:schemaRefs/>
</ds:datastoreItem>
</file>

<file path=docProps/app.xml><?xml version="1.0" encoding="utf-8"?>
<Properties xmlns="http://schemas.openxmlformats.org/officeDocument/2006/extended-properties" xmlns:vt="http://schemas.openxmlformats.org/officeDocument/2006/docPropsVTypes">
  <Template>Normal</Template>
  <Pages>29</Pages>
  <Words>8735</Words>
  <Characters>49791</Characters>
  <Lines>414</Lines>
  <Paragraphs>116</Paragraphs>
  <TotalTime>0</TotalTime>
  <ScaleCrop>false</ScaleCrop>
  <LinksUpToDate>false</LinksUpToDate>
  <CharactersWithSpaces>58410</CharactersWithSpaces>
  <Application>WPS Office_7.2.2.8955_F1E327BC-269C-435d-A152-05C5408002CA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2025-03-22T18:54:00Z</dcterms:created>
  <dc:creator>彳彗余心</dc:creator>
  <cp:lastModifiedBy>ShalLlwe</cp:lastModifiedBy>
  <dcterms:modified xsi:type="dcterms:W3CDTF">2025-06-08T13:47:14Z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2052-7.2.2.8955</vt:lpwstr>
  </property>
  <property fmtid="{D5CDD505-2E9C-101B-9397-08002B2CF9AE}" pid="3" name="ICV">
    <vt:lpwstr>EAC1ECA83F90D823C69DDD67C3E26B56_43</vt:lpwstr>
  </property>
</Properties>
</file>