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10350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90"/>
        <w:gridCol w:w="1620"/>
        <w:gridCol w:w="1260"/>
        <w:gridCol w:w="1770"/>
        <w:gridCol w:w="1920"/>
        <w:gridCol w:w="990"/>
      </w:tblGrid>
      <w:tr w:rsidR="00391703" w14:paraId="0E0BDB13" w14:textId="77777777" w:rsidTr="00544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6"/>
          </w:tcPr>
          <w:p w14:paraId="5F48FC81" w14:textId="77777777" w:rsidR="00391703" w:rsidRPr="00B060F6" w:rsidRDefault="00391703" w:rsidP="00544E12">
            <w:pPr>
              <w:rPr>
                <w:rFonts w:ascii="Arial" w:hAnsi="Arial" w:cs="Arial"/>
                <w:i/>
                <w:iCs/>
              </w:rPr>
            </w:pPr>
            <w:r w:rsidRPr="00B060F6">
              <w:rPr>
                <w:rFonts w:ascii="Arial" w:hAnsi="Arial" w:cs="Arial"/>
                <w:i/>
                <w:iCs/>
              </w:rPr>
              <w:t xml:space="preserve">Table 1. </w:t>
            </w:r>
            <w:r w:rsidRPr="00B060F6">
              <w:rPr>
                <w:rFonts w:ascii="Arial" w:hAnsi="Arial" w:cs="Arial"/>
                <w:i/>
                <w:iCs/>
                <w:caps w:val="0"/>
              </w:rPr>
              <w:t>Baseline characteristics of the study cohort and differences between standard risk vs high risk vs ultra-high-risk cohorts.</w:t>
            </w:r>
          </w:p>
        </w:tc>
      </w:tr>
      <w:tr w:rsidR="00391703" w14:paraId="67D36F01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7E02531" w14:textId="77777777" w:rsidR="00391703" w:rsidRPr="003D7120" w:rsidRDefault="00391703" w:rsidP="00544E1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D7120">
              <w:rPr>
                <w:rFonts w:ascii="Arial" w:hAnsi="Arial" w:cs="Arial"/>
                <w:sz w:val="22"/>
                <w:szCs w:val="22"/>
              </w:rPr>
              <w:t>Characteristic</w:t>
            </w:r>
          </w:p>
        </w:tc>
        <w:tc>
          <w:tcPr>
            <w:tcW w:w="1620" w:type="dxa"/>
          </w:tcPr>
          <w:p w14:paraId="6CFFB8F7" w14:textId="77777777" w:rsidR="00391703" w:rsidRPr="00CB40AF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0AF">
              <w:rPr>
                <w:rFonts w:ascii="Arial" w:hAnsi="Arial" w:cs="Arial"/>
                <w:b/>
                <w:bCs/>
                <w:sz w:val="22"/>
                <w:szCs w:val="22"/>
              </w:rPr>
              <w:t>Entire cohort with cytogenetics available n=351 (100%)</w:t>
            </w:r>
          </w:p>
        </w:tc>
        <w:tc>
          <w:tcPr>
            <w:tcW w:w="1260" w:type="dxa"/>
          </w:tcPr>
          <w:p w14:paraId="2967D8CA" w14:textId="77777777" w:rsidR="00391703" w:rsidRPr="00CB40AF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0AF">
              <w:rPr>
                <w:rFonts w:ascii="Arial" w:hAnsi="Arial" w:cs="Arial"/>
                <w:b/>
                <w:bCs/>
                <w:sz w:val="22"/>
                <w:szCs w:val="22"/>
              </w:rPr>
              <w:t>Standard risk n= 162 (46.2%)</w:t>
            </w:r>
          </w:p>
        </w:tc>
        <w:tc>
          <w:tcPr>
            <w:tcW w:w="1770" w:type="dxa"/>
          </w:tcPr>
          <w:p w14:paraId="0FF47702" w14:textId="77777777" w:rsidR="00391703" w:rsidRPr="00CB40AF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0AF">
              <w:rPr>
                <w:rFonts w:ascii="Arial" w:hAnsi="Arial" w:cs="Arial"/>
                <w:b/>
                <w:bCs/>
                <w:sz w:val="22"/>
                <w:szCs w:val="22"/>
              </w:rPr>
              <w:t>High risk n=118 (33.6%)</w:t>
            </w:r>
          </w:p>
        </w:tc>
        <w:tc>
          <w:tcPr>
            <w:tcW w:w="1920" w:type="dxa"/>
          </w:tcPr>
          <w:p w14:paraId="30862EFE" w14:textId="77777777" w:rsidR="00391703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216384563"/>
            <w:r w:rsidRPr="00CB40AF">
              <w:rPr>
                <w:rFonts w:ascii="Arial" w:hAnsi="Arial" w:cs="Arial"/>
                <w:b/>
                <w:bCs/>
                <w:sz w:val="22"/>
                <w:szCs w:val="22"/>
              </w:rPr>
              <w:t>Ultra-High-risk n=71 (20.2%)</w:t>
            </w:r>
          </w:p>
          <w:bookmarkEnd w:id="0"/>
          <w:p w14:paraId="26C580A5" w14:textId="77777777" w:rsidR="00391703" w:rsidRPr="00FB196A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B196A">
              <w:rPr>
                <w:rFonts w:ascii="Arial" w:hAnsi="Arial" w:cs="Arial"/>
                <w:i/>
                <w:iCs/>
                <w:sz w:val="22"/>
                <w:szCs w:val="22"/>
              </w:rPr>
              <w:t>2 HRCAs: 59 (17)</w:t>
            </w:r>
          </w:p>
          <w:p w14:paraId="01E50087" w14:textId="77777777" w:rsidR="00391703" w:rsidRPr="00CB40AF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B196A">
              <w:rPr>
                <w:rFonts w:ascii="Arial" w:hAnsi="Arial" w:cs="Arial"/>
                <w:i/>
                <w:iCs/>
                <w:sz w:val="22"/>
                <w:szCs w:val="22"/>
              </w:rPr>
              <w:t>3 HRCAs: 12 (3)</w:t>
            </w:r>
          </w:p>
        </w:tc>
        <w:tc>
          <w:tcPr>
            <w:tcW w:w="990" w:type="dxa"/>
          </w:tcPr>
          <w:p w14:paraId="4951F291" w14:textId="77777777" w:rsidR="00391703" w:rsidRPr="00CB40AF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40AF">
              <w:rPr>
                <w:rFonts w:ascii="Arial" w:hAnsi="Arial" w:cs="Arial"/>
                <w:b/>
                <w:bCs/>
                <w:sz w:val="22"/>
                <w:szCs w:val="22"/>
              </w:rPr>
              <w:t>p-value</w:t>
            </w:r>
          </w:p>
        </w:tc>
      </w:tr>
      <w:tr w:rsidR="00391703" w14:paraId="62DAB8BA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5567166" w14:textId="77777777" w:rsidR="00391703" w:rsidRPr="00CB4CD5" w:rsidRDefault="00391703" w:rsidP="00544E12">
            <w:r w:rsidRPr="00CB4CD5">
              <w:rPr>
                <w:caps w:val="0"/>
              </w:rPr>
              <w:t>Age at diagnosis, years, median (</w:t>
            </w:r>
            <w:r>
              <w:rPr>
                <w:caps w:val="0"/>
              </w:rPr>
              <w:t>IQR</w:t>
            </w:r>
            <w:r w:rsidRPr="00CB4CD5">
              <w:rPr>
                <w:caps w:val="0"/>
              </w:rPr>
              <w:t>)</w:t>
            </w:r>
          </w:p>
        </w:tc>
        <w:tc>
          <w:tcPr>
            <w:tcW w:w="1620" w:type="dxa"/>
          </w:tcPr>
          <w:p w14:paraId="50492F72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bookmarkStart w:id="1" w:name="_Hlk213366651"/>
            <w:r w:rsidRPr="008D3CA5">
              <w:rPr>
                <w:rFonts w:ascii="Arial" w:hAnsi="Arial" w:cs="Arial"/>
                <w:sz w:val="20"/>
                <w:szCs w:val="20"/>
              </w:rPr>
              <w:t>62 (55–68)</w:t>
            </w:r>
            <w:bookmarkEnd w:id="1"/>
          </w:p>
        </w:tc>
        <w:tc>
          <w:tcPr>
            <w:tcW w:w="1260" w:type="dxa"/>
          </w:tcPr>
          <w:p w14:paraId="22ADF6A4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63 (54.8–68)</w:t>
            </w:r>
          </w:p>
        </w:tc>
        <w:tc>
          <w:tcPr>
            <w:tcW w:w="1770" w:type="dxa"/>
          </w:tcPr>
          <w:p w14:paraId="06DBBD56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63 (57–68)</w:t>
            </w:r>
          </w:p>
          <w:p w14:paraId="36FB31DB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DB47F70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61 (55–68)</w:t>
            </w:r>
          </w:p>
        </w:tc>
        <w:tc>
          <w:tcPr>
            <w:tcW w:w="990" w:type="dxa"/>
          </w:tcPr>
          <w:p w14:paraId="7089E691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0.80</w:t>
            </w:r>
          </w:p>
          <w:p w14:paraId="755F44AE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154F1D00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BED9899" w14:textId="77777777" w:rsidR="00391703" w:rsidRPr="00CB4CD5" w:rsidRDefault="00391703" w:rsidP="00544E12">
            <w:r w:rsidRPr="00CB4CD5">
              <w:rPr>
                <w:caps w:val="0"/>
              </w:rPr>
              <w:t>Gender, males (%)</w:t>
            </w:r>
          </w:p>
        </w:tc>
        <w:tc>
          <w:tcPr>
            <w:tcW w:w="1620" w:type="dxa"/>
          </w:tcPr>
          <w:p w14:paraId="65042E66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 xml:space="preserve"> 206 (58.7)</w:t>
            </w:r>
          </w:p>
        </w:tc>
        <w:tc>
          <w:tcPr>
            <w:tcW w:w="1260" w:type="dxa"/>
          </w:tcPr>
          <w:p w14:paraId="6C74F2F7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104 (64.2%)</w:t>
            </w:r>
          </w:p>
        </w:tc>
        <w:tc>
          <w:tcPr>
            <w:tcW w:w="1770" w:type="dxa"/>
          </w:tcPr>
          <w:p w14:paraId="5D99EDDB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69 (58.5%)</w:t>
            </w:r>
          </w:p>
        </w:tc>
        <w:tc>
          <w:tcPr>
            <w:tcW w:w="1920" w:type="dxa"/>
          </w:tcPr>
          <w:p w14:paraId="7546DBC6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33 (46.5%)</w:t>
            </w:r>
          </w:p>
        </w:tc>
        <w:tc>
          <w:tcPr>
            <w:tcW w:w="990" w:type="dxa"/>
          </w:tcPr>
          <w:p w14:paraId="3A6A2661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</w:tr>
      <w:tr w:rsidR="00391703" w14:paraId="33311866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718409A" w14:textId="77777777" w:rsidR="00391703" w:rsidRPr="00CB4CD5" w:rsidRDefault="00391703" w:rsidP="00544E12">
            <w:r w:rsidRPr="00CB4CD5">
              <w:rPr>
                <w:caps w:val="0"/>
              </w:rPr>
              <w:t>Race, n (%)</w:t>
            </w:r>
          </w:p>
        </w:tc>
        <w:tc>
          <w:tcPr>
            <w:tcW w:w="1620" w:type="dxa"/>
          </w:tcPr>
          <w:p w14:paraId="1872FEE2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A8DAA7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7ED8F522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64410998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19E9F5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D7F33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391703" w14:paraId="08D8D94B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D81C3F6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Black</w:t>
            </w:r>
          </w:p>
        </w:tc>
        <w:tc>
          <w:tcPr>
            <w:tcW w:w="1620" w:type="dxa"/>
          </w:tcPr>
          <w:p w14:paraId="7647BC6F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720A6">
              <w:rPr>
                <w:rFonts w:ascii="Arial" w:hAnsi="Arial" w:cs="Arial"/>
                <w:sz w:val="20"/>
                <w:szCs w:val="20"/>
              </w:rPr>
              <w:t>8 (2.3)</w:t>
            </w:r>
          </w:p>
        </w:tc>
        <w:tc>
          <w:tcPr>
            <w:tcW w:w="1260" w:type="dxa"/>
          </w:tcPr>
          <w:p w14:paraId="3914E922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4D6F">
              <w:rPr>
                <w:rFonts w:ascii="Arial" w:hAnsi="Arial" w:cs="Arial"/>
                <w:sz w:val="20"/>
                <w:szCs w:val="20"/>
              </w:rPr>
              <w:t>3 (1.9)</w:t>
            </w:r>
          </w:p>
        </w:tc>
        <w:tc>
          <w:tcPr>
            <w:tcW w:w="1770" w:type="dxa"/>
          </w:tcPr>
          <w:p w14:paraId="72408C19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4D6F">
              <w:rPr>
                <w:rFonts w:ascii="Arial" w:hAnsi="Arial" w:cs="Arial"/>
                <w:sz w:val="20"/>
                <w:szCs w:val="20"/>
              </w:rPr>
              <w:t>3 (2.5)</w:t>
            </w:r>
          </w:p>
        </w:tc>
        <w:tc>
          <w:tcPr>
            <w:tcW w:w="1920" w:type="dxa"/>
          </w:tcPr>
          <w:p w14:paraId="314B979D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259F">
              <w:rPr>
                <w:rFonts w:ascii="Arial" w:hAnsi="Arial" w:cs="Arial"/>
                <w:sz w:val="20"/>
                <w:szCs w:val="20"/>
              </w:rPr>
              <w:t>2 (2.8)</w:t>
            </w:r>
          </w:p>
        </w:tc>
        <w:tc>
          <w:tcPr>
            <w:tcW w:w="990" w:type="dxa"/>
          </w:tcPr>
          <w:p w14:paraId="3C0437AE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504B55DF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214C5E0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White</w:t>
            </w:r>
          </w:p>
        </w:tc>
        <w:tc>
          <w:tcPr>
            <w:tcW w:w="1620" w:type="dxa"/>
          </w:tcPr>
          <w:p w14:paraId="71F7DB9E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41E48">
              <w:rPr>
                <w:rFonts w:ascii="Arial" w:hAnsi="Arial" w:cs="Arial"/>
                <w:sz w:val="20"/>
                <w:szCs w:val="20"/>
              </w:rPr>
              <w:t>328 (93.5)</w:t>
            </w:r>
          </w:p>
        </w:tc>
        <w:tc>
          <w:tcPr>
            <w:tcW w:w="1260" w:type="dxa"/>
          </w:tcPr>
          <w:p w14:paraId="4CB133E9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259F">
              <w:rPr>
                <w:rFonts w:ascii="Arial" w:hAnsi="Arial" w:cs="Arial"/>
                <w:sz w:val="20"/>
                <w:szCs w:val="20"/>
              </w:rPr>
              <w:t>152 (93.8)</w:t>
            </w:r>
          </w:p>
        </w:tc>
        <w:tc>
          <w:tcPr>
            <w:tcW w:w="1770" w:type="dxa"/>
          </w:tcPr>
          <w:p w14:paraId="4521579F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C259F">
              <w:rPr>
                <w:rFonts w:ascii="Arial" w:hAnsi="Arial" w:cs="Arial"/>
                <w:sz w:val="20"/>
                <w:szCs w:val="20"/>
              </w:rPr>
              <w:t>111 (94.1)</w:t>
            </w:r>
          </w:p>
        </w:tc>
        <w:tc>
          <w:tcPr>
            <w:tcW w:w="1920" w:type="dxa"/>
          </w:tcPr>
          <w:p w14:paraId="2B2B50C5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6C4">
              <w:rPr>
                <w:rFonts w:ascii="Arial" w:hAnsi="Arial" w:cs="Arial"/>
                <w:sz w:val="20"/>
                <w:szCs w:val="20"/>
              </w:rPr>
              <w:t>65 (91.5)</w:t>
            </w:r>
          </w:p>
        </w:tc>
        <w:tc>
          <w:tcPr>
            <w:tcW w:w="990" w:type="dxa"/>
          </w:tcPr>
          <w:p w14:paraId="37C65F85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195C97E5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52A1CB5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Other</w:t>
            </w:r>
          </w:p>
        </w:tc>
        <w:tc>
          <w:tcPr>
            <w:tcW w:w="1620" w:type="dxa"/>
          </w:tcPr>
          <w:p w14:paraId="6B9C3DA4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4D6F">
              <w:rPr>
                <w:rFonts w:ascii="Arial" w:hAnsi="Arial" w:cs="Arial"/>
                <w:sz w:val="20"/>
                <w:szCs w:val="20"/>
              </w:rPr>
              <w:t>15 (4.3)</w:t>
            </w:r>
          </w:p>
        </w:tc>
        <w:tc>
          <w:tcPr>
            <w:tcW w:w="1260" w:type="dxa"/>
          </w:tcPr>
          <w:p w14:paraId="63F5C060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6C4">
              <w:rPr>
                <w:rFonts w:ascii="Arial" w:hAnsi="Arial" w:cs="Arial"/>
                <w:sz w:val="20"/>
                <w:szCs w:val="20"/>
              </w:rPr>
              <w:t>7 (4.3)</w:t>
            </w:r>
          </w:p>
        </w:tc>
        <w:tc>
          <w:tcPr>
            <w:tcW w:w="1770" w:type="dxa"/>
          </w:tcPr>
          <w:p w14:paraId="65E21032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6C4">
              <w:rPr>
                <w:rFonts w:ascii="Arial" w:hAnsi="Arial" w:cs="Arial"/>
                <w:sz w:val="20"/>
                <w:szCs w:val="20"/>
              </w:rPr>
              <w:t>4 (3.4)</w:t>
            </w:r>
          </w:p>
        </w:tc>
        <w:tc>
          <w:tcPr>
            <w:tcW w:w="1920" w:type="dxa"/>
          </w:tcPr>
          <w:p w14:paraId="2C942887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446C4">
              <w:rPr>
                <w:rFonts w:ascii="Arial" w:hAnsi="Arial" w:cs="Arial"/>
                <w:sz w:val="20"/>
                <w:szCs w:val="20"/>
              </w:rPr>
              <w:t>4 (5.6)</w:t>
            </w:r>
          </w:p>
        </w:tc>
        <w:tc>
          <w:tcPr>
            <w:tcW w:w="990" w:type="dxa"/>
          </w:tcPr>
          <w:p w14:paraId="4AE39F21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57040CA4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03BFD0B" w14:textId="77777777" w:rsidR="00391703" w:rsidRPr="00CB4CD5" w:rsidRDefault="00391703" w:rsidP="00544E12">
            <w:r w:rsidRPr="00CB4CD5">
              <w:rPr>
                <w:caps w:val="0"/>
              </w:rPr>
              <w:t xml:space="preserve">Time from diagnosis to </w:t>
            </w:r>
            <w:r>
              <w:rPr>
                <w:caps w:val="0"/>
              </w:rPr>
              <w:t>ASCT</w:t>
            </w:r>
            <w:r w:rsidRPr="00CB4CD5">
              <w:rPr>
                <w:caps w:val="0"/>
              </w:rPr>
              <w:t>, median (</w:t>
            </w:r>
            <w:r>
              <w:rPr>
                <w:caps w:val="0"/>
              </w:rPr>
              <w:t>IQR</w:t>
            </w:r>
            <w:r w:rsidRPr="00CB4CD5">
              <w:rPr>
                <w:caps w:val="0"/>
              </w:rPr>
              <w:t>), months</w:t>
            </w:r>
          </w:p>
        </w:tc>
        <w:tc>
          <w:tcPr>
            <w:tcW w:w="1620" w:type="dxa"/>
          </w:tcPr>
          <w:p w14:paraId="68674218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6.09 (5.2–8.1)</w:t>
            </w:r>
          </w:p>
        </w:tc>
        <w:tc>
          <w:tcPr>
            <w:tcW w:w="1260" w:type="dxa"/>
          </w:tcPr>
          <w:p w14:paraId="5C5F8E46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6.8 (5.2–8.3)</w:t>
            </w:r>
          </w:p>
        </w:tc>
        <w:tc>
          <w:tcPr>
            <w:tcW w:w="1770" w:type="dxa"/>
          </w:tcPr>
          <w:p w14:paraId="58E2016C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6.0 (5.2–7.5)</w:t>
            </w:r>
          </w:p>
        </w:tc>
        <w:tc>
          <w:tcPr>
            <w:tcW w:w="1920" w:type="dxa"/>
          </w:tcPr>
          <w:p w14:paraId="715D7EF2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5.9 (5.2–7.1)</w:t>
            </w:r>
          </w:p>
        </w:tc>
        <w:tc>
          <w:tcPr>
            <w:tcW w:w="990" w:type="dxa"/>
          </w:tcPr>
          <w:p w14:paraId="2ADC0DA4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0.34</w:t>
            </w:r>
          </w:p>
        </w:tc>
      </w:tr>
      <w:tr w:rsidR="00391703" w14:paraId="4097BB74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165D508" w14:textId="77777777" w:rsidR="00391703" w:rsidRPr="00CB4CD5" w:rsidRDefault="00391703" w:rsidP="00544E12">
            <w:r w:rsidRPr="00CB4CD5">
              <w:rPr>
                <w:caps w:val="0"/>
              </w:rPr>
              <w:t xml:space="preserve">Age at </w:t>
            </w:r>
            <w:r>
              <w:rPr>
                <w:caps w:val="0"/>
              </w:rPr>
              <w:t>ASCT</w:t>
            </w:r>
            <w:r w:rsidRPr="00CB4CD5">
              <w:rPr>
                <w:caps w:val="0"/>
              </w:rPr>
              <w:t>, years, median (</w:t>
            </w:r>
            <w:r>
              <w:rPr>
                <w:caps w:val="0"/>
              </w:rPr>
              <w:t>IQR</w:t>
            </w:r>
            <w:r w:rsidRPr="00CB4CD5">
              <w:rPr>
                <w:caps w:val="0"/>
              </w:rPr>
              <w:t>)</w:t>
            </w:r>
          </w:p>
        </w:tc>
        <w:tc>
          <w:tcPr>
            <w:tcW w:w="1620" w:type="dxa"/>
          </w:tcPr>
          <w:p w14:paraId="4AAA6B7F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64.4 (55–70)</w:t>
            </w:r>
          </w:p>
        </w:tc>
        <w:tc>
          <w:tcPr>
            <w:tcW w:w="1260" w:type="dxa"/>
          </w:tcPr>
          <w:p w14:paraId="06EACDF1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64.6 (53–70)</w:t>
            </w:r>
          </w:p>
        </w:tc>
        <w:tc>
          <w:tcPr>
            <w:tcW w:w="1770" w:type="dxa"/>
          </w:tcPr>
          <w:p w14:paraId="78EB521E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65.5 (59–71.9)</w:t>
            </w:r>
          </w:p>
        </w:tc>
        <w:tc>
          <w:tcPr>
            <w:tcW w:w="1920" w:type="dxa"/>
          </w:tcPr>
          <w:p w14:paraId="76BA323F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63.02 (56–69)</w:t>
            </w:r>
          </w:p>
        </w:tc>
        <w:tc>
          <w:tcPr>
            <w:tcW w:w="990" w:type="dxa"/>
          </w:tcPr>
          <w:p w14:paraId="602683B6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0.40</w:t>
            </w:r>
          </w:p>
        </w:tc>
      </w:tr>
      <w:tr w:rsidR="00391703" w14:paraId="470451E4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7FF1EEB" w14:textId="77777777" w:rsidR="00391703" w:rsidRPr="00CB4CD5" w:rsidRDefault="00391703" w:rsidP="00544E12">
            <w:r w:rsidRPr="00CB4CD5">
              <w:rPr>
                <w:caps w:val="0"/>
              </w:rPr>
              <w:t>Induction therapy, n (%)</w:t>
            </w:r>
          </w:p>
        </w:tc>
        <w:tc>
          <w:tcPr>
            <w:tcW w:w="1620" w:type="dxa"/>
          </w:tcPr>
          <w:p w14:paraId="3151E5AE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DE5028D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459FB9DB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BA9F036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6170FF70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</w:tr>
      <w:tr w:rsidR="00391703" w14:paraId="4258FEF1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BC66861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Triplet (</w:t>
            </w:r>
            <w:r>
              <w:rPr>
                <w:caps w:val="0"/>
              </w:rPr>
              <w:t>VRd</w:t>
            </w:r>
            <w:r w:rsidRPr="00CB4CD5">
              <w:rPr>
                <w:caps w:val="0"/>
              </w:rPr>
              <w:t xml:space="preserve">, </w:t>
            </w:r>
            <w:r>
              <w:rPr>
                <w:caps w:val="0"/>
              </w:rPr>
              <w:t>KR</w:t>
            </w:r>
            <w:r w:rsidRPr="00CB4CD5">
              <w:rPr>
                <w:caps w:val="0"/>
              </w:rPr>
              <w:t>d)</w:t>
            </w:r>
          </w:p>
        </w:tc>
        <w:tc>
          <w:tcPr>
            <w:tcW w:w="1620" w:type="dxa"/>
          </w:tcPr>
          <w:p w14:paraId="559F0ED4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273 (77.8)</w:t>
            </w:r>
          </w:p>
        </w:tc>
        <w:tc>
          <w:tcPr>
            <w:tcW w:w="1260" w:type="dxa"/>
          </w:tcPr>
          <w:p w14:paraId="5208C0B1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129 (79.6)</w:t>
            </w:r>
          </w:p>
        </w:tc>
        <w:tc>
          <w:tcPr>
            <w:tcW w:w="1770" w:type="dxa"/>
          </w:tcPr>
          <w:p w14:paraId="34D532CC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89 (75.4)</w:t>
            </w:r>
          </w:p>
        </w:tc>
        <w:tc>
          <w:tcPr>
            <w:tcW w:w="1920" w:type="dxa"/>
          </w:tcPr>
          <w:p w14:paraId="720A968C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55 (77.5)</w:t>
            </w:r>
          </w:p>
        </w:tc>
        <w:tc>
          <w:tcPr>
            <w:tcW w:w="990" w:type="dxa"/>
          </w:tcPr>
          <w:p w14:paraId="1B3E5BEB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64A16958" w14:textId="77777777" w:rsidTr="00544E1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B3942B5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Dara</w:t>
            </w:r>
            <w:r>
              <w:rPr>
                <w:caps w:val="0"/>
              </w:rPr>
              <w:t xml:space="preserve">-based </w:t>
            </w:r>
            <w:r w:rsidRPr="00CB4CD5">
              <w:rPr>
                <w:caps w:val="0"/>
              </w:rPr>
              <w:t>quadruplet</w:t>
            </w:r>
          </w:p>
        </w:tc>
        <w:tc>
          <w:tcPr>
            <w:tcW w:w="1620" w:type="dxa"/>
          </w:tcPr>
          <w:p w14:paraId="0EC10DD2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37 (10.5)</w:t>
            </w:r>
          </w:p>
        </w:tc>
        <w:tc>
          <w:tcPr>
            <w:tcW w:w="1260" w:type="dxa"/>
          </w:tcPr>
          <w:p w14:paraId="1F3BF2B4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16 (9.9)</w:t>
            </w:r>
          </w:p>
        </w:tc>
        <w:tc>
          <w:tcPr>
            <w:tcW w:w="1770" w:type="dxa"/>
          </w:tcPr>
          <w:p w14:paraId="59DAACD2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13 (11)</w:t>
            </w:r>
          </w:p>
        </w:tc>
        <w:tc>
          <w:tcPr>
            <w:tcW w:w="1920" w:type="dxa"/>
          </w:tcPr>
          <w:p w14:paraId="3524CE6E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8 (11.3)</w:t>
            </w:r>
          </w:p>
        </w:tc>
        <w:tc>
          <w:tcPr>
            <w:tcW w:w="990" w:type="dxa"/>
          </w:tcPr>
          <w:p w14:paraId="60101924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5814C4B1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F534B0F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Cy</w:t>
            </w:r>
            <w:r>
              <w:rPr>
                <w:caps w:val="0"/>
              </w:rPr>
              <w:t>BorD</w:t>
            </w:r>
          </w:p>
        </w:tc>
        <w:tc>
          <w:tcPr>
            <w:tcW w:w="1620" w:type="dxa"/>
          </w:tcPr>
          <w:p w14:paraId="59733C1D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30 (8.6)</w:t>
            </w:r>
          </w:p>
        </w:tc>
        <w:tc>
          <w:tcPr>
            <w:tcW w:w="1260" w:type="dxa"/>
          </w:tcPr>
          <w:p w14:paraId="34D6112F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11 (6.8)</w:t>
            </w:r>
          </w:p>
        </w:tc>
        <w:tc>
          <w:tcPr>
            <w:tcW w:w="1770" w:type="dxa"/>
          </w:tcPr>
          <w:p w14:paraId="135DFA17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13 (11)</w:t>
            </w:r>
          </w:p>
        </w:tc>
        <w:tc>
          <w:tcPr>
            <w:tcW w:w="1920" w:type="dxa"/>
          </w:tcPr>
          <w:p w14:paraId="174FF8CF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6 (8.5)</w:t>
            </w:r>
          </w:p>
        </w:tc>
        <w:tc>
          <w:tcPr>
            <w:tcW w:w="990" w:type="dxa"/>
          </w:tcPr>
          <w:p w14:paraId="7208D65E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51E1FF20" w14:textId="77777777" w:rsidTr="00544E12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2FCA8D8C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Doublet</w:t>
            </w:r>
          </w:p>
        </w:tc>
        <w:tc>
          <w:tcPr>
            <w:tcW w:w="1620" w:type="dxa"/>
          </w:tcPr>
          <w:p w14:paraId="08A50622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8 (2.3)</w:t>
            </w:r>
          </w:p>
        </w:tc>
        <w:tc>
          <w:tcPr>
            <w:tcW w:w="1260" w:type="dxa"/>
          </w:tcPr>
          <w:p w14:paraId="3DE90AC3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5 (3.1)</w:t>
            </w:r>
          </w:p>
        </w:tc>
        <w:tc>
          <w:tcPr>
            <w:tcW w:w="1770" w:type="dxa"/>
          </w:tcPr>
          <w:p w14:paraId="304EAE76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 (0.8)</w:t>
            </w:r>
          </w:p>
        </w:tc>
        <w:tc>
          <w:tcPr>
            <w:tcW w:w="1920" w:type="dxa"/>
          </w:tcPr>
          <w:p w14:paraId="5587B39E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2(2.8)</w:t>
            </w:r>
          </w:p>
          <w:p w14:paraId="52028A91" w14:textId="77777777" w:rsidR="00391703" w:rsidRPr="008D3CA5" w:rsidRDefault="00391703" w:rsidP="00544E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8AB22B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14:paraId="31B19743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660550DB" w14:textId="77777777" w:rsidR="00391703" w:rsidRPr="00CB4CD5" w:rsidRDefault="00391703" w:rsidP="00544E12">
            <w:r w:rsidRPr="00CB4CD5">
              <w:rPr>
                <w:caps w:val="0"/>
              </w:rPr>
              <w:t>Other (</w:t>
            </w:r>
            <w:r>
              <w:rPr>
                <w:caps w:val="0"/>
              </w:rPr>
              <w:t>DaraVD, VD-PACE</w:t>
            </w:r>
            <w:r w:rsidRPr="00CB4CD5">
              <w:rPr>
                <w:caps w:val="0"/>
              </w:rPr>
              <w:t>)</w:t>
            </w:r>
          </w:p>
        </w:tc>
        <w:tc>
          <w:tcPr>
            <w:tcW w:w="1620" w:type="dxa"/>
          </w:tcPr>
          <w:p w14:paraId="74FBC06A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3 (0.9)</w:t>
            </w:r>
          </w:p>
        </w:tc>
        <w:tc>
          <w:tcPr>
            <w:tcW w:w="1260" w:type="dxa"/>
          </w:tcPr>
          <w:p w14:paraId="7911A10F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1 (0.6)</w:t>
            </w:r>
          </w:p>
        </w:tc>
        <w:tc>
          <w:tcPr>
            <w:tcW w:w="1770" w:type="dxa"/>
          </w:tcPr>
          <w:p w14:paraId="345CB4B6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2 (1.7)</w:t>
            </w:r>
          </w:p>
        </w:tc>
        <w:tc>
          <w:tcPr>
            <w:tcW w:w="1920" w:type="dxa"/>
          </w:tcPr>
          <w:p w14:paraId="638D721F" w14:textId="77777777" w:rsidR="00391703" w:rsidRPr="008D3CA5" w:rsidRDefault="00391703" w:rsidP="00544E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445FFE75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2A802229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504A721" w14:textId="77777777" w:rsidR="00391703" w:rsidRPr="00CB4CD5" w:rsidRDefault="00391703" w:rsidP="00544E12">
            <w:r>
              <w:rPr>
                <w:caps w:val="0"/>
              </w:rPr>
              <w:t>Post-Transplant therapy, n (%)</w:t>
            </w:r>
          </w:p>
        </w:tc>
        <w:tc>
          <w:tcPr>
            <w:tcW w:w="1620" w:type="dxa"/>
          </w:tcPr>
          <w:p w14:paraId="1E8C62E6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5B2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845B2">
              <w:rPr>
                <w:rFonts w:ascii="Arial" w:hAnsi="Arial" w:cs="Arial"/>
                <w:sz w:val="20"/>
                <w:szCs w:val="20"/>
              </w:rPr>
              <w:t xml:space="preserve"> (9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C845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845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ABAD717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5B2">
              <w:rPr>
                <w:rFonts w:ascii="Arial" w:hAnsi="Arial" w:cs="Arial"/>
                <w:sz w:val="20"/>
                <w:szCs w:val="20"/>
              </w:rPr>
              <w:t>157 (96.9)</w:t>
            </w:r>
          </w:p>
        </w:tc>
        <w:tc>
          <w:tcPr>
            <w:tcW w:w="1770" w:type="dxa"/>
          </w:tcPr>
          <w:p w14:paraId="3CDA5669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5B2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845B2">
              <w:rPr>
                <w:rFonts w:ascii="Arial" w:hAnsi="Arial" w:cs="Arial"/>
                <w:sz w:val="20"/>
                <w:szCs w:val="20"/>
              </w:rPr>
              <w:t xml:space="preserve"> (9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845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845B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14:paraId="1F31D7CF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845B2">
              <w:rPr>
                <w:rFonts w:ascii="Arial" w:hAnsi="Arial" w:cs="Arial"/>
                <w:sz w:val="20"/>
                <w:szCs w:val="20"/>
              </w:rPr>
              <w:t>71 (100)</w:t>
            </w:r>
          </w:p>
        </w:tc>
        <w:tc>
          <w:tcPr>
            <w:tcW w:w="990" w:type="dxa"/>
          </w:tcPr>
          <w:p w14:paraId="5630D59F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3CA5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391703" w:rsidRPr="008D3CA5" w14:paraId="58EE32F8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10AB39DE" w14:textId="77777777" w:rsidR="00391703" w:rsidRPr="00CB4CD5" w:rsidRDefault="00391703" w:rsidP="00544E12">
            <w:r w:rsidRPr="00CB4CD5">
              <w:rPr>
                <w:caps w:val="0"/>
              </w:rPr>
              <w:t>Consolidation</w:t>
            </w:r>
            <w:r>
              <w:rPr>
                <w:caps w:val="0"/>
              </w:rPr>
              <w:t xml:space="preserve"> </w:t>
            </w:r>
          </w:p>
        </w:tc>
        <w:tc>
          <w:tcPr>
            <w:tcW w:w="1620" w:type="dxa"/>
          </w:tcPr>
          <w:p w14:paraId="13D7AB41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33 (9.6)</w:t>
            </w:r>
          </w:p>
        </w:tc>
        <w:tc>
          <w:tcPr>
            <w:tcW w:w="1260" w:type="dxa"/>
          </w:tcPr>
          <w:p w14:paraId="53D19987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 (0.6)</w:t>
            </w:r>
          </w:p>
        </w:tc>
        <w:tc>
          <w:tcPr>
            <w:tcW w:w="1770" w:type="dxa"/>
          </w:tcPr>
          <w:p w14:paraId="2AFBC3BC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12 (10.3)</w:t>
            </w:r>
          </w:p>
        </w:tc>
        <w:tc>
          <w:tcPr>
            <w:tcW w:w="1920" w:type="dxa"/>
          </w:tcPr>
          <w:p w14:paraId="1790C829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20 (28.1)</w:t>
            </w:r>
          </w:p>
        </w:tc>
        <w:tc>
          <w:tcPr>
            <w:tcW w:w="990" w:type="dxa"/>
          </w:tcPr>
          <w:p w14:paraId="285B7D9A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208071A7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45262C82" w14:textId="77777777" w:rsidR="00391703" w:rsidRPr="00CB4CD5" w:rsidRDefault="00391703" w:rsidP="00544E12">
            <w:r>
              <w:rPr>
                <w:caps w:val="0"/>
              </w:rPr>
              <w:t>Maintenance</w:t>
            </w:r>
          </w:p>
        </w:tc>
        <w:tc>
          <w:tcPr>
            <w:tcW w:w="1620" w:type="dxa"/>
          </w:tcPr>
          <w:p w14:paraId="64865DF4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CF349B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</w:tcPr>
          <w:p w14:paraId="5521E56A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06AFBD0" w14:textId="77777777" w:rsidR="00391703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4B080B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1E813BB8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7A94DD9E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I</w:t>
            </w:r>
            <w:r>
              <w:rPr>
                <w:caps w:val="0"/>
              </w:rPr>
              <w:t>MiD</w:t>
            </w:r>
          </w:p>
        </w:tc>
        <w:tc>
          <w:tcPr>
            <w:tcW w:w="1620" w:type="dxa"/>
          </w:tcPr>
          <w:p w14:paraId="3C070151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C3CCC">
              <w:rPr>
                <w:rFonts w:ascii="Arial" w:hAnsi="Arial" w:cs="Arial"/>
                <w:sz w:val="20"/>
                <w:szCs w:val="20"/>
              </w:rPr>
              <w:t xml:space="preserve"> (6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C3C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C3C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73CA5145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143 (91.1)</w:t>
            </w:r>
          </w:p>
        </w:tc>
        <w:tc>
          <w:tcPr>
            <w:tcW w:w="1770" w:type="dxa"/>
          </w:tcPr>
          <w:p w14:paraId="339CC3E5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C3C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Pr="006C3C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C3C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14:paraId="2013FD89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17 (23.9)</w:t>
            </w:r>
          </w:p>
        </w:tc>
        <w:tc>
          <w:tcPr>
            <w:tcW w:w="990" w:type="dxa"/>
          </w:tcPr>
          <w:p w14:paraId="39F24657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35EC260F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5EDCB997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P</w:t>
            </w:r>
            <w:r>
              <w:rPr>
                <w:caps w:val="0"/>
              </w:rPr>
              <w:t>I</w:t>
            </w:r>
          </w:p>
        </w:tc>
        <w:tc>
          <w:tcPr>
            <w:tcW w:w="1620" w:type="dxa"/>
          </w:tcPr>
          <w:p w14:paraId="54C8B517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41 (11.9)</w:t>
            </w:r>
          </w:p>
        </w:tc>
        <w:tc>
          <w:tcPr>
            <w:tcW w:w="1260" w:type="dxa"/>
          </w:tcPr>
          <w:p w14:paraId="32D80807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9 (5.7)</w:t>
            </w:r>
          </w:p>
        </w:tc>
        <w:tc>
          <w:tcPr>
            <w:tcW w:w="1770" w:type="dxa"/>
          </w:tcPr>
          <w:p w14:paraId="24B8B1C3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C3CCC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C3C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C3C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14:paraId="5C8848AD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11 (15.5)</w:t>
            </w:r>
          </w:p>
        </w:tc>
        <w:tc>
          <w:tcPr>
            <w:tcW w:w="990" w:type="dxa"/>
          </w:tcPr>
          <w:p w14:paraId="7358EF95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6811A6FE" w14:textId="77777777" w:rsidTr="00544E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3F7CDBE6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I</w:t>
            </w:r>
            <w:r>
              <w:rPr>
                <w:caps w:val="0"/>
              </w:rPr>
              <w:t>M</w:t>
            </w:r>
            <w:r w:rsidRPr="00CB4CD5">
              <w:rPr>
                <w:caps w:val="0"/>
              </w:rPr>
              <w:t>i</w:t>
            </w:r>
            <w:r>
              <w:rPr>
                <w:caps w:val="0"/>
              </w:rPr>
              <w:t>D</w:t>
            </w:r>
            <w:r w:rsidRPr="00CB4CD5">
              <w:rPr>
                <w:caps w:val="0"/>
              </w:rPr>
              <w:t xml:space="preserve"> + </w:t>
            </w:r>
            <w:r>
              <w:rPr>
                <w:caps w:val="0"/>
              </w:rPr>
              <w:t>PI</w:t>
            </w:r>
          </w:p>
        </w:tc>
        <w:tc>
          <w:tcPr>
            <w:tcW w:w="1620" w:type="dxa"/>
          </w:tcPr>
          <w:p w14:paraId="340CE737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Pr="006C3CCC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C3C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C3C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6E0EE898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3 (1.9)</w:t>
            </w:r>
          </w:p>
        </w:tc>
        <w:tc>
          <w:tcPr>
            <w:tcW w:w="1770" w:type="dxa"/>
          </w:tcPr>
          <w:p w14:paraId="4CFDF139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6C3CCC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C3CC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C3C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20" w:type="dxa"/>
          </w:tcPr>
          <w:p w14:paraId="451C0806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17 (23.9)</w:t>
            </w:r>
          </w:p>
        </w:tc>
        <w:tc>
          <w:tcPr>
            <w:tcW w:w="990" w:type="dxa"/>
          </w:tcPr>
          <w:p w14:paraId="5F6CB2BB" w14:textId="77777777" w:rsidR="00391703" w:rsidRPr="008D3CA5" w:rsidRDefault="00391703" w:rsidP="00544E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1703" w:rsidRPr="008D3CA5" w14:paraId="2E0C6E8D" w14:textId="77777777" w:rsidTr="00544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14:paraId="0840502B" w14:textId="77777777" w:rsidR="00391703" w:rsidRPr="00CB4CD5" w:rsidRDefault="00391703" w:rsidP="00544E12">
            <w:pPr>
              <w:jc w:val="center"/>
            </w:pPr>
            <w:r w:rsidRPr="00CB4CD5">
              <w:rPr>
                <w:caps w:val="0"/>
              </w:rPr>
              <w:t>Anti</w:t>
            </w:r>
            <w:r>
              <w:rPr>
                <w:caps w:val="0"/>
              </w:rPr>
              <w:t>-CD</w:t>
            </w:r>
            <w:r w:rsidRPr="00CB4CD5">
              <w:rPr>
                <w:caps w:val="0"/>
              </w:rPr>
              <w:t>38-based</w:t>
            </w:r>
          </w:p>
        </w:tc>
        <w:tc>
          <w:tcPr>
            <w:tcW w:w="1620" w:type="dxa"/>
          </w:tcPr>
          <w:p w14:paraId="265038B2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14 (4.0)</w:t>
            </w:r>
          </w:p>
        </w:tc>
        <w:tc>
          <w:tcPr>
            <w:tcW w:w="1260" w:type="dxa"/>
          </w:tcPr>
          <w:p w14:paraId="6E9BCB8B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1 (0.6)</w:t>
            </w:r>
          </w:p>
        </w:tc>
        <w:tc>
          <w:tcPr>
            <w:tcW w:w="1770" w:type="dxa"/>
          </w:tcPr>
          <w:p w14:paraId="69DC8D41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7 (6.0)</w:t>
            </w:r>
          </w:p>
        </w:tc>
        <w:tc>
          <w:tcPr>
            <w:tcW w:w="1920" w:type="dxa"/>
          </w:tcPr>
          <w:p w14:paraId="4D23D6E5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C3CCC">
              <w:rPr>
                <w:rFonts w:ascii="Arial" w:hAnsi="Arial" w:cs="Arial"/>
                <w:sz w:val="20"/>
                <w:szCs w:val="20"/>
              </w:rPr>
              <w:t>6 (8.4)</w:t>
            </w:r>
          </w:p>
        </w:tc>
        <w:tc>
          <w:tcPr>
            <w:tcW w:w="990" w:type="dxa"/>
          </w:tcPr>
          <w:p w14:paraId="72F7F8B0" w14:textId="77777777" w:rsidR="00391703" w:rsidRPr="008D3CA5" w:rsidRDefault="00391703" w:rsidP="00544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E93C3" w14:textId="77777777" w:rsidR="00B82726" w:rsidRPr="00557DBF" w:rsidRDefault="00B82726" w:rsidP="00B82726">
      <w:pPr>
        <w:pStyle w:val="Caption"/>
        <w:jc w:val="both"/>
        <w:rPr>
          <w:rFonts w:ascii="Arial" w:hAnsi="Arial" w:cs="Arial"/>
          <w:i w:val="0"/>
          <w:iCs w:val="0"/>
          <w:color w:val="000000" w:themeColor="text1"/>
        </w:rPr>
      </w:pPr>
      <w:r w:rsidRPr="00557DBF">
        <w:rPr>
          <w:rFonts w:ascii="Arial" w:hAnsi="Arial" w:cs="Arial"/>
          <w:i w:val="0"/>
          <w:iCs w:val="0"/>
          <w:color w:val="000000" w:themeColor="text1"/>
        </w:rPr>
        <w:t>ASCT: autologous stem cell transplant; ; Dara: daratumumab;  IQR: interquartile range; IMiD: immunomodulatory drugs, HRCA: high-risk cytogenetic abnormalities; PI: proteasome inhibitor; CyBorD: cyclophosphamide, bortezomib, dexamethasone</w:t>
      </w:r>
      <w:r>
        <w:rPr>
          <w:rFonts w:ascii="Arial" w:hAnsi="Arial" w:cs="Arial"/>
          <w:i w:val="0"/>
          <w:iCs w:val="0"/>
          <w:color w:val="000000" w:themeColor="text1"/>
        </w:rPr>
        <w:t xml:space="preserve">; </w:t>
      </w:r>
      <w:r w:rsidRPr="00557DBF">
        <w:rPr>
          <w:rFonts w:ascii="Arial" w:hAnsi="Arial" w:cs="Arial"/>
          <w:i w:val="0"/>
          <w:iCs w:val="0"/>
          <w:color w:val="000000" w:themeColor="text1"/>
        </w:rPr>
        <w:t xml:space="preserve">DaraVD: daratumumab, bortezomib (Velcade), dexamethasone; KRD: carfilzomib (Kyprolis), lenalidomide (Revlimid), dexamethasone; VDPACE: bortezomib (Velcade), dexamethasone, cisPlatin, doxorubicin (Adriamycin), cyclophosphamide, etoposide; VRD: bortezomib, lenalidomide, dexamethasone. </w:t>
      </w:r>
    </w:p>
    <w:p w14:paraId="531F9E8F" w14:textId="77777777" w:rsidR="0076330C" w:rsidRDefault="0076330C"/>
    <w:sectPr w:rsidR="0076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0C"/>
    <w:rsid w:val="000007B9"/>
    <w:rsid w:val="00391703"/>
    <w:rsid w:val="0076330C"/>
    <w:rsid w:val="00B8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685C7"/>
  <w15:chartTrackingRefBased/>
  <w15:docId w15:val="{6CCB45E5-9C5B-4DB6-AA0A-C97CDBC8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703"/>
  </w:style>
  <w:style w:type="paragraph" w:styleId="Heading1">
    <w:name w:val="heading 1"/>
    <w:basedOn w:val="Normal"/>
    <w:next w:val="Normal"/>
    <w:link w:val="Heading1Char"/>
    <w:uiPriority w:val="9"/>
    <w:qFormat/>
    <w:rsid w:val="0076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30C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3917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B82726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1740</Characters>
  <Application>Microsoft Office Word</Application>
  <DocSecurity>0</DocSecurity>
  <Lines>39</Lines>
  <Paragraphs>16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Gauto Mariotti, Estefania, M.D.</dc:creator>
  <cp:keywords/>
  <dc:description/>
  <cp:lastModifiedBy>Gauto Mariotti, Estefania, M.D.</cp:lastModifiedBy>
  <cp:revision>4</cp:revision>
  <dcterms:created xsi:type="dcterms:W3CDTF">2026-01-12T23:47:00Z</dcterms:created>
  <dcterms:modified xsi:type="dcterms:W3CDTF">2026-01-12T23:49:00Z</dcterms:modified>
</cp:coreProperties>
</file>