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1FE6" w14:textId="77777777" w:rsidR="00D614EB" w:rsidRPr="00D614EB" w:rsidRDefault="00D614EB" w:rsidP="00D614EB">
      <w:pPr>
        <w:keepNext/>
        <w:spacing w:after="200" w:line="240" w:lineRule="auto"/>
        <w:rPr>
          <w:rFonts w:ascii="Arial" w:eastAsia="Aptos" w:hAnsi="Arial" w:cs="Arial"/>
          <w:b/>
          <w:bCs/>
          <w:i/>
          <w:iCs/>
          <w:color w:val="000000"/>
        </w:rPr>
      </w:pPr>
      <w:bookmarkStart w:id="0" w:name="_Hlk216384589"/>
      <w:r w:rsidRPr="00D614EB">
        <w:rPr>
          <w:rFonts w:ascii="Arial" w:eastAsia="Aptos" w:hAnsi="Arial" w:cs="Arial"/>
          <w:b/>
          <w:bCs/>
          <w:i/>
          <w:iCs/>
          <w:color w:val="000000"/>
        </w:rPr>
        <w:t>TABLE 2. Prevalence of HRCAs</w:t>
      </w:r>
    </w:p>
    <w:tbl>
      <w:tblPr>
        <w:tblStyle w:val="PlainTable111"/>
        <w:tblW w:w="8590" w:type="dxa"/>
        <w:tblLook w:val="04A0" w:firstRow="1" w:lastRow="0" w:firstColumn="1" w:lastColumn="0" w:noHBand="0" w:noVBand="1"/>
      </w:tblPr>
      <w:tblGrid>
        <w:gridCol w:w="3095"/>
        <w:gridCol w:w="1438"/>
        <w:gridCol w:w="941"/>
        <w:gridCol w:w="1558"/>
        <w:gridCol w:w="1558"/>
      </w:tblGrid>
      <w:tr w:rsidR="00D614EB" w:rsidRPr="00D614EB" w14:paraId="4DCC560B" w14:textId="77777777" w:rsidTr="00544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789CC03" w14:textId="77777777" w:rsidR="00D614EB" w:rsidRPr="00D614EB" w:rsidRDefault="00D614EB" w:rsidP="00D614EB">
            <w:pPr>
              <w:rPr>
                <w:rFonts w:ascii="Arial" w:eastAsia="Aptos" w:hAnsi="Arial" w:cs="Arial"/>
              </w:rPr>
            </w:pPr>
            <w:bookmarkStart w:id="1" w:name="_Hlk216384721"/>
            <w:r w:rsidRPr="00D614EB">
              <w:rPr>
                <w:rFonts w:ascii="Aptos" w:eastAsia="Aptos" w:hAnsi="Aptos" w:cs="Times New Roman"/>
              </w:rPr>
              <w:t>Cytogenetic abnormality</w:t>
            </w:r>
          </w:p>
        </w:tc>
        <w:tc>
          <w:tcPr>
            <w:tcW w:w="0" w:type="dxa"/>
          </w:tcPr>
          <w:p w14:paraId="2C6474EB" w14:textId="77777777" w:rsidR="00D614EB" w:rsidRPr="00D614EB" w:rsidRDefault="00D614EB" w:rsidP="00D61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n / N tested*</w:t>
            </w:r>
          </w:p>
        </w:tc>
        <w:tc>
          <w:tcPr>
            <w:tcW w:w="0" w:type="dxa"/>
          </w:tcPr>
          <w:p w14:paraId="24E62F71" w14:textId="77777777" w:rsidR="00D614EB" w:rsidRPr="00D614EB" w:rsidRDefault="00D614EB" w:rsidP="00D61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%</w:t>
            </w:r>
          </w:p>
        </w:tc>
        <w:tc>
          <w:tcPr>
            <w:tcW w:w="0" w:type="dxa"/>
          </w:tcPr>
          <w:p w14:paraId="2DB6D440" w14:textId="77777777" w:rsidR="00D614EB" w:rsidRPr="00D614EB" w:rsidRDefault="00D614EB" w:rsidP="00D61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D614EB">
              <w:rPr>
                <w:rFonts w:ascii="Aptos" w:eastAsia="Aptos" w:hAnsi="Aptos" w:cs="Times New Roman"/>
              </w:rPr>
              <w:t>Isolated n/N tested*</w:t>
            </w:r>
          </w:p>
        </w:tc>
        <w:tc>
          <w:tcPr>
            <w:tcW w:w="0" w:type="dxa"/>
          </w:tcPr>
          <w:p w14:paraId="59F958B1" w14:textId="77777777" w:rsidR="00D614EB" w:rsidRPr="00D614EB" w:rsidRDefault="00D614EB" w:rsidP="00D614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D614EB">
              <w:rPr>
                <w:rFonts w:ascii="Aptos" w:eastAsia="Aptos" w:hAnsi="Aptos" w:cs="Times New Roman"/>
              </w:rPr>
              <w:t>Isolated %</w:t>
            </w:r>
          </w:p>
        </w:tc>
      </w:tr>
      <w:tr w:rsidR="00D614EB" w:rsidRPr="00D614EB" w14:paraId="50D6BF4E" w14:textId="77777777" w:rsidTr="0054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30DB25F" w14:textId="77777777" w:rsidR="00D614EB" w:rsidRPr="00D614EB" w:rsidRDefault="00D614EB" w:rsidP="00D614EB">
            <w:pPr>
              <w:spacing w:line="480" w:lineRule="auto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1q21 gain/amplification</w:t>
            </w:r>
          </w:p>
        </w:tc>
        <w:tc>
          <w:tcPr>
            <w:tcW w:w="0" w:type="dxa"/>
          </w:tcPr>
          <w:p w14:paraId="2F80C034" w14:textId="77777777" w:rsidR="00D614EB" w:rsidRPr="00D614EB" w:rsidRDefault="00D614EB" w:rsidP="00D614E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139 / 350</w:t>
            </w:r>
          </w:p>
        </w:tc>
        <w:tc>
          <w:tcPr>
            <w:tcW w:w="0" w:type="dxa"/>
          </w:tcPr>
          <w:p w14:paraId="795A4E9F" w14:textId="77777777" w:rsidR="00D614EB" w:rsidRPr="00D614EB" w:rsidRDefault="00D614EB" w:rsidP="00D614E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39.7</w:t>
            </w:r>
          </w:p>
        </w:tc>
        <w:tc>
          <w:tcPr>
            <w:tcW w:w="0" w:type="dxa"/>
          </w:tcPr>
          <w:p w14:paraId="188731C2" w14:textId="77777777" w:rsidR="00D614EB" w:rsidRPr="00D614EB" w:rsidRDefault="00D614EB" w:rsidP="00D614E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D614EB">
              <w:rPr>
                <w:rFonts w:ascii="Aptos" w:eastAsia="Aptos" w:hAnsi="Aptos" w:cs="Times New Roman"/>
              </w:rPr>
              <w:t>78/350</w:t>
            </w:r>
          </w:p>
        </w:tc>
        <w:tc>
          <w:tcPr>
            <w:tcW w:w="0" w:type="dxa"/>
          </w:tcPr>
          <w:p w14:paraId="158CAD08" w14:textId="77777777" w:rsidR="00D614EB" w:rsidRPr="00D614EB" w:rsidRDefault="00D614EB" w:rsidP="00D614E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D614EB">
              <w:rPr>
                <w:rFonts w:ascii="Aptos" w:eastAsia="Aptos" w:hAnsi="Aptos" w:cs="Times New Roman"/>
              </w:rPr>
              <w:t>22.3</w:t>
            </w:r>
          </w:p>
        </w:tc>
      </w:tr>
      <w:tr w:rsidR="00D614EB" w:rsidRPr="00D614EB" w14:paraId="1720AFAB" w14:textId="77777777" w:rsidTr="00544E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9760467" w14:textId="77777777" w:rsidR="00D614EB" w:rsidRPr="00D614EB" w:rsidRDefault="00D614EB" w:rsidP="00D614EB">
            <w:pPr>
              <w:spacing w:line="480" w:lineRule="auto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del(17p)</w:t>
            </w:r>
          </w:p>
        </w:tc>
        <w:tc>
          <w:tcPr>
            <w:tcW w:w="0" w:type="dxa"/>
          </w:tcPr>
          <w:p w14:paraId="1F93C0EE" w14:textId="77777777" w:rsidR="00D614EB" w:rsidRPr="00D614EB" w:rsidRDefault="00D614EB" w:rsidP="00D614E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55 / 351</w:t>
            </w:r>
          </w:p>
        </w:tc>
        <w:tc>
          <w:tcPr>
            <w:tcW w:w="0" w:type="dxa"/>
          </w:tcPr>
          <w:p w14:paraId="025D3851" w14:textId="77777777" w:rsidR="00D614EB" w:rsidRPr="00D614EB" w:rsidRDefault="00D614EB" w:rsidP="00D614E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15.7</w:t>
            </w:r>
          </w:p>
        </w:tc>
        <w:tc>
          <w:tcPr>
            <w:tcW w:w="0" w:type="dxa"/>
          </w:tcPr>
          <w:p w14:paraId="4D462456" w14:textId="77777777" w:rsidR="00D614EB" w:rsidRPr="00D614EB" w:rsidRDefault="00D614EB" w:rsidP="00D614E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D614EB">
              <w:rPr>
                <w:rFonts w:ascii="Aptos" w:eastAsia="Aptos" w:hAnsi="Aptos" w:cs="Times New Roman"/>
              </w:rPr>
              <w:t>23/351</w:t>
            </w:r>
          </w:p>
        </w:tc>
        <w:tc>
          <w:tcPr>
            <w:tcW w:w="0" w:type="dxa"/>
          </w:tcPr>
          <w:p w14:paraId="16ECD7D4" w14:textId="77777777" w:rsidR="00D614EB" w:rsidRPr="00D614EB" w:rsidRDefault="00D614EB" w:rsidP="00D614E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D614EB">
              <w:rPr>
                <w:rFonts w:ascii="Aptos" w:eastAsia="Aptos" w:hAnsi="Aptos" w:cs="Times New Roman"/>
              </w:rPr>
              <w:t>6.6</w:t>
            </w:r>
          </w:p>
        </w:tc>
      </w:tr>
      <w:tr w:rsidR="00D614EB" w:rsidRPr="00D614EB" w14:paraId="34C809A1" w14:textId="77777777" w:rsidTr="0054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BFFE9D1" w14:textId="77777777" w:rsidR="00D614EB" w:rsidRPr="00D614EB" w:rsidRDefault="00D614EB" w:rsidP="00D614EB">
            <w:pPr>
              <w:spacing w:line="480" w:lineRule="auto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t(4;14)</w:t>
            </w:r>
          </w:p>
        </w:tc>
        <w:tc>
          <w:tcPr>
            <w:tcW w:w="0" w:type="dxa"/>
          </w:tcPr>
          <w:p w14:paraId="03B9E7B2" w14:textId="77777777" w:rsidR="00D614EB" w:rsidRPr="00D614EB" w:rsidRDefault="00D614EB" w:rsidP="00D614E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42 / 349</w:t>
            </w:r>
          </w:p>
        </w:tc>
        <w:tc>
          <w:tcPr>
            <w:tcW w:w="0" w:type="dxa"/>
          </w:tcPr>
          <w:p w14:paraId="0DFA594E" w14:textId="77777777" w:rsidR="00D614EB" w:rsidRPr="00D614EB" w:rsidRDefault="00D614EB" w:rsidP="00D614E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12.0</w:t>
            </w:r>
          </w:p>
        </w:tc>
        <w:tc>
          <w:tcPr>
            <w:tcW w:w="0" w:type="dxa"/>
          </w:tcPr>
          <w:p w14:paraId="5840BD4E" w14:textId="77777777" w:rsidR="00D614EB" w:rsidRPr="00D614EB" w:rsidRDefault="00D614EB" w:rsidP="00D614E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D614EB">
              <w:rPr>
                <w:rFonts w:ascii="Aptos" w:eastAsia="Aptos" w:hAnsi="Aptos" w:cs="Times New Roman"/>
              </w:rPr>
              <w:t>11/349</w:t>
            </w:r>
          </w:p>
        </w:tc>
        <w:tc>
          <w:tcPr>
            <w:tcW w:w="0" w:type="dxa"/>
          </w:tcPr>
          <w:p w14:paraId="46AB4D7A" w14:textId="77777777" w:rsidR="00D614EB" w:rsidRPr="00D614EB" w:rsidRDefault="00D614EB" w:rsidP="00D614E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D614EB">
              <w:rPr>
                <w:rFonts w:ascii="Aptos" w:eastAsia="Aptos" w:hAnsi="Aptos" w:cs="Times New Roman"/>
              </w:rPr>
              <w:t>3.2</w:t>
            </w:r>
          </w:p>
        </w:tc>
      </w:tr>
      <w:tr w:rsidR="00D614EB" w:rsidRPr="00D614EB" w14:paraId="34166B20" w14:textId="77777777" w:rsidTr="00544E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92623D3" w14:textId="77777777" w:rsidR="00D614EB" w:rsidRPr="00D614EB" w:rsidRDefault="00D614EB" w:rsidP="00D614EB">
            <w:pPr>
              <w:rPr>
                <w:rFonts w:ascii="Arial" w:eastAsia="Aptos" w:hAnsi="Arial" w:cs="Arial"/>
              </w:rPr>
            </w:pPr>
            <w:r w:rsidRPr="00D614EB">
              <w:rPr>
                <w:rFonts w:ascii="Arial" w:eastAsia="Aptos" w:hAnsi="Arial" w:cs="Arial"/>
              </w:rPr>
              <w:t>MAF translocations [t(14;16) and/or t(14;20)]</w:t>
            </w:r>
          </w:p>
        </w:tc>
        <w:tc>
          <w:tcPr>
            <w:tcW w:w="0" w:type="dxa"/>
          </w:tcPr>
          <w:p w14:paraId="47395AA6" w14:textId="77777777" w:rsidR="00D614EB" w:rsidRPr="00D614EB" w:rsidRDefault="00D614EB" w:rsidP="00D614E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25 / 349</w:t>
            </w:r>
          </w:p>
        </w:tc>
        <w:tc>
          <w:tcPr>
            <w:tcW w:w="0" w:type="dxa"/>
          </w:tcPr>
          <w:p w14:paraId="7E577C06" w14:textId="77777777" w:rsidR="00D614EB" w:rsidRPr="00D614EB" w:rsidRDefault="00D614EB" w:rsidP="00D614E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7.2</w:t>
            </w:r>
          </w:p>
        </w:tc>
        <w:tc>
          <w:tcPr>
            <w:tcW w:w="0" w:type="dxa"/>
          </w:tcPr>
          <w:p w14:paraId="7D3DFDB1" w14:textId="77777777" w:rsidR="00D614EB" w:rsidRPr="00D614EB" w:rsidRDefault="00D614EB" w:rsidP="00D614E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D614EB">
              <w:rPr>
                <w:rFonts w:ascii="Aptos" w:eastAsia="Aptos" w:hAnsi="Aptos" w:cs="Times New Roman"/>
              </w:rPr>
              <w:t>6/349</w:t>
            </w:r>
          </w:p>
        </w:tc>
        <w:tc>
          <w:tcPr>
            <w:tcW w:w="0" w:type="dxa"/>
          </w:tcPr>
          <w:p w14:paraId="4E3A77E5" w14:textId="77777777" w:rsidR="00D614EB" w:rsidRPr="00D614EB" w:rsidRDefault="00D614EB" w:rsidP="00D614E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D614EB">
              <w:rPr>
                <w:rFonts w:ascii="Aptos" w:eastAsia="Aptos" w:hAnsi="Aptos" w:cs="Times New Roman"/>
              </w:rPr>
              <w:t>1.7</w:t>
            </w:r>
          </w:p>
        </w:tc>
      </w:tr>
      <w:tr w:rsidR="00D614EB" w:rsidRPr="00D614EB" w14:paraId="089489AF" w14:textId="77777777" w:rsidTr="0054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B1889C8" w14:textId="77777777" w:rsidR="00D614EB" w:rsidRPr="00D614EB" w:rsidRDefault="00D614EB" w:rsidP="00D614EB">
            <w:pPr>
              <w:spacing w:line="480" w:lineRule="auto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del(1p)</w:t>
            </w:r>
          </w:p>
        </w:tc>
        <w:tc>
          <w:tcPr>
            <w:tcW w:w="0" w:type="dxa"/>
          </w:tcPr>
          <w:p w14:paraId="576AB1B8" w14:textId="77777777" w:rsidR="00D614EB" w:rsidRPr="00D614EB" w:rsidRDefault="00D614EB" w:rsidP="00D614E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16 / 347</w:t>
            </w:r>
          </w:p>
        </w:tc>
        <w:tc>
          <w:tcPr>
            <w:tcW w:w="0" w:type="dxa"/>
          </w:tcPr>
          <w:p w14:paraId="3330C78C" w14:textId="77777777" w:rsidR="00D614EB" w:rsidRPr="00D614EB" w:rsidRDefault="00D614EB" w:rsidP="00D614E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D614EB">
              <w:rPr>
                <w:rFonts w:ascii="Aptos" w:eastAsia="Aptos" w:hAnsi="Aptos" w:cs="Times New Roman"/>
              </w:rPr>
              <w:t>4.6</w:t>
            </w:r>
          </w:p>
        </w:tc>
        <w:tc>
          <w:tcPr>
            <w:tcW w:w="0" w:type="dxa"/>
          </w:tcPr>
          <w:p w14:paraId="71640851" w14:textId="77777777" w:rsidR="00D614EB" w:rsidRPr="00D614EB" w:rsidRDefault="00D614EB" w:rsidP="00D614E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D614EB">
              <w:rPr>
                <w:rFonts w:ascii="Aptos" w:eastAsia="Aptos" w:hAnsi="Aptos" w:cs="Times New Roman"/>
              </w:rPr>
              <w:t>5/347</w:t>
            </w:r>
          </w:p>
        </w:tc>
        <w:tc>
          <w:tcPr>
            <w:tcW w:w="0" w:type="dxa"/>
          </w:tcPr>
          <w:p w14:paraId="25A0100D" w14:textId="77777777" w:rsidR="00D614EB" w:rsidRPr="00D614EB" w:rsidRDefault="00D614EB" w:rsidP="00D614E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D614EB">
              <w:rPr>
                <w:rFonts w:ascii="Aptos" w:eastAsia="Aptos" w:hAnsi="Aptos" w:cs="Times New Roman"/>
              </w:rPr>
              <w:t>1.4</w:t>
            </w:r>
          </w:p>
        </w:tc>
      </w:tr>
    </w:tbl>
    <w:bookmarkEnd w:id="1"/>
    <w:p w14:paraId="0C7949C5" w14:textId="77777777" w:rsidR="00D614EB" w:rsidRPr="00D614EB" w:rsidRDefault="00D614EB" w:rsidP="00D614EB">
      <w:pPr>
        <w:spacing w:after="200" w:line="240" w:lineRule="auto"/>
        <w:rPr>
          <w:rFonts w:ascii="Aptos" w:eastAsia="Aptos" w:hAnsi="Aptos" w:cs="Times New Roman"/>
          <w:i/>
          <w:iCs/>
          <w:color w:val="000000"/>
          <w:sz w:val="18"/>
          <w:szCs w:val="18"/>
        </w:rPr>
      </w:pPr>
      <w:r w:rsidRPr="00D614EB">
        <w:rPr>
          <w:rFonts w:ascii="Aptos" w:eastAsia="Aptos" w:hAnsi="Aptos" w:cs="Times New Roman"/>
          <w:i/>
          <w:iCs/>
          <w:color w:val="000000"/>
          <w:sz w:val="18"/>
          <w:szCs w:val="18"/>
        </w:rPr>
        <w:t>* Minor variation in denominators reflects differences in availability of individual FISH probes.</w:t>
      </w:r>
      <w:bookmarkEnd w:id="0"/>
    </w:p>
    <w:p w14:paraId="240FC889" w14:textId="77777777" w:rsidR="00D614EB" w:rsidRPr="00D614EB" w:rsidRDefault="00D614EB" w:rsidP="00D614EB">
      <w:pPr>
        <w:spacing w:line="480" w:lineRule="auto"/>
        <w:rPr>
          <w:rFonts w:ascii="Arial" w:eastAsia="Aptos" w:hAnsi="Arial" w:cs="Arial"/>
          <w:b/>
          <w:bCs/>
        </w:rPr>
      </w:pPr>
    </w:p>
    <w:p w14:paraId="679DB866" w14:textId="77777777" w:rsidR="00E46808" w:rsidRDefault="00E46808"/>
    <w:sectPr w:rsidR="00E46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08"/>
    <w:rsid w:val="000007B9"/>
    <w:rsid w:val="006F775E"/>
    <w:rsid w:val="00B736CC"/>
    <w:rsid w:val="00D614EB"/>
    <w:rsid w:val="00E4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3D61"/>
  <w15:chartTrackingRefBased/>
  <w15:docId w15:val="{DBF30DE9-8AB6-4B2C-8319-563C4001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808"/>
    <w:rPr>
      <w:b/>
      <w:bCs/>
      <w:smallCaps/>
      <w:color w:val="0F4761" w:themeColor="accent1" w:themeShade="BF"/>
      <w:spacing w:val="5"/>
    </w:rPr>
  </w:style>
  <w:style w:type="table" w:customStyle="1" w:styleId="PlainTable11">
    <w:name w:val="Plain Table 11"/>
    <w:basedOn w:val="TableNormal"/>
    <w:next w:val="PlainTable1"/>
    <w:uiPriority w:val="41"/>
    <w:rsid w:val="00B736CC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B736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1">
    <w:name w:val="Plain Table 111"/>
    <w:basedOn w:val="TableNormal"/>
    <w:next w:val="PlainTable1"/>
    <w:uiPriority w:val="41"/>
    <w:rsid w:val="00D614EB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367</Characters>
  <Application>Microsoft Office Word</Application>
  <DocSecurity>0</DocSecurity>
  <Lines>8</Lines>
  <Paragraphs>3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Gauto Mariotti, Estefania, M.D.</dc:creator>
  <cp:keywords/>
  <dc:description/>
  <cp:lastModifiedBy>Gauto Mariotti, Estefania, M.D.</cp:lastModifiedBy>
  <cp:revision>4</cp:revision>
  <dcterms:created xsi:type="dcterms:W3CDTF">2026-01-12T23:49:00Z</dcterms:created>
  <dcterms:modified xsi:type="dcterms:W3CDTF">2026-01-12T23:50:00Z</dcterms:modified>
</cp:coreProperties>
</file>