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068BE97" w14:textId="77777777" w:rsidR="001D3DC9" w:rsidRDefault="001D3DC9" w:rsidP="001D3DC9">
      <w:pPr>
        <w:pStyle w:val="Heading1"/>
      </w:pPr>
      <w:bookmarkStart w:id="0" w:name="supplementary-material"/>
      <w:r>
        <w:t>Supplementary materials</w:t>
      </w:r>
    </w:p>
    <w:p w14:paraId="3D6468B8" w14:textId="77777777" w:rsidR="001D3DC9" w:rsidRDefault="001D3DC9" w:rsidP="001D3DC9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65F999F5" wp14:editId="33943907">
            <wp:extent cx="5850193" cy="3876153"/>
            <wp:effectExtent l="0" t="0" r="0" b="0"/>
            <wp:docPr id="2102353659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850193" cy="387615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01227B8" w14:textId="77777777" w:rsidR="001D3DC9" w:rsidRPr="00AF7885" w:rsidRDefault="001D3DC9" w:rsidP="001D3DC9">
      <w:pPr>
        <w:pBdr>
          <w:top w:val="nil"/>
          <w:left w:val="nil"/>
          <w:bottom w:val="nil"/>
          <w:right w:val="nil"/>
          <w:between w:val="nil"/>
        </w:pBdr>
        <w:spacing w:after="480" w:line="276" w:lineRule="auto"/>
        <w:rPr>
          <w:color w:val="000000"/>
          <w:sz w:val="20"/>
        </w:rPr>
      </w:pPr>
      <w:r w:rsidRPr="00AF7885">
        <w:rPr>
          <w:b/>
          <w:color w:val="000000"/>
          <w:sz w:val="20"/>
        </w:rPr>
        <w:t>Figure S1: Datasets recorded in the M4EFaD study</w:t>
      </w:r>
      <w:r w:rsidRPr="00AF7885">
        <w:rPr>
          <w:color w:val="000000"/>
          <w:sz w:val="20"/>
        </w:rPr>
        <w:t>. a and b are datasets for which multiple timepoints were and were not recorded, respectively. Numbers represent the total number of samples available in that dataset. Darker red colour represents a larger number of samples</w:t>
      </w:r>
      <w:bookmarkEnd w:id="0"/>
      <w:r w:rsidRPr="00AF7885">
        <w:rPr>
          <w:color w:val="000000"/>
          <w:sz w:val="20"/>
        </w:rPr>
        <w:t>.</w:t>
      </w:r>
      <w:r>
        <w:br w:type="page"/>
      </w:r>
    </w:p>
    <w:p w14:paraId="638AA59E" w14:textId="77777777" w:rsidR="001D3DC9" w:rsidRDefault="001D3DC9" w:rsidP="001D3DC9">
      <w:pPr>
        <w:pBdr>
          <w:top w:val="nil"/>
          <w:left w:val="nil"/>
          <w:bottom w:val="nil"/>
          <w:right w:val="nil"/>
          <w:between w:val="nil"/>
        </w:pBdr>
        <w:spacing w:after="480" w:line="276" w:lineRule="auto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lastRenderedPageBreak/>
        <w:drawing>
          <wp:inline distT="0" distB="0" distL="0" distR="0" wp14:anchorId="585C8008" wp14:editId="6FA89F7A">
            <wp:extent cx="5385827" cy="2487173"/>
            <wp:effectExtent l="0" t="0" r="0" b="0"/>
            <wp:docPr id="2102353662" name="image6.png" descr="A screenshot of a video gam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 descr="A screenshot of a video game&#10;&#10;AI-generated content may be incorrect.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85827" cy="248717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008E31" w14:textId="77777777" w:rsidR="001D3DC9" w:rsidRPr="00AF7885" w:rsidRDefault="001D3DC9" w:rsidP="001D3DC9">
      <w:pPr>
        <w:pBdr>
          <w:top w:val="nil"/>
          <w:left w:val="nil"/>
          <w:bottom w:val="nil"/>
          <w:right w:val="nil"/>
          <w:between w:val="nil"/>
        </w:pBdr>
        <w:spacing w:after="480" w:line="276" w:lineRule="auto"/>
        <w:rPr>
          <w:color w:val="000000"/>
          <w:sz w:val="20"/>
        </w:rPr>
      </w:pPr>
      <w:r w:rsidRPr="00AF7885">
        <w:rPr>
          <w:b/>
          <w:color w:val="000000"/>
          <w:sz w:val="20"/>
        </w:rPr>
        <w:t>Figure S2: Recovery according to the WHO criteria during rapid catch-up growth in children with MAM.</w:t>
      </w:r>
      <w:r w:rsidRPr="00AF7885">
        <w:rPr>
          <w:color w:val="000000"/>
          <w:sz w:val="20"/>
        </w:rPr>
        <w:t xml:space="preserve"> </w:t>
      </w:r>
      <w:r>
        <w:rPr>
          <w:color w:val="000000"/>
          <w:sz w:val="20"/>
          <w:szCs w:val="20"/>
        </w:rPr>
        <w:t>a</w:t>
      </w:r>
      <w:r w:rsidRPr="00AF7885">
        <w:rPr>
          <w:color w:val="000000"/>
          <w:sz w:val="20"/>
        </w:rPr>
        <w:t>) Stacked barplot to show that there were no differences in rapid</w:t>
      </w:r>
      <w:r>
        <w:rPr>
          <w:color w:val="000000"/>
          <w:sz w:val="20"/>
          <w:szCs w:val="20"/>
        </w:rPr>
        <w:t xml:space="preserve"> </w:t>
      </w:r>
      <w:r w:rsidRPr="00AF7885">
        <w:rPr>
          <w:color w:val="000000"/>
          <w:sz w:val="20"/>
        </w:rPr>
        <w:t>catch</w:t>
      </w:r>
      <w:r>
        <w:rPr>
          <w:color w:val="000000"/>
          <w:sz w:val="20"/>
          <w:szCs w:val="20"/>
        </w:rPr>
        <w:t>-</w:t>
      </w:r>
      <w:r w:rsidRPr="00AF7885">
        <w:rPr>
          <w:color w:val="000000"/>
          <w:sz w:val="20"/>
        </w:rPr>
        <w:t>up or sustained recovery following use of RUSF or ERUSF. ~69% of participants achieved recovery following rapid catch-up growth (</w:t>
      </w:r>
      <w:r>
        <w:rPr>
          <w:color w:val="000000"/>
          <w:sz w:val="20"/>
          <w:szCs w:val="20"/>
        </w:rPr>
        <w:t xml:space="preserve">age </w:t>
      </w:r>
      <w:r w:rsidRPr="00AF7885">
        <w:rPr>
          <w:color w:val="000000"/>
          <w:sz w:val="20"/>
        </w:rPr>
        <w:t xml:space="preserve">15 months) and had sustained recovery at </w:t>
      </w:r>
      <w:r>
        <w:rPr>
          <w:color w:val="000000"/>
          <w:sz w:val="20"/>
          <w:szCs w:val="20"/>
        </w:rPr>
        <w:t xml:space="preserve">age </w:t>
      </w:r>
      <w:r w:rsidRPr="00AF7885">
        <w:rPr>
          <w:color w:val="000000"/>
          <w:sz w:val="20"/>
        </w:rPr>
        <w:t xml:space="preserve">24 months. </w:t>
      </w:r>
      <w:r>
        <w:rPr>
          <w:color w:val="000000"/>
          <w:sz w:val="20"/>
          <w:szCs w:val="20"/>
        </w:rPr>
        <w:t>b</w:t>
      </w:r>
      <w:r w:rsidRPr="00AF7885">
        <w:rPr>
          <w:color w:val="000000"/>
          <w:sz w:val="20"/>
        </w:rPr>
        <w:t xml:space="preserve">) boxplot to show that there were no differences in weeks until recovery according to the WHO criteria. Box plots show the median, the 25th-75th percentiles (IQR), and whiskers extending to 1.5 x IQR. </w:t>
      </w:r>
      <w:r>
        <w:br w:type="page"/>
      </w:r>
    </w:p>
    <w:p w14:paraId="055BC7F2" w14:textId="77777777" w:rsidR="001D3DC9" w:rsidRPr="00AF7885" w:rsidRDefault="001D3DC9" w:rsidP="001D3DC9">
      <w:pPr>
        <w:pBdr>
          <w:top w:val="nil"/>
          <w:left w:val="nil"/>
          <w:bottom w:val="nil"/>
          <w:right w:val="nil"/>
          <w:between w:val="nil"/>
        </w:pBdr>
        <w:spacing w:after="480" w:line="276" w:lineRule="auto"/>
        <w:rPr>
          <w:color w:val="000000"/>
          <w:sz w:val="20"/>
        </w:rPr>
      </w:pPr>
    </w:p>
    <w:p w14:paraId="2D122FBC" w14:textId="77777777" w:rsidR="001D3DC9" w:rsidRDefault="001D3DC9" w:rsidP="001D3DC9">
      <w:pPr>
        <w:keepNext/>
        <w:pBdr>
          <w:top w:val="nil"/>
          <w:left w:val="nil"/>
          <w:bottom w:val="nil"/>
          <w:right w:val="nil"/>
          <w:between w:val="nil"/>
        </w:pBdr>
        <w:rPr>
          <w:color w:val="000000"/>
        </w:rPr>
      </w:pPr>
      <w:r>
        <w:rPr>
          <w:noProof/>
          <w:color w:val="000000"/>
        </w:rPr>
        <w:drawing>
          <wp:inline distT="0" distB="0" distL="0" distR="0" wp14:anchorId="32FAECBA" wp14:editId="5F587A81">
            <wp:extent cx="5943600" cy="4650740"/>
            <wp:effectExtent l="0" t="0" r="0" b="0"/>
            <wp:docPr id="2102353661" name="image3.png" descr="A screenshot of a computer screen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 descr="A screenshot of a computer screen&#10;&#10;AI-generated content may be incorrect.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6507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2DBE0834" w14:textId="77777777" w:rsidR="001D3DC9" w:rsidRPr="00AF7885" w:rsidRDefault="001D3DC9" w:rsidP="001D3DC9">
      <w:pPr>
        <w:pBdr>
          <w:top w:val="nil"/>
          <w:left w:val="nil"/>
          <w:bottom w:val="nil"/>
          <w:right w:val="nil"/>
          <w:between w:val="nil"/>
        </w:pBdr>
        <w:spacing w:after="480" w:line="259" w:lineRule="auto"/>
        <w:rPr>
          <w:color w:val="000000"/>
          <w:sz w:val="20"/>
        </w:rPr>
      </w:pPr>
      <w:r w:rsidRPr="00AF7885">
        <w:rPr>
          <w:b/>
          <w:color w:val="000000"/>
          <w:sz w:val="20"/>
        </w:rPr>
        <w:t xml:space="preserve">Figure S3. Stacked barplots showing variance explained (R²) from RDA across all datasets in Year 1 (a), Year 2 (b), and pooled no-timepoint data (c). </w:t>
      </w:r>
      <w:r w:rsidRPr="00AF7885">
        <w:rPr>
          <w:color w:val="000000"/>
          <w:sz w:val="20"/>
        </w:rPr>
        <w:t>Each RDA model was constrained by one-hot encoded metadata variables, and the contribution of each predictor is shown as a horizontal stacked bar coloured by predictor identity, with significant predictors marked by an asterisk (p &lt; 0.05). Bars are truncated at R² = 0.15 to highlight the interpretable range of explained variance with all above 0.15 being unconstrained variance.</w:t>
      </w:r>
      <w:r>
        <w:rPr>
          <w:color w:val="000000"/>
          <w:sz w:val="20"/>
          <w:szCs w:val="20"/>
        </w:rPr>
        <w:t xml:space="preserve"> </w:t>
      </w:r>
    </w:p>
    <w:p w14:paraId="6E4D829D" w14:textId="77777777" w:rsidR="001D3DC9" w:rsidRDefault="001D3DC9" w:rsidP="001D3DC9">
      <w:pPr>
        <w:rPr>
          <w:b/>
          <w:bCs/>
          <w:sz w:val="20"/>
          <w:szCs w:val="20"/>
        </w:rPr>
      </w:pPr>
      <w:r>
        <w:br w:type="page"/>
      </w:r>
    </w:p>
    <w:p w14:paraId="2E98A511" w14:textId="77777777" w:rsidR="001D3DC9" w:rsidRDefault="001D3DC9" w:rsidP="001D3DC9">
      <w:pPr>
        <w:pBdr>
          <w:top w:val="nil"/>
          <w:left w:val="nil"/>
          <w:bottom w:val="nil"/>
          <w:right w:val="nil"/>
          <w:between w:val="nil"/>
        </w:pBdr>
        <w:spacing w:after="480" w:line="259" w:lineRule="auto"/>
        <w:rPr>
          <w:color w:val="000000"/>
          <w:sz w:val="20"/>
          <w:szCs w:val="20"/>
        </w:rPr>
      </w:pPr>
      <w:r>
        <w:rPr>
          <w:noProof/>
          <w:color w:val="000000"/>
          <w:sz w:val="20"/>
          <w:szCs w:val="20"/>
        </w:rPr>
        <w:lastRenderedPageBreak/>
        <w:drawing>
          <wp:inline distT="0" distB="0" distL="0" distR="0" wp14:anchorId="60608605" wp14:editId="720261E1">
            <wp:extent cx="6267340" cy="3059345"/>
            <wp:effectExtent l="0" t="0" r="0" b="0"/>
            <wp:docPr id="2102353664" name="image2.png" descr="A diagram of rhombuses and rhombuses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 descr="A diagram of rhombuses and rhombuses&#10;&#10;AI-generated content may be incorrect.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267340" cy="305934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1014389" w14:textId="77777777" w:rsidR="001D3DC9" w:rsidRPr="00AF7885" w:rsidRDefault="001D3DC9" w:rsidP="001D3DC9">
      <w:pPr>
        <w:pBdr>
          <w:top w:val="nil"/>
          <w:left w:val="nil"/>
          <w:bottom w:val="nil"/>
          <w:right w:val="nil"/>
          <w:between w:val="nil"/>
        </w:pBdr>
        <w:spacing w:after="480" w:line="259" w:lineRule="auto"/>
        <w:rPr>
          <w:color w:val="000000"/>
          <w:sz w:val="20"/>
        </w:rPr>
      </w:pPr>
      <w:r w:rsidRPr="00AF7885">
        <w:rPr>
          <w:b/>
          <w:color w:val="000000"/>
          <w:sz w:val="20"/>
        </w:rPr>
        <w:t xml:space="preserve">Figure S4: Ratio of essential/conditionally essential to non-essential amino acids in each cluster. </w:t>
      </w:r>
      <w:r w:rsidRPr="00AF7885">
        <w:rPr>
          <w:color w:val="000000"/>
          <w:sz w:val="20"/>
        </w:rPr>
        <w:t>Cluster one had a significantly higher ratio (essential/non-essential) than cluster two (p &lt; 0.05) and the well-nourished cohort (p &lt; 0.01).</w:t>
      </w:r>
      <w:r>
        <w:br w:type="page"/>
      </w:r>
    </w:p>
    <w:p w14:paraId="1888A7C1" w14:textId="77777777" w:rsidR="001D3DC9" w:rsidRDefault="001D3DC9" w:rsidP="001D3DC9">
      <w:pPr>
        <w:jc w:val="center"/>
      </w:pPr>
      <w:r>
        <w:rPr>
          <w:noProof/>
        </w:rPr>
        <w:lastRenderedPageBreak/>
        <w:drawing>
          <wp:inline distT="0" distB="0" distL="0" distR="0" wp14:anchorId="6071DC70" wp14:editId="0B229D84">
            <wp:extent cx="3463756" cy="3935914"/>
            <wp:effectExtent l="0" t="0" r="0" b="0"/>
            <wp:docPr id="2102353663" name="image4.png" descr="A screenshot of a video game&#10;&#10;AI-generated content may b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 descr="A screenshot of a video game&#10;&#10;AI-generated content may be incorrect."/>
                    <pic:cNvPicPr preferRelativeResize="0"/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463756" cy="393591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D984771" w14:textId="77777777" w:rsidR="001D3DC9" w:rsidRPr="00D624C3" w:rsidRDefault="001D3DC9" w:rsidP="001D3DC9">
      <w:pPr>
        <w:spacing w:line="276" w:lineRule="auto"/>
        <w:rPr>
          <w:sz w:val="20"/>
          <w:szCs w:val="20"/>
        </w:rPr>
      </w:pPr>
      <w:r w:rsidRPr="6D13AE7A">
        <w:rPr>
          <w:b/>
          <w:bCs/>
          <w:sz w:val="20"/>
          <w:szCs w:val="20"/>
        </w:rPr>
        <w:t xml:space="preserve">Figure S5: Comparison of nutritional composition of (a) </w:t>
      </w:r>
      <w:r>
        <w:rPr>
          <w:b/>
          <w:bCs/>
          <w:sz w:val="20"/>
          <w:szCs w:val="20"/>
        </w:rPr>
        <w:t xml:space="preserve">eRUSF </w:t>
      </w:r>
      <w:r w:rsidRPr="6D13AE7A">
        <w:rPr>
          <w:b/>
          <w:bCs/>
          <w:sz w:val="20"/>
          <w:szCs w:val="20"/>
        </w:rPr>
        <w:t xml:space="preserve">and (b) </w:t>
      </w:r>
      <w:r>
        <w:rPr>
          <w:b/>
          <w:bCs/>
          <w:sz w:val="20"/>
          <w:szCs w:val="20"/>
        </w:rPr>
        <w:t>e-SQ-L</w:t>
      </w:r>
      <w:r w:rsidRPr="6D13AE7A">
        <w:rPr>
          <w:b/>
          <w:bCs/>
          <w:sz w:val="20"/>
          <w:szCs w:val="20"/>
        </w:rPr>
        <w:t>NS.</w:t>
      </w:r>
      <w:r w:rsidRPr="6D13AE7A">
        <w:rPr>
          <w:sz w:val="20"/>
          <w:szCs w:val="20"/>
        </w:rPr>
        <w:t xml:space="preserve"> Additional details can be found in Table S2. In the </w:t>
      </w:r>
      <w:r>
        <w:rPr>
          <w:sz w:val="20"/>
          <w:szCs w:val="20"/>
        </w:rPr>
        <w:t>RUSF</w:t>
      </w:r>
      <w:r w:rsidRPr="6D13AE7A">
        <w:rPr>
          <w:sz w:val="20"/>
          <w:szCs w:val="20"/>
        </w:rPr>
        <w:t xml:space="preserve">, the prebiotics are considered as a proportion of the total </w:t>
      </w:r>
      <w:r>
        <w:rPr>
          <w:sz w:val="20"/>
          <w:szCs w:val="20"/>
        </w:rPr>
        <w:t>fiber content.</w:t>
      </w:r>
    </w:p>
    <w:p w14:paraId="7819581E" w14:textId="77777777" w:rsidR="00DE6AE2" w:rsidRDefault="00DE6AE2"/>
    <w:sectPr w:rsidR="00DE6AE2" w:rsidSect="001D3DC9">
      <w:headerReference w:type="default" r:id="rId9"/>
      <w:footerReference w:type="default" r:id="rId10"/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1724CA" w14:textId="77777777" w:rsidR="001D3DC9" w:rsidRDefault="001D3DC9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0188D9" w14:textId="77777777" w:rsidR="001D3DC9" w:rsidRDefault="001D3DC9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DC9"/>
    <w:rsid w:val="000C2D58"/>
    <w:rsid w:val="00195413"/>
    <w:rsid w:val="001D3DC9"/>
    <w:rsid w:val="003D0186"/>
    <w:rsid w:val="007278E4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81A0B0"/>
  <w15:chartTrackingRefBased/>
  <w15:docId w15:val="{83B0A6C0-C624-4570-8EF1-B3F9DFF744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1" w:unhideWhenUsed="1"/>
    <w:lsdException w:name="footer" w:semiHidden="1" w:uiPriority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DC9"/>
    <w:pPr>
      <w:spacing w:after="200" w:line="240" w:lineRule="auto"/>
    </w:pPr>
    <w:rPr>
      <w:rFonts w:ascii="Arial" w:eastAsia="Arial" w:hAnsi="Arial" w:cs="Arial"/>
      <w:kern w:val="0"/>
      <w:lang w:val="en-GB" w:eastAsia="en-NZ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D3DC9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D3DC9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D3DC9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3DC9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D3DC9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D3DC9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D3DC9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D3DC9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D3DC9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D3DC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D3DC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D3DC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3DC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D3DC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D3DC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D3DC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D3DC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D3DC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D3DC9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D3DC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D3DC9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D3DC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D3DC9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D3DC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D3DC9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D3DC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D3DC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D3DC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D3DC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1"/>
    <w:rsid w:val="001D3DC9"/>
    <w:pPr>
      <w:tabs>
        <w:tab w:val="center" w:pos="4513"/>
        <w:tab w:val="right" w:pos="9026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1"/>
    <w:rsid w:val="001D3DC9"/>
    <w:rPr>
      <w:rFonts w:ascii="Arial" w:eastAsia="Arial" w:hAnsi="Arial" w:cs="Arial"/>
      <w:kern w:val="0"/>
      <w:lang w:val="en-GB" w:eastAsia="en-NZ"/>
      <w14:ligatures w14:val="none"/>
    </w:rPr>
  </w:style>
  <w:style w:type="paragraph" w:styleId="Footer">
    <w:name w:val="footer"/>
    <w:basedOn w:val="Normal"/>
    <w:link w:val="FooterChar"/>
    <w:uiPriority w:val="1"/>
    <w:rsid w:val="001D3DC9"/>
    <w:pPr>
      <w:tabs>
        <w:tab w:val="center" w:pos="4513"/>
        <w:tab w:val="right" w:pos="9026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1"/>
    <w:rsid w:val="001D3DC9"/>
    <w:rPr>
      <w:rFonts w:ascii="Arial" w:eastAsia="Arial" w:hAnsi="Arial" w:cs="Arial"/>
      <w:kern w:val="0"/>
      <w:lang w:val="en-GB" w:eastAsia="en-NZ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1D3D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footer" Target="footer1.xml"/><Relationship Id="rId4" Type="http://schemas.openxmlformats.org/officeDocument/2006/relationships/image" Target="media/image1.png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268</Words>
  <Characters>1597</Characters>
  <Application>Microsoft Office Word</Application>
  <DocSecurity>0</DocSecurity>
  <Lines>30</Lines>
  <Paragraphs>10</Paragraphs>
  <ScaleCrop>false</ScaleCrop>
  <Company>Springer Nature</Company>
  <LinksUpToDate>false</LinksUpToDate>
  <CharactersWithSpaces>1855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2026-01-29T07:00:00Z</dcterms:created>
  <dcterms:modified xsi:type="dcterms:W3CDTF">2026-01-29T07:00:00Z</dcterms:modified>
</cp:coreProperties>
</file>