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22EF4" w:rsidR="00122EF4" w:rsidP="009A531A" w:rsidRDefault="00122EF4" w14:paraId="29B32E54" w14:textId="3A096A63">
      <w:pPr>
        <w:keepNext/>
        <w:keepLines/>
        <w:spacing w:before="480" w:after="240" w:line="360" w:lineRule="auto"/>
        <w:rPr>
          <w:rFonts w:ascii="Arial" w:hAnsi="Arial" w:eastAsia="SimSun" w:cs="Arial"/>
          <w:sz w:val="32"/>
          <w:szCs w:val="32"/>
          <w:lang w:val="en-GB" w:eastAsia="en-US"/>
        </w:rPr>
      </w:pPr>
      <w:r w:rsidRPr="2229B513" w:rsidR="00122EF4">
        <w:rPr>
          <w:rFonts w:ascii="Arial" w:hAnsi="Arial" w:eastAsia="SimSun" w:cs="Arial"/>
          <w:i w:val="1"/>
          <w:iCs w:val="1"/>
          <w:sz w:val="32"/>
          <w:szCs w:val="32"/>
          <w:lang w:val="en-GB" w:eastAsia="en-US"/>
        </w:rPr>
        <w:t>Supplementary information for:</w:t>
      </w:r>
    </w:p>
    <w:p w:rsidR="2ADECB8F" w:rsidP="2229B513" w:rsidRDefault="2ADECB8F" w14:paraId="3B6E5D31" w14:textId="4D273C39">
      <w:pPr>
        <w:pStyle w:val="Title"/>
        <w:spacing w:before="480" w:beforeAutospacing="off" w:after="240" w:afterAutospacing="off" w:line="360" w:lineRule="auto"/>
      </w:pPr>
      <w:r w:rsidRPr="2229B513" w:rsidR="2ADECB8F">
        <w:rPr>
          <w:rFonts w:ascii="Arial" w:hAnsi="Arial" w:eastAsia="Arial" w:cs="Arial"/>
          <w:b w:val="1"/>
          <w:bCs w:val="1"/>
          <w:noProof w:val="0"/>
          <w:sz w:val="32"/>
          <w:szCs w:val="32"/>
          <w:lang w:val="en-GB"/>
        </w:rPr>
        <w:t>Optimising recovery from childhood moderate acute malnutrition: a randomized controlled trial</w:t>
      </w:r>
    </w:p>
    <w:p w:rsidR="2ADECB8F" w:rsidP="2229B513" w:rsidRDefault="2ADECB8F" w14:paraId="00D14695" w14:textId="6CD979EA">
      <w:pPr>
        <w:spacing w:before="0" w:beforeAutospacing="off" w:after="160" w:afterAutospacing="off" w:line="257" w:lineRule="auto"/>
      </w:pPr>
      <w:r w:rsidRPr="2229B513" w:rsidR="2ADECB8F">
        <w:rPr>
          <w:rFonts w:ascii="Arial" w:hAnsi="Arial" w:eastAsia="Arial" w:cs="Arial"/>
          <w:noProof w:val="0"/>
          <w:sz w:val="24"/>
          <w:szCs w:val="24"/>
          <w:lang w:val="en-GB"/>
        </w:rPr>
        <w:t>Portlock, T.¹*, Miller, C.¹*, Ho, D.¹, Pook, C.¹, Shennon, I.</w:t>
      </w:r>
      <w:r w:rsidRPr="2229B513" w:rsidR="2ADECB8F">
        <w:rPr>
          <w:rFonts w:ascii="Arial" w:hAnsi="Arial" w:eastAsia="Arial" w:cs="Arial"/>
          <w:noProof w:val="0"/>
          <w:sz w:val="24"/>
          <w:szCs w:val="24"/>
          <w:vertAlign w:val="superscript"/>
          <w:lang w:val="en-GB"/>
        </w:rPr>
        <w:t>1</w:t>
      </w:r>
      <w:r w:rsidRPr="2229B513" w:rsidR="2ADECB8F">
        <w:rPr>
          <w:rFonts w:ascii="Arial" w:hAnsi="Arial" w:eastAsia="Arial" w:cs="Arial"/>
          <w:noProof w:val="0"/>
          <w:sz w:val="24"/>
          <w:szCs w:val="24"/>
          <w:lang w:val="en-GB"/>
        </w:rPr>
        <w:t>, Shama, T.², Kakon, S.H.², Phua, HH.¹, Thorstensen, E.¹, Rahman, N.</w:t>
      </w:r>
      <w:r w:rsidRPr="2229B513" w:rsidR="2ADECB8F">
        <w:rPr>
          <w:rFonts w:ascii="Arial" w:hAnsi="Arial" w:eastAsia="Arial" w:cs="Arial"/>
          <w:noProof w:val="0"/>
          <w:sz w:val="24"/>
          <w:szCs w:val="24"/>
          <w:vertAlign w:val="superscript"/>
          <w:lang w:val="en-GB"/>
        </w:rPr>
        <w:t>5</w:t>
      </w:r>
      <w:r w:rsidRPr="2229B513" w:rsidR="2ADECB8F">
        <w:rPr>
          <w:rFonts w:ascii="Arial" w:hAnsi="Arial" w:eastAsia="Arial" w:cs="Arial"/>
          <w:noProof w:val="0"/>
          <w:sz w:val="24"/>
          <w:szCs w:val="24"/>
          <w:lang w:val="en-GB"/>
        </w:rPr>
        <w:t>, Gluckman, P.¹, Zeilani, M.³, Forrester, T.⁴</w:t>
      </w:r>
      <w:r w:rsidRPr="2229B513" w:rsidR="2ADECB8F">
        <w:rPr>
          <w:rFonts w:ascii="Aptos" w:hAnsi="Aptos" w:eastAsia="Aptos" w:cs="Aptos"/>
          <w:noProof w:val="0"/>
          <w:sz w:val="22"/>
          <w:szCs w:val="22"/>
          <w:vertAlign w:val="superscript"/>
          <w:lang w:val="en-GB"/>
        </w:rPr>
        <w:t>‡</w:t>
      </w:r>
      <w:r w:rsidRPr="2229B513" w:rsidR="2ADECB8F">
        <w:rPr>
          <w:rFonts w:ascii="Arial" w:hAnsi="Arial" w:eastAsia="Arial" w:cs="Arial"/>
          <w:noProof w:val="0"/>
          <w:sz w:val="24"/>
          <w:szCs w:val="24"/>
          <w:lang w:val="en-GB"/>
        </w:rPr>
        <w:t>, Haque, R.², Nelson, C.A. ⁵</w:t>
      </w:r>
      <w:r w:rsidRPr="2229B513" w:rsidR="2ADECB8F">
        <w:rPr>
          <w:rFonts w:ascii="Aptos" w:hAnsi="Aptos" w:eastAsia="Aptos" w:cs="Aptos"/>
          <w:noProof w:val="0"/>
          <w:sz w:val="22"/>
          <w:szCs w:val="22"/>
          <w:vertAlign w:val="superscript"/>
          <w:lang w:val="en-GB"/>
        </w:rPr>
        <w:t>‡</w:t>
      </w:r>
      <w:r w:rsidRPr="2229B513" w:rsidR="2ADECB8F">
        <w:rPr>
          <w:rFonts w:ascii="Arial" w:hAnsi="Arial" w:eastAsia="Arial" w:cs="Arial"/>
          <w:noProof w:val="0"/>
          <w:sz w:val="24"/>
          <w:szCs w:val="24"/>
          <w:lang w:val="en-GB"/>
        </w:rPr>
        <w:t>, O’Sullivan, J.M.¹⁶⁷</w:t>
      </w:r>
      <w:r w:rsidRPr="2229B513" w:rsidR="2ADECB8F">
        <w:rPr>
          <w:rFonts w:ascii="Aptos" w:hAnsi="Aptos" w:eastAsia="Aptos" w:cs="Aptos"/>
          <w:noProof w:val="0"/>
          <w:sz w:val="22"/>
          <w:szCs w:val="22"/>
          <w:vertAlign w:val="superscript"/>
          <w:lang w:val="en-GB"/>
        </w:rPr>
        <w:t>‡</w:t>
      </w:r>
    </w:p>
    <w:p w:rsidR="2ADECB8F" w:rsidP="2229B513" w:rsidRDefault="2ADECB8F" w14:paraId="0B9E48FA" w14:textId="3A0B2D8B">
      <w:pPr>
        <w:spacing w:before="0" w:beforeAutospacing="off" w:after="240" w:afterAutospacing="off" w:line="276" w:lineRule="auto"/>
      </w:pPr>
      <w:r w:rsidRPr="2229B513" w:rsidR="2ADECB8F">
        <w:rPr>
          <w:rFonts w:ascii="Arial" w:hAnsi="Arial" w:eastAsia="Arial" w:cs="Arial"/>
          <w:noProof w:val="0"/>
          <w:sz w:val="24"/>
          <w:szCs w:val="24"/>
          <w:lang w:val="en-GB"/>
        </w:rPr>
        <w:t xml:space="preserve"> </w:t>
      </w:r>
    </w:p>
    <w:p w:rsidR="2ADECB8F" w:rsidP="2229B513" w:rsidRDefault="2ADECB8F" w14:paraId="27626427" w14:textId="012CB6AD">
      <w:pPr>
        <w:spacing w:before="0" w:beforeAutospacing="off" w:after="240" w:afterAutospacing="off" w:line="276" w:lineRule="auto"/>
      </w:pPr>
      <w:r w:rsidRPr="2229B513" w:rsidR="2ADECB8F">
        <w:rPr>
          <w:rFonts w:ascii="Arial" w:hAnsi="Arial" w:eastAsia="Arial" w:cs="Arial"/>
          <w:noProof w:val="0"/>
          <w:sz w:val="24"/>
          <w:szCs w:val="24"/>
          <w:lang w:val="en-GB"/>
        </w:rPr>
        <w:t xml:space="preserve"> ¹ The Liggins Institute, University of Auckland, New Zealand </w:t>
      </w:r>
    </w:p>
    <w:p w:rsidR="2ADECB8F" w:rsidP="2229B513" w:rsidRDefault="2ADECB8F" w14:paraId="4E2EED42" w14:textId="33DBE760">
      <w:pPr>
        <w:spacing w:before="0" w:beforeAutospacing="off" w:after="240" w:afterAutospacing="off" w:line="276" w:lineRule="auto"/>
      </w:pPr>
      <w:r w:rsidRPr="2229B513" w:rsidR="2ADECB8F">
        <w:rPr>
          <w:rFonts w:ascii="Arial" w:hAnsi="Arial" w:eastAsia="Arial" w:cs="Arial"/>
          <w:noProof w:val="0"/>
          <w:sz w:val="24"/>
          <w:szCs w:val="24"/>
          <w:lang w:val="en-GB"/>
        </w:rPr>
        <w:t xml:space="preserve"> ² Infectious Diseases Division, International Centre for Diarrhoeal Disease Research, Bangladesh </w:t>
      </w:r>
    </w:p>
    <w:p w:rsidR="2ADECB8F" w:rsidP="2229B513" w:rsidRDefault="2ADECB8F" w14:paraId="383EABD1" w14:textId="405E2B14">
      <w:pPr>
        <w:spacing w:before="0" w:beforeAutospacing="off" w:after="240" w:afterAutospacing="off" w:line="276" w:lineRule="auto"/>
      </w:pPr>
      <w:r w:rsidRPr="2229B513" w:rsidR="2ADECB8F">
        <w:rPr>
          <w:rFonts w:ascii="Arial" w:hAnsi="Arial" w:eastAsia="Arial" w:cs="Arial"/>
          <w:noProof w:val="0"/>
          <w:sz w:val="24"/>
          <w:szCs w:val="24"/>
          <w:lang w:val="en-GB"/>
        </w:rPr>
        <w:t xml:space="preserve"> ³ Department of External Research and Nutrition Strategies, Nutriset SAS, Malaunay, France </w:t>
      </w:r>
    </w:p>
    <w:p w:rsidR="2ADECB8F" w:rsidP="2229B513" w:rsidRDefault="2ADECB8F" w14:paraId="41F5C63D" w14:textId="556CC641">
      <w:pPr>
        <w:spacing w:before="0" w:beforeAutospacing="off" w:after="240" w:afterAutospacing="off" w:line="276" w:lineRule="auto"/>
      </w:pPr>
      <w:r w:rsidRPr="2229B513" w:rsidR="2ADECB8F">
        <w:rPr>
          <w:rFonts w:ascii="Arial" w:hAnsi="Arial" w:eastAsia="Arial" w:cs="Arial"/>
          <w:noProof w:val="0"/>
          <w:sz w:val="24"/>
          <w:szCs w:val="24"/>
          <w:lang w:val="en-GB"/>
        </w:rPr>
        <w:t xml:space="preserve"> ⁴ Faculty of Medical Sciences, UWI Solutions for Developing Countries, The University of the West Indies, Jamaica </w:t>
      </w:r>
    </w:p>
    <w:p w:rsidR="2ADECB8F" w:rsidP="2229B513" w:rsidRDefault="2ADECB8F" w14:paraId="73A68F2A" w14:textId="60A87587">
      <w:pPr>
        <w:spacing w:before="0" w:beforeAutospacing="off" w:after="240" w:afterAutospacing="off" w:line="276" w:lineRule="auto"/>
      </w:pPr>
      <w:r w:rsidRPr="2229B513" w:rsidR="2ADECB8F">
        <w:rPr>
          <w:rFonts w:ascii="Arial" w:hAnsi="Arial" w:eastAsia="Arial" w:cs="Arial"/>
          <w:noProof w:val="0"/>
          <w:sz w:val="24"/>
          <w:szCs w:val="24"/>
          <w:lang w:val="en-GB"/>
        </w:rPr>
        <w:t xml:space="preserve"> ⁵ Department of Pediatrics, Boston Children’s Hospital and Harvard Medical School; Harvard Graduate School of Education, Boston, USA </w:t>
      </w:r>
    </w:p>
    <w:p w:rsidR="2ADECB8F" w:rsidP="2229B513" w:rsidRDefault="2ADECB8F" w14:paraId="0343EF14" w14:textId="7CFEAD54">
      <w:pPr>
        <w:spacing w:before="0" w:beforeAutospacing="off" w:after="240" w:afterAutospacing="off" w:line="276" w:lineRule="auto"/>
      </w:pPr>
      <w:r w:rsidRPr="2229B513" w:rsidR="2ADECB8F">
        <w:rPr>
          <w:rFonts w:ascii="Arial" w:hAnsi="Arial" w:eastAsia="Arial" w:cs="Arial"/>
          <w:noProof w:val="0"/>
          <w:sz w:val="24"/>
          <w:szCs w:val="24"/>
          <w:lang w:val="en-GB"/>
        </w:rPr>
        <w:t xml:space="preserve"> ⁶ The Maurice Wilkins Centre, The University of Auckland, New Zealand </w:t>
      </w:r>
    </w:p>
    <w:p w:rsidR="2ADECB8F" w:rsidP="2229B513" w:rsidRDefault="2ADECB8F" w14:paraId="5FD1C850" w14:textId="7123063A">
      <w:pPr>
        <w:spacing w:before="0" w:beforeAutospacing="off" w:after="240" w:afterAutospacing="off" w:line="276" w:lineRule="auto"/>
      </w:pPr>
      <w:r w:rsidRPr="2229B513" w:rsidR="2ADECB8F">
        <w:rPr>
          <w:rFonts w:ascii="Arial" w:hAnsi="Arial" w:eastAsia="Arial" w:cs="Arial"/>
          <w:noProof w:val="0"/>
          <w:sz w:val="24"/>
          <w:szCs w:val="24"/>
          <w:lang w:val="en-GB"/>
        </w:rPr>
        <w:t xml:space="preserve"> ⁷ MRC Lifecourse Epidemiology Unit, University of Southampton, UK </w:t>
      </w:r>
    </w:p>
    <w:p w:rsidR="2ADECB8F" w:rsidP="2229B513" w:rsidRDefault="2ADECB8F" w14:paraId="5B8F1AA1" w14:textId="2F28E842">
      <w:pPr>
        <w:spacing w:before="0" w:beforeAutospacing="off" w:after="240" w:afterAutospacing="off" w:line="276" w:lineRule="auto"/>
      </w:pPr>
      <w:r w:rsidRPr="2229B513" w:rsidR="2ADECB8F">
        <w:rPr>
          <w:rFonts w:ascii="Arial" w:hAnsi="Arial" w:eastAsia="Arial" w:cs="Arial"/>
          <w:noProof w:val="0"/>
          <w:sz w:val="24"/>
          <w:szCs w:val="24"/>
          <w:lang w:val="en-GB"/>
        </w:rPr>
        <w:t>*These authors contributed equally.</w:t>
      </w:r>
    </w:p>
    <w:p w:rsidR="2ADECB8F" w:rsidP="2229B513" w:rsidRDefault="2ADECB8F" w14:paraId="76C071B4" w14:textId="73BED0CE">
      <w:pPr>
        <w:spacing w:before="0" w:beforeAutospacing="off" w:after="240" w:afterAutospacing="off" w:line="276" w:lineRule="auto"/>
      </w:pPr>
      <w:r w:rsidRPr="2229B513" w:rsidR="2ADECB8F">
        <w:rPr>
          <w:rFonts w:ascii="Arial" w:hAnsi="Arial" w:eastAsia="Arial" w:cs="Arial"/>
          <w:noProof w:val="0"/>
          <w:sz w:val="24"/>
          <w:szCs w:val="24"/>
          <w:vertAlign w:val="superscript"/>
          <w:lang w:val="en-GB"/>
        </w:rPr>
        <w:t>‡</w:t>
      </w:r>
      <w:r w:rsidRPr="2229B513" w:rsidR="2ADECB8F">
        <w:rPr>
          <w:rFonts w:ascii="Arial" w:hAnsi="Arial" w:eastAsia="Arial" w:cs="Arial"/>
          <w:noProof w:val="0"/>
          <w:sz w:val="24"/>
          <w:szCs w:val="24"/>
          <w:lang w:val="en-GB"/>
        </w:rPr>
        <w:t xml:space="preserve">Co-corresponding authors. Terrence Forrester, </w:t>
      </w:r>
      <w:hyperlink r:id="R6660327f3d3c46f7">
        <w:r w:rsidRPr="2229B513" w:rsidR="2ADECB8F">
          <w:rPr>
            <w:rStyle w:val="Hyperlink"/>
            <w:rFonts w:ascii="Arial" w:hAnsi="Arial" w:eastAsia="Arial" w:cs="Arial"/>
            <w:strike w:val="0"/>
            <w:dstrike w:val="0"/>
            <w:noProof w:val="0"/>
            <w:color w:val="4F81BD"/>
            <w:sz w:val="24"/>
            <w:szCs w:val="24"/>
            <w:lang w:val="en-GB"/>
          </w:rPr>
          <w:t>Terrence.Forrester@uwisodeco.com</w:t>
        </w:r>
      </w:hyperlink>
      <w:r w:rsidRPr="2229B513" w:rsidR="2ADECB8F">
        <w:rPr>
          <w:rFonts w:ascii="Arial" w:hAnsi="Arial" w:eastAsia="Arial" w:cs="Arial"/>
          <w:noProof w:val="0"/>
          <w:sz w:val="24"/>
          <w:szCs w:val="24"/>
          <w:lang w:val="en-GB"/>
        </w:rPr>
        <w:t xml:space="preserve">; Chuck Nelson, </w:t>
      </w:r>
      <w:hyperlink r:id="R02b2a4708d9d4316">
        <w:r w:rsidRPr="2229B513" w:rsidR="2ADECB8F">
          <w:rPr>
            <w:rStyle w:val="Hyperlink"/>
            <w:rFonts w:ascii="Arial" w:hAnsi="Arial" w:eastAsia="Arial" w:cs="Arial"/>
            <w:strike w:val="0"/>
            <w:dstrike w:val="0"/>
            <w:noProof w:val="0"/>
            <w:color w:val="4F81BD"/>
            <w:sz w:val="24"/>
            <w:szCs w:val="24"/>
            <w:lang w:val="en-GB"/>
          </w:rPr>
          <w:t>Charles.Nelson@childrens.harvard.edu</w:t>
        </w:r>
      </w:hyperlink>
      <w:r w:rsidRPr="2229B513" w:rsidR="2ADECB8F">
        <w:rPr>
          <w:rFonts w:ascii="Arial" w:hAnsi="Arial" w:eastAsia="Arial" w:cs="Arial"/>
          <w:noProof w:val="0"/>
          <w:sz w:val="24"/>
          <w:szCs w:val="24"/>
          <w:lang w:val="en-GB"/>
        </w:rPr>
        <w:t xml:space="preserve">; Justin M. O’Sullivan, </w:t>
      </w:r>
      <w:hyperlink r:id="Ra7ecfbe54d14454d">
        <w:r w:rsidRPr="2229B513" w:rsidR="2ADECB8F">
          <w:rPr>
            <w:rStyle w:val="Hyperlink"/>
            <w:rFonts w:ascii="Arial" w:hAnsi="Arial" w:eastAsia="Arial" w:cs="Arial"/>
            <w:noProof w:val="0"/>
            <w:sz w:val="24"/>
            <w:szCs w:val="24"/>
            <w:lang w:val="en-GB"/>
          </w:rPr>
          <w:t>justin.osullivan@acukland.ac.nz</w:t>
        </w:r>
      </w:hyperlink>
    </w:p>
    <w:p w:rsidR="2229B513" w:rsidP="2229B513" w:rsidRDefault="2229B513" w14:paraId="628EA413" w14:textId="146BE485">
      <w:pPr>
        <w:spacing w:after="240" w:line="276" w:lineRule="auto"/>
        <w:rPr>
          <w:rFonts w:ascii="Arial" w:hAnsi="Arial" w:eastAsia="Arial" w:cs="Arial"/>
          <w:lang w:val="en-GB" w:eastAsia="en-US"/>
        </w:rPr>
      </w:pPr>
    </w:p>
    <w:p w:rsidR="009D7965" w:rsidP="001D36BE" w:rsidRDefault="009A531A" w14:paraId="519CC8E2" w14:textId="77777777">
      <w:pPr>
        <w:spacing w:line="276" w:lineRule="auto"/>
        <w:jc w:val="both"/>
        <w:rPr>
          <w:rFonts w:ascii="Arial" w:hAnsi="Arial" w:eastAsia="Times New Roman" w:cs="Arial"/>
          <w:sz w:val="22"/>
          <w:szCs w:val="22"/>
        </w:rPr>
      </w:pPr>
      <w:r w:rsidRPr="009A531A">
        <w:rPr>
          <w:rFonts w:ascii="Arial" w:hAnsi="Arial" w:eastAsia="Times New Roman" w:cs="Arial"/>
          <w:sz w:val="22"/>
          <w:szCs w:val="22"/>
        </w:rPr>
        <w:br/>
      </w:r>
    </w:p>
    <w:p w:rsidR="009D7965" w:rsidRDefault="009D7965" w14:paraId="7947AD5D" w14:textId="77777777">
      <w:pPr>
        <w:spacing w:line="259" w:lineRule="auto"/>
        <w:rPr>
          <w:rFonts w:ascii="Arial" w:hAnsi="Arial" w:eastAsia="Times New Roman" w:cs="Arial"/>
          <w:sz w:val="22"/>
          <w:szCs w:val="22"/>
        </w:rPr>
      </w:pPr>
      <w:r>
        <w:rPr>
          <w:rFonts w:ascii="Arial" w:hAnsi="Arial" w:eastAsia="Times New Roman" w:cs="Arial"/>
          <w:sz w:val="22"/>
          <w:szCs w:val="22"/>
        </w:rPr>
        <w:br w:type="page"/>
      </w:r>
    </w:p>
    <w:p w:rsidRPr="004521A7" w:rsidR="00F57B28" w:rsidP="004521A7" w:rsidRDefault="00CF7D00" w14:paraId="791D6D9D" w14:textId="4F62D454">
      <w:pPr>
        <w:spacing w:line="360" w:lineRule="auto"/>
        <w:rPr>
          <w:rFonts w:ascii="Arial" w:hAnsi="Arial" w:eastAsia="Times New Roman" w:cs="Arial"/>
          <w:sz w:val="22"/>
          <w:szCs w:val="22"/>
          <w:highlight w:val="yellow"/>
        </w:rPr>
      </w:pPr>
      <w:r w:rsidRPr="004521A7">
        <w:rPr>
          <w:rFonts w:ascii="Arial" w:hAnsi="Arial" w:eastAsia="Times New Roman" w:cs="Arial"/>
          <w:sz w:val="22"/>
          <w:szCs w:val="22"/>
        </w:rPr>
        <w:t xml:space="preserve">The sample preparation and liquid chromatography - tandem mass spectrometry (LCMSMS) analysis </w:t>
      </w:r>
      <w:r w:rsidRPr="004521A7" w:rsidR="000D3EAA">
        <w:rPr>
          <w:rFonts w:ascii="Arial" w:hAnsi="Arial" w:eastAsia="Times New Roman" w:cs="Arial"/>
          <w:sz w:val="22"/>
          <w:szCs w:val="22"/>
        </w:rPr>
        <w:t>of plasma</w:t>
      </w:r>
      <w:r w:rsidRPr="004521A7">
        <w:rPr>
          <w:rFonts w:ascii="Arial" w:hAnsi="Arial" w:eastAsia="Times New Roman" w:cs="Arial"/>
          <w:sz w:val="22"/>
          <w:szCs w:val="22"/>
        </w:rPr>
        <w:t xml:space="preserve"> B-vitam</w:t>
      </w:r>
      <w:r w:rsidRPr="004521A7" w:rsidR="00BD3853">
        <w:rPr>
          <w:rFonts w:ascii="Arial" w:hAnsi="Arial" w:eastAsia="Times New Roman" w:cs="Arial"/>
          <w:sz w:val="22"/>
          <w:szCs w:val="22"/>
        </w:rPr>
        <w:t>er</w:t>
      </w:r>
      <w:r w:rsidRPr="004521A7">
        <w:rPr>
          <w:rFonts w:ascii="Arial" w:hAnsi="Arial" w:eastAsia="Times New Roman" w:cs="Arial"/>
          <w:sz w:val="22"/>
          <w:szCs w:val="22"/>
        </w:rPr>
        <w:t>s was carried out using a method published previously</w:t>
      </w:r>
      <w:r w:rsidRPr="004521A7" w:rsidR="00E04988">
        <w:rPr>
          <w:rFonts w:ascii="Arial" w:hAnsi="Arial" w:eastAsia="Times New Roman" w:cs="Arial"/>
          <w:sz w:val="22"/>
          <w:szCs w:val="22"/>
        </w:rPr>
        <w:t xml:space="preserve"> </w:t>
      </w:r>
      <w:sdt>
        <w:sdtPr>
          <w:rPr>
            <w:rFonts w:ascii="Arial" w:hAnsi="Arial" w:eastAsia="Times New Roman" w:cs="Arial"/>
            <w:color w:val="000000"/>
            <w:sz w:val="22"/>
            <w:szCs w:val="22"/>
            <w:vertAlign w:val="superscript"/>
          </w:rPr>
          <w:tag w:val="MENDELEY_CITATION_v3_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"/>
          <w:id w:val="-1341541238"/>
          <w:placeholder>
            <w:docPart w:val="DefaultPlaceholder_-1854013440"/>
          </w:placeholder>
        </w:sdtPr>
        <w:sdtContent>
          <w:r w:rsidRPr="004521A7" w:rsidR="006066CD">
            <w:rPr>
              <w:rFonts w:ascii="Arial" w:hAnsi="Arial" w:eastAsia="Times New Roman" w:cs="Arial"/>
              <w:color w:val="000000"/>
              <w:sz w:val="22"/>
              <w:szCs w:val="22"/>
              <w:vertAlign w:val="superscript"/>
            </w:rPr>
            <w:t>1</w:t>
          </w:r>
        </w:sdtContent>
      </w:sdt>
      <w:r w:rsidRPr="004521A7">
        <w:rPr>
          <w:rFonts w:ascii="Arial" w:hAnsi="Arial" w:eastAsia="Times New Roman" w:cs="Arial"/>
          <w:sz w:val="22"/>
          <w:szCs w:val="22"/>
        </w:rPr>
        <w:t xml:space="preserve"> </w:t>
      </w:r>
      <w:r w:rsidRPr="004521A7" w:rsidR="00E04988">
        <w:rPr>
          <w:rFonts w:ascii="Arial" w:hAnsi="Arial" w:eastAsia="Times New Roman" w:cs="Arial"/>
          <w:sz w:val="22"/>
          <w:szCs w:val="22"/>
        </w:rPr>
        <w:t xml:space="preserve">. </w:t>
      </w:r>
      <w:r w:rsidRPr="004521A7">
        <w:rPr>
          <w:rFonts w:ascii="Arial" w:hAnsi="Arial" w:eastAsia="Times New Roman" w:cs="Arial"/>
          <w:sz w:val="22"/>
          <w:szCs w:val="22"/>
        </w:rPr>
        <w:t>For this study, the following vitam</w:t>
      </w:r>
      <w:r w:rsidRPr="004521A7" w:rsidR="00BD3853">
        <w:rPr>
          <w:rFonts w:ascii="Arial" w:hAnsi="Arial" w:eastAsia="Times New Roman" w:cs="Arial"/>
          <w:sz w:val="22"/>
          <w:szCs w:val="22"/>
        </w:rPr>
        <w:t>er</w:t>
      </w:r>
      <w:r w:rsidRPr="004521A7">
        <w:rPr>
          <w:rFonts w:ascii="Arial" w:hAnsi="Arial" w:eastAsia="Times New Roman" w:cs="Arial"/>
          <w:sz w:val="22"/>
          <w:szCs w:val="22"/>
        </w:rPr>
        <w:t xml:space="preserve">s were </w:t>
      </w:r>
      <w:r w:rsidRPr="004521A7" w:rsidR="00BD3853">
        <w:rPr>
          <w:rFonts w:ascii="Arial" w:hAnsi="Arial" w:eastAsia="Times New Roman" w:cs="Arial"/>
          <w:sz w:val="22"/>
          <w:szCs w:val="22"/>
        </w:rPr>
        <w:t>measur</w:t>
      </w:r>
      <w:r w:rsidRPr="004521A7">
        <w:rPr>
          <w:rFonts w:ascii="Arial" w:hAnsi="Arial" w:eastAsia="Times New Roman" w:cs="Arial"/>
          <w:sz w:val="22"/>
          <w:szCs w:val="22"/>
        </w:rPr>
        <w:t>ed: pantothenic acid (B5), 4-pyridoxic acid (B6), nicotinamide (B3), trimethylamine N-oxide (TMAO), riboflavin (B2</w:t>
      </w:r>
      <w:r w:rsidRPr="004521A7" w:rsidR="00A21F30">
        <w:rPr>
          <w:rFonts w:ascii="Arial" w:hAnsi="Arial" w:eastAsia="Times New Roman" w:cs="Arial"/>
          <w:sz w:val="22"/>
          <w:szCs w:val="22"/>
        </w:rPr>
        <w:t>), and</w:t>
      </w:r>
      <w:r w:rsidRPr="004521A7">
        <w:rPr>
          <w:rFonts w:ascii="Arial" w:hAnsi="Arial" w:eastAsia="Times New Roman" w:cs="Arial"/>
          <w:sz w:val="22"/>
          <w:szCs w:val="22"/>
        </w:rPr>
        <w:t xml:space="preserve"> thiamine (B1), Three plasma quality pools controls were used to monitor analyte recovery, inter- and intra-assay reproducibility. All analytes were recovered between 8</w:t>
      </w:r>
      <w:r w:rsidRPr="004521A7" w:rsidR="00BD3853">
        <w:rPr>
          <w:rFonts w:ascii="Arial" w:hAnsi="Arial" w:eastAsia="Times New Roman" w:cs="Arial"/>
          <w:sz w:val="22"/>
          <w:szCs w:val="22"/>
        </w:rPr>
        <w:t>5</w:t>
      </w:r>
      <w:r w:rsidRPr="004521A7">
        <w:rPr>
          <w:rFonts w:ascii="Arial" w:hAnsi="Arial" w:eastAsia="Times New Roman" w:cs="Arial"/>
          <w:sz w:val="22"/>
          <w:szCs w:val="22"/>
        </w:rPr>
        <w:t xml:space="preserve"> and 1</w:t>
      </w:r>
      <w:r w:rsidRPr="004521A7" w:rsidR="00BD3853">
        <w:rPr>
          <w:rFonts w:ascii="Arial" w:hAnsi="Arial" w:eastAsia="Times New Roman" w:cs="Arial"/>
          <w:sz w:val="22"/>
          <w:szCs w:val="22"/>
        </w:rPr>
        <w:t>0</w:t>
      </w:r>
      <w:r w:rsidRPr="004521A7">
        <w:rPr>
          <w:rFonts w:ascii="Arial" w:hAnsi="Arial" w:eastAsia="Times New Roman" w:cs="Arial"/>
          <w:sz w:val="22"/>
          <w:szCs w:val="22"/>
        </w:rPr>
        <w:t xml:space="preserve">5%, with average inter- and intra assay coefficients of variation all less than </w:t>
      </w:r>
      <w:r w:rsidRPr="004521A7" w:rsidR="00BD3853">
        <w:rPr>
          <w:rFonts w:ascii="Arial" w:hAnsi="Arial" w:eastAsia="Times New Roman" w:cs="Arial"/>
          <w:sz w:val="22"/>
          <w:szCs w:val="22"/>
        </w:rPr>
        <w:t>8</w:t>
      </w:r>
      <w:r w:rsidRPr="004521A7">
        <w:rPr>
          <w:rFonts w:ascii="Arial" w:hAnsi="Arial" w:eastAsia="Times New Roman" w:cs="Arial"/>
          <w:sz w:val="22"/>
          <w:szCs w:val="22"/>
        </w:rPr>
        <w:t xml:space="preserve">%. Additional B-vitamers were included in the assay but the plasma results were all below the limits of detection. B-vitamers and (LOD / </w:t>
      </w:r>
      <w:proofErr w:type="spellStart"/>
      <w:r w:rsidRPr="004521A7">
        <w:rPr>
          <w:rFonts w:ascii="Arial" w:hAnsi="Arial" w:eastAsia="Times New Roman" w:cs="Arial"/>
          <w:sz w:val="22"/>
          <w:szCs w:val="22"/>
        </w:rPr>
        <w:t>nM</w:t>
      </w:r>
      <w:proofErr w:type="spellEnd"/>
      <w:r w:rsidRPr="004521A7">
        <w:rPr>
          <w:rFonts w:ascii="Arial" w:hAnsi="Arial" w:eastAsia="Times New Roman" w:cs="Arial"/>
          <w:sz w:val="22"/>
          <w:szCs w:val="22"/>
        </w:rPr>
        <w:t xml:space="preserve">) </w:t>
      </w:r>
      <w:proofErr w:type="spellStart"/>
      <w:r w:rsidRPr="004521A7">
        <w:rPr>
          <w:rFonts w:ascii="Arial" w:hAnsi="Arial" w:eastAsia="Times New Roman" w:cs="Arial"/>
          <w:sz w:val="22"/>
          <w:szCs w:val="22"/>
        </w:rPr>
        <w:t>nicotinuric</w:t>
      </w:r>
      <w:proofErr w:type="spellEnd"/>
      <w:r w:rsidRPr="004521A7">
        <w:rPr>
          <w:rFonts w:ascii="Arial" w:hAnsi="Arial" w:eastAsia="Times New Roman" w:cs="Arial"/>
          <w:sz w:val="22"/>
          <w:szCs w:val="22"/>
        </w:rPr>
        <w:t xml:space="preserve"> acid (12.5), pyridoxal (15), pyridoxine (2),</w:t>
      </w:r>
      <w:r w:rsidRPr="004521A7" w:rsidR="00BD3853">
        <w:rPr>
          <w:rFonts w:ascii="Arial" w:hAnsi="Arial" w:eastAsia="Times New Roman" w:cs="Arial"/>
          <w:sz w:val="22"/>
          <w:szCs w:val="22"/>
        </w:rPr>
        <w:t xml:space="preserve"> folic acid (10nM) </w:t>
      </w:r>
      <w:r w:rsidRPr="004521A7">
        <w:rPr>
          <w:rFonts w:ascii="Arial" w:hAnsi="Arial" w:eastAsia="Times New Roman" w:cs="Arial"/>
          <w:sz w:val="22"/>
          <w:szCs w:val="22"/>
        </w:rPr>
        <w:t>and pyridoxamine (2)</w:t>
      </w:r>
      <w:r w:rsidRPr="004521A7" w:rsidR="00914469">
        <w:rPr>
          <w:rFonts w:ascii="Arial" w:hAnsi="Arial" w:eastAsia="Times New Roman" w:cs="Arial"/>
          <w:sz w:val="22"/>
          <w:szCs w:val="22"/>
        </w:rPr>
        <w:t>.</w:t>
      </w:r>
    </w:p>
    <w:p w:rsidRPr="004521A7" w:rsidR="00F57B28" w:rsidP="004521A7" w:rsidRDefault="00F57B28" w14:paraId="76CCD3DD" w14:textId="2931017C">
      <w:pPr>
        <w:spacing w:line="360" w:lineRule="auto"/>
        <w:rPr>
          <w:rFonts w:ascii="Arial" w:hAnsi="Arial" w:cs="Arial"/>
          <w:sz w:val="22"/>
          <w:szCs w:val="22"/>
        </w:rPr>
      </w:pPr>
      <w:r w:rsidRPr="004521A7">
        <w:rPr>
          <w:rFonts w:ascii="Arial" w:hAnsi="Arial" w:cs="Arial"/>
          <w:sz w:val="22"/>
          <w:szCs w:val="22"/>
        </w:rPr>
        <w:t>Free amino acids were assayed from 20</w:t>
      </w:r>
      <w:r w:rsidR="00A32A94">
        <w:rPr>
          <w:rFonts w:ascii="Arial" w:hAnsi="Arial" w:cs="Arial"/>
          <w:sz w:val="22"/>
          <w:szCs w:val="22"/>
        </w:rPr>
        <w:t xml:space="preserve"> </w:t>
      </w:r>
      <w:r w:rsidRPr="004521A7">
        <w:rPr>
          <w:rFonts w:ascii="Arial" w:hAnsi="Arial" w:cs="Arial"/>
          <w:sz w:val="22"/>
          <w:szCs w:val="22"/>
        </w:rPr>
        <w:t>µl of plasma with 15</w:t>
      </w:r>
      <w:r w:rsidR="00A32A94">
        <w:rPr>
          <w:rFonts w:ascii="Arial" w:hAnsi="Arial" w:cs="Arial"/>
          <w:sz w:val="22"/>
          <w:szCs w:val="22"/>
        </w:rPr>
        <w:t xml:space="preserve"> </w:t>
      </w:r>
      <w:r w:rsidRPr="004521A7">
        <w:rPr>
          <w:rFonts w:ascii="Arial" w:hAnsi="Arial" w:cs="Arial"/>
          <w:sz w:val="22"/>
          <w:szCs w:val="22"/>
        </w:rPr>
        <w:t xml:space="preserve">µM L-Nor-Valine as internal standard by Ultra </w:t>
      </w:r>
      <w:proofErr w:type="gramStart"/>
      <w:r w:rsidRPr="004521A7">
        <w:rPr>
          <w:rFonts w:ascii="Arial" w:hAnsi="Arial" w:cs="Arial"/>
          <w:sz w:val="22"/>
          <w:szCs w:val="22"/>
        </w:rPr>
        <w:t>High Pressure</w:t>
      </w:r>
      <w:proofErr w:type="gramEnd"/>
      <w:r w:rsidRPr="004521A7">
        <w:rPr>
          <w:rFonts w:ascii="Arial" w:hAnsi="Arial" w:cs="Arial"/>
          <w:sz w:val="22"/>
          <w:szCs w:val="22"/>
        </w:rPr>
        <w:t xml:space="preserve"> Liquid Chromatography as previously described</w:t>
      </w:r>
      <w:r w:rsidRPr="004521A7" w:rsidR="000D3EAA">
        <w:rPr>
          <w:rFonts w:ascii="Arial" w:hAnsi="Arial" w:cs="Arial"/>
          <w:sz w:val="22"/>
          <w:szCs w:val="22"/>
        </w:rPr>
        <w:t xml:space="preserve"> </w:t>
      </w:r>
      <w:sdt>
        <w:sdtPr>
          <w:rPr>
            <w:rFonts w:ascii="Arial" w:hAnsi="Arial" w:cs="Arial"/>
            <w:color w:val="000000"/>
            <w:sz w:val="22"/>
            <w:szCs w:val="22"/>
            <w:vertAlign w:val="superscript"/>
          </w:rPr>
          <w:tag w:val="MENDELEY_CITATION_v3_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"/>
          <w:id w:val="-351717927"/>
          <w:placeholder>
            <w:docPart w:val="DefaultPlaceholder_-1854013440"/>
          </w:placeholder>
        </w:sdtPr>
        <w:sdtContent>
          <w:r w:rsidRPr="004521A7" w:rsidR="003727D1">
            <w:rPr>
              <w:rFonts w:ascii="Arial" w:hAnsi="Arial" w:cs="Arial"/>
              <w:color w:val="000000"/>
              <w:sz w:val="22"/>
              <w:szCs w:val="22"/>
              <w:vertAlign w:val="superscript"/>
            </w:rPr>
            <w:t>2</w:t>
          </w:r>
        </w:sdtContent>
      </w:sdt>
      <w:r w:rsidRPr="004521A7">
        <w:rPr>
          <w:rFonts w:ascii="Arial" w:hAnsi="Arial" w:cs="Arial"/>
          <w:sz w:val="22"/>
          <w:szCs w:val="22"/>
        </w:rPr>
        <w:t>. Average intra-assay %CV for quality controls across all amino acids was less than 10%, inter-assay %CV less than 12%.</w:t>
      </w:r>
    </w:p>
    <w:p w:rsidRPr="004521A7" w:rsidR="00F57B28" w:rsidP="004521A7" w:rsidRDefault="00F57B28" w14:paraId="3EBC406E" w14:textId="210CE531">
      <w:pPr>
        <w:spacing w:line="360" w:lineRule="auto"/>
        <w:rPr>
          <w:rFonts w:ascii="Arial" w:hAnsi="Arial" w:cs="Arial"/>
          <w:sz w:val="22"/>
          <w:szCs w:val="22"/>
        </w:rPr>
      </w:pPr>
      <w:r w:rsidRPr="004521A7">
        <w:rPr>
          <w:rFonts w:ascii="Arial" w:hAnsi="Arial" w:cs="Arial"/>
          <w:sz w:val="22"/>
          <w:szCs w:val="22"/>
        </w:rPr>
        <w:t xml:space="preserve">The sample preparation was robotized as follows. All liquid addition steps were carried out on an </w:t>
      </w:r>
      <w:proofErr w:type="spellStart"/>
      <w:r w:rsidRPr="004521A7">
        <w:rPr>
          <w:rFonts w:ascii="Arial" w:hAnsi="Arial" w:cs="Arial"/>
          <w:sz w:val="22"/>
          <w:szCs w:val="22"/>
        </w:rPr>
        <w:t>EpMotion</w:t>
      </w:r>
      <w:proofErr w:type="spellEnd"/>
      <w:r w:rsidRPr="004521A7">
        <w:rPr>
          <w:rFonts w:ascii="Arial" w:hAnsi="Arial" w:cs="Arial"/>
          <w:sz w:val="22"/>
          <w:szCs w:val="22"/>
        </w:rPr>
        <w:t xml:space="preserve"> 5075vt workstation (Eppendorf AG, Hamburg, Germany) equipped with single and eight channel pipetting tools of various volumes (50-1000</w:t>
      </w:r>
      <w:r w:rsidR="00A32A94">
        <w:rPr>
          <w:rFonts w:ascii="Arial" w:hAnsi="Arial" w:cs="Arial"/>
          <w:sz w:val="22"/>
          <w:szCs w:val="22"/>
        </w:rPr>
        <w:t xml:space="preserve"> </w:t>
      </w:r>
      <w:r w:rsidRPr="004521A7">
        <w:rPr>
          <w:rFonts w:ascii="Arial" w:hAnsi="Arial" w:cs="Arial"/>
          <w:sz w:val="22"/>
          <w:szCs w:val="22"/>
        </w:rPr>
        <w:t xml:space="preserve">µL). </w:t>
      </w:r>
    </w:p>
    <w:p w:rsidRPr="004521A7" w:rsidR="00F57B28" w:rsidP="004521A7" w:rsidRDefault="00F57B28" w14:paraId="57009C9E" w14:textId="196D6A01">
      <w:pPr>
        <w:spacing w:line="360" w:lineRule="auto"/>
        <w:rPr>
          <w:rFonts w:ascii="Arial" w:hAnsi="Arial" w:cs="Arial"/>
          <w:sz w:val="22"/>
          <w:szCs w:val="22"/>
        </w:rPr>
      </w:pPr>
      <w:r w:rsidRPr="004521A7">
        <w:rPr>
          <w:rFonts w:ascii="Arial" w:hAnsi="Arial" w:cs="Arial"/>
          <w:sz w:val="22"/>
          <w:szCs w:val="22"/>
        </w:rPr>
        <w:t xml:space="preserve">Samples (up to 82 per 96-well plate), and plasma quality controls (5 per plate) were precipitated prior to derivatization using 160µl of 0.04M </w:t>
      </w:r>
      <w:proofErr w:type="spellStart"/>
      <w:r w:rsidRPr="004521A7">
        <w:rPr>
          <w:rFonts w:ascii="Arial" w:hAnsi="Arial" w:cs="Arial"/>
          <w:sz w:val="22"/>
          <w:szCs w:val="22"/>
        </w:rPr>
        <w:t>sulphuric</w:t>
      </w:r>
      <w:proofErr w:type="spellEnd"/>
      <w:r w:rsidRPr="004521A7">
        <w:rPr>
          <w:rFonts w:ascii="Arial" w:hAnsi="Arial" w:cs="Arial"/>
          <w:sz w:val="22"/>
          <w:szCs w:val="22"/>
        </w:rPr>
        <w:t xml:space="preserve"> acid containing the internal standard and then 20µl 10% sodium tungstate. To complete the </w:t>
      </w:r>
      <w:r w:rsidRPr="004521A7" w:rsidR="00122EF4">
        <w:rPr>
          <w:rFonts w:ascii="Arial" w:hAnsi="Arial" w:cs="Arial"/>
          <w:sz w:val="22"/>
          <w:szCs w:val="22"/>
        </w:rPr>
        <w:t>precipitation</w:t>
      </w:r>
      <w:r w:rsidRPr="004521A7">
        <w:rPr>
          <w:rFonts w:ascii="Arial" w:hAnsi="Arial" w:cs="Arial"/>
          <w:sz w:val="22"/>
          <w:szCs w:val="22"/>
        </w:rPr>
        <w:t xml:space="preserve"> process</w:t>
      </w:r>
      <w:r w:rsidRPr="004521A7" w:rsidR="00EB2ACF">
        <w:rPr>
          <w:rFonts w:ascii="Arial" w:hAnsi="Arial" w:cs="Arial"/>
          <w:sz w:val="22"/>
          <w:szCs w:val="22"/>
        </w:rPr>
        <w:t>,</w:t>
      </w:r>
      <w:r w:rsidRPr="004521A7">
        <w:rPr>
          <w:rFonts w:ascii="Arial" w:hAnsi="Arial" w:cs="Arial"/>
          <w:sz w:val="22"/>
          <w:szCs w:val="22"/>
        </w:rPr>
        <w:t xml:space="preserve"> the plate was sealed, shaken for three minutes (4</w:t>
      </w:r>
      <w:r w:rsidRPr="004521A7" w:rsidR="00EB2ACF">
        <w:rPr>
          <w:rFonts w:ascii="Arial" w:hAnsi="Arial" w:cs="Arial"/>
          <w:sz w:val="22"/>
          <w:szCs w:val="22"/>
        </w:rPr>
        <w:t xml:space="preserve"> </w:t>
      </w:r>
      <w:r w:rsidRPr="004521A7">
        <w:rPr>
          <w:rFonts w:ascii="Arial" w:hAnsi="Arial" w:cs="Arial"/>
          <w:sz w:val="22"/>
          <w:szCs w:val="22"/>
        </w:rPr>
        <w:t xml:space="preserve">°C) and then centrifuged at 1000g for 10 minutes (Avanti J-15R, Beckman Coulter, Nyon, Switzerland). Twenty </w:t>
      </w:r>
      <w:r w:rsidRPr="004521A7" w:rsidR="00EB2ACF">
        <w:rPr>
          <w:rFonts w:ascii="Arial" w:hAnsi="Arial" w:cs="Arial"/>
          <w:sz w:val="22"/>
          <w:szCs w:val="22"/>
        </w:rPr>
        <w:t>microliters</w:t>
      </w:r>
      <w:r w:rsidRPr="004521A7">
        <w:rPr>
          <w:rFonts w:ascii="Arial" w:hAnsi="Arial" w:cs="Arial"/>
          <w:sz w:val="22"/>
          <w:szCs w:val="22"/>
        </w:rPr>
        <w:t xml:space="preserve"> of pre-prepared standards (5 different concentrations across the physiological range), aqueous quality controls (3 per plate) and each of the protein free supernatants were then transferred to a new deep-well plate in a programmed pattern for derivatization. 140</w:t>
      </w:r>
      <w:r w:rsidR="00AC3213">
        <w:rPr>
          <w:rFonts w:ascii="Arial" w:hAnsi="Arial" w:cs="Arial"/>
          <w:sz w:val="22"/>
          <w:szCs w:val="22"/>
        </w:rPr>
        <w:t xml:space="preserve"> </w:t>
      </w:r>
      <w:r w:rsidRPr="004521A7">
        <w:rPr>
          <w:rFonts w:ascii="Arial" w:hAnsi="Arial" w:cs="Arial"/>
          <w:sz w:val="22"/>
          <w:szCs w:val="22"/>
        </w:rPr>
        <w:t>µl of 0.2</w:t>
      </w:r>
      <w:r w:rsidR="00AC3213">
        <w:rPr>
          <w:rFonts w:ascii="Arial" w:hAnsi="Arial" w:cs="Arial"/>
          <w:sz w:val="22"/>
          <w:szCs w:val="22"/>
        </w:rPr>
        <w:t xml:space="preserve"> </w:t>
      </w:r>
      <w:r w:rsidRPr="004521A7">
        <w:rPr>
          <w:rFonts w:ascii="Arial" w:hAnsi="Arial" w:cs="Arial"/>
          <w:sz w:val="22"/>
          <w:szCs w:val="22"/>
        </w:rPr>
        <w:t>M borate buffer (pH 8.8) was then added to each well followed by 20</w:t>
      </w:r>
      <w:r w:rsidR="00A32A94">
        <w:rPr>
          <w:rFonts w:ascii="Arial" w:hAnsi="Arial" w:cs="Arial"/>
          <w:sz w:val="22"/>
          <w:szCs w:val="22"/>
        </w:rPr>
        <w:t xml:space="preserve"> </w:t>
      </w:r>
      <w:r w:rsidRPr="004521A7">
        <w:rPr>
          <w:rFonts w:ascii="Arial" w:hAnsi="Arial" w:cs="Arial"/>
          <w:sz w:val="22"/>
          <w:szCs w:val="22"/>
        </w:rPr>
        <w:t>µl of tagging reagent, 6-Aminoquinolyl-N-Hydroxysuccinimidyl Carbamate (AQC) (2.8</w:t>
      </w:r>
      <w:r w:rsidR="00A32A94">
        <w:rPr>
          <w:rFonts w:ascii="Arial" w:hAnsi="Arial" w:cs="Arial"/>
          <w:sz w:val="22"/>
          <w:szCs w:val="22"/>
        </w:rPr>
        <w:t xml:space="preserve"> </w:t>
      </w:r>
      <w:r w:rsidRPr="004521A7">
        <w:rPr>
          <w:rFonts w:ascii="Arial" w:hAnsi="Arial" w:cs="Arial"/>
          <w:sz w:val="22"/>
          <w:szCs w:val="22"/>
        </w:rPr>
        <w:t>mg/ml in acetonitrile). The plate was then sealed and heated at 55</w:t>
      </w:r>
      <w:r w:rsidR="00A32A94">
        <w:rPr>
          <w:rFonts w:ascii="Arial" w:hAnsi="Arial" w:cs="Arial"/>
          <w:sz w:val="22"/>
          <w:szCs w:val="22"/>
        </w:rPr>
        <w:t xml:space="preserve"> </w:t>
      </w:r>
      <w:r w:rsidRPr="004521A7">
        <w:rPr>
          <w:rFonts w:ascii="Arial" w:hAnsi="Arial" w:cs="Arial"/>
          <w:sz w:val="22"/>
          <w:szCs w:val="22"/>
        </w:rPr>
        <w:t>°C for 10 minutes to complete the tagging reaction, then transferred to the UPLC system for analysis.</w:t>
      </w:r>
    </w:p>
    <w:p w:rsidRPr="004521A7" w:rsidR="00A55511" w:rsidP="00122EF4" w:rsidRDefault="00A55511" w14:paraId="6721BEB7" w14:textId="060313D7">
      <w:pPr>
        <w:spacing w:line="360" w:lineRule="auto"/>
        <w:rPr>
          <w:rFonts w:ascii="Arial" w:hAnsi="Arial" w:cs="Arial"/>
          <w:b/>
          <w:bCs/>
        </w:rPr>
      </w:pPr>
      <w:r w:rsidRPr="004521A7">
        <w:rPr>
          <w:rFonts w:ascii="Arial" w:hAnsi="Arial" w:cs="Arial"/>
          <w:b/>
          <w:bCs/>
        </w:rPr>
        <w:t>References</w:t>
      </w:r>
    </w:p>
    <w:sdt>
      <w:sdtPr>
        <w:rPr>
          <w:rFonts w:ascii="Arial" w:hAnsi="Arial" w:cs="Arial"/>
          <w:color w:val="000000"/>
        </w:rPr>
        <w:tag w:val="MENDELEY_BIBLIOGRAPHY"/>
        <w:id w:val="1417824737"/>
        <w:placeholder>
          <w:docPart w:val="DefaultPlaceholder_-1854013440"/>
        </w:placeholder>
      </w:sdtPr>
      <w:sdtContent>
        <w:p w:rsidRPr="004521A7" w:rsidR="00A55511" w:rsidRDefault="00A55511" w14:paraId="37E31769" w14:textId="77777777">
          <w:pPr>
            <w:autoSpaceDE w:val="0"/>
            <w:autoSpaceDN w:val="0"/>
            <w:ind w:hanging="640"/>
            <w:divId w:val="1709068721"/>
            <w:rPr>
              <w:rFonts w:ascii="Arial" w:hAnsi="Arial" w:eastAsia="Times New Roman" w:cs="Arial"/>
              <w:color w:val="000000"/>
            </w:rPr>
          </w:pPr>
          <w:r w:rsidRPr="004521A7">
            <w:rPr>
              <w:rFonts w:ascii="Arial" w:hAnsi="Arial" w:eastAsia="Times New Roman" w:cs="Arial"/>
              <w:color w:val="000000"/>
            </w:rPr>
            <w:t>1.</w:t>
          </w:r>
          <w:r w:rsidRPr="004521A7">
            <w:rPr>
              <w:rFonts w:ascii="Arial" w:hAnsi="Arial" w:eastAsia="Times New Roman" w:cs="Arial"/>
              <w:color w:val="000000"/>
            </w:rPr>
            <w:tab/>
          </w:r>
          <w:r w:rsidRPr="004521A7">
            <w:rPr>
              <w:rFonts w:ascii="Arial" w:hAnsi="Arial" w:eastAsia="Times New Roman" w:cs="Arial"/>
              <w:color w:val="000000"/>
            </w:rPr>
            <w:t xml:space="preserve">Andraos, S. </w:t>
          </w:r>
          <w:r w:rsidRPr="004521A7">
            <w:rPr>
              <w:rFonts w:ascii="Arial" w:hAnsi="Arial" w:eastAsia="Times New Roman" w:cs="Arial"/>
              <w:i/>
              <w:iCs/>
              <w:color w:val="000000"/>
            </w:rPr>
            <w:t>et al.</w:t>
          </w:r>
          <w:r w:rsidRPr="004521A7">
            <w:rPr>
              <w:rFonts w:ascii="Arial" w:hAnsi="Arial" w:eastAsia="Times New Roman" w:cs="Arial"/>
              <w:color w:val="000000"/>
            </w:rPr>
            <w:t xml:space="preserve"> Plasma B Vitamers: Population Epidemiology and Parent-Child Concordance in Children and Adults. </w:t>
          </w:r>
          <w:r w:rsidRPr="004521A7">
            <w:rPr>
              <w:rFonts w:ascii="Arial" w:hAnsi="Arial" w:eastAsia="Times New Roman" w:cs="Arial"/>
              <w:i/>
              <w:iCs/>
              <w:color w:val="000000"/>
            </w:rPr>
            <w:t>Nutrients 2021, Vol. 13, Page 821</w:t>
          </w:r>
          <w:r w:rsidRPr="004521A7">
            <w:rPr>
              <w:rFonts w:ascii="Arial" w:hAnsi="Arial" w:eastAsia="Times New Roman" w:cs="Arial"/>
              <w:color w:val="000000"/>
            </w:rPr>
            <w:t xml:space="preserve"> </w:t>
          </w:r>
          <w:r w:rsidRPr="004521A7">
            <w:rPr>
              <w:rFonts w:ascii="Arial" w:hAnsi="Arial" w:eastAsia="Times New Roman" w:cs="Arial"/>
              <w:bCs/>
              <w:color w:val="000000"/>
            </w:rPr>
            <w:t>13</w:t>
          </w:r>
          <w:r w:rsidRPr="004521A7">
            <w:rPr>
              <w:rFonts w:ascii="Arial" w:hAnsi="Arial" w:eastAsia="Times New Roman" w:cs="Arial"/>
              <w:color w:val="000000"/>
            </w:rPr>
            <w:t>, 821 (2021).</w:t>
          </w:r>
        </w:p>
        <w:p w:rsidRPr="004521A7" w:rsidR="00A55511" w:rsidRDefault="00A55511" w14:paraId="1E05F63B" w14:textId="77777777">
          <w:pPr>
            <w:autoSpaceDE w:val="0"/>
            <w:autoSpaceDN w:val="0"/>
            <w:ind w:hanging="640"/>
            <w:divId w:val="1269237851"/>
            <w:rPr>
              <w:rFonts w:ascii="Arial" w:hAnsi="Arial" w:eastAsia="Times New Roman" w:cs="Arial"/>
              <w:color w:val="000000"/>
            </w:rPr>
          </w:pPr>
          <w:r w:rsidRPr="004521A7">
            <w:rPr>
              <w:rFonts w:ascii="Arial" w:hAnsi="Arial" w:eastAsia="Times New Roman" w:cs="Arial"/>
              <w:color w:val="000000"/>
            </w:rPr>
            <w:t>2.</w:t>
          </w:r>
          <w:r w:rsidRPr="004521A7">
            <w:rPr>
              <w:rFonts w:ascii="Arial" w:hAnsi="Arial" w:eastAsia="Times New Roman" w:cs="Arial"/>
              <w:color w:val="000000"/>
            </w:rPr>
            <w:tab/>
          </w:r>
          <w:r w:rsidRPr="004521A7">
            <w:rPr>
              <w:rFonts w:ascii="Arial" w:hAnsi="Arial" w:eastAsia="Times New Roman" w:cs="Arial"/>
              <w:color w:val="000000"/>
            </w:rPr>
            <w:t xml:space="preserve">Milan, A. M. </w:t>
          </w:r>
          <w:r w:rsidRPr="004521A7">
            <w:rPr>
              <w:rFonts w:ascii="Arial" w:hAnsi="Arial" w:eastAsia="Times New Roman" w:cs="Arial"/>
              <w:i/>
              <w:iCs/>
              <w:color w:val="000000"/>
            </w:rPr>
            <w:t>et al.</w:t>
          </w:r>
          <w:r w:rsidRPr="004521A7">
            <w:rPr>
              <w:rFonts w:ascii="Arial" w:hAnsi="Arial" w:eastAsia="Times New Roman" w:cs="Arial"/>
              <w:color w:val="000000"/>
            </w:rPr>
            <w:t xml:space="preserve"> The impact of heat treatment of bovine milk on gastric emptying and nutrient appearance in peripheral circulation in healthy females: a randomized controlled trial comparing pasteurized and ultra-high temperature milk. </w:t>
          </w:r>
          <w:r w:rsidRPr="004521A7">
            <w:rPr>
              <w:rFonts w:ascii="Arial" w:hAnsi="Arial" w:eastAsia="Times New Roman" w:cs="Arial"/>
              <w:i/>
              <w:iCs/>
              <w:color w:val="000000"/>
            </w:rPr>
            <w:t xml:space="preserve">Am J Clin </w:t>
          </w:r>
          <w:proofErr w:type="spellStart"/>
          <w:r w:rsidRPr="004521A7">
            <w:rPr>
              <w:rFonts w:ascii="Arial" w:hAnsi="Arial" w:eastAsia="Times New Roman" w:cs="Arial"/>
              <w:i/>
              <w:iCs/>
              <w:color w:val="000000"/>
            </w:rPr>
            <w:t>Nutr</w:t>
          </w:r>
          <w:proofErr w:type="spellEnd"/>
          <w:r w:rsidRPr="004521A7">
            <w:rPr>
              <w:rFonts w:ascii="Arial" w:hAnsi="Arial" w:eastAsia="Times New Roman" w:cs="Arial"/>
              <w:color w:val="000000"/>
            </w:rPr>
            <w:t xml:space="preserve"> </w:t>
          </w:r>
          <w:r w:rsidRPr="004521A7">
            <w:rPr>
              <w:rFonts w:ascii="Arial" w:hAnsi="Arial" w:eastAsia="Times New Roman" w:cs="Arial"/>
              <w:bCs/>
              <w:color w:val="000000"/>
            </w:rPr>
            <w:t>119</w:t>
          </w:r>
          <w:r w:rsidRPr="004521A7">
            <w:rPr>
              <w:rFonts w:ascii="Arial" w:hAnsi="Arial" w:eastAsia="Times New Roman" w:cs="Arial"/>
              <w:color w:val="000000"/>
            </w:rPr>
            <w:t>, 1200–1215 (2024).</w:t>
          </w:r>
        </w:p>
        <w:p w:rsidRPr="004521A7" w:rsidR="003727D1" w:rsidP="00122EF4" w:rsidRDefault="00A55511" w14:paraId="3587A114" w14:textId="65C3FC2A">
          <w:pPr>
            <w:spacing w:line="360" w:lineRule="auto"/>
            <w:rPr>
              <w:rFonts w:ascii="Arial" w:hAnsi="Arial" w:cs="Arial"/>
            </w:rPr>
          </w:pPr>
          <w:r w:rsidRPr="004521A7">
            <w:rPr>
              <w:rFonts w:ascii="Arial" w:hAnsi="Arial" w:eastAsia="Times New Roman" w:cs="Arial"/>
              <w:color w:val="000000"/>
            </w:rPr>
            <w:t> </w:t>
          </w:r>
        </w:p>
      </w:sdtContent>
      <w:sdtEndPr>
        <w:rPr>
          <w:rFonts w:ascii="Arial" w:hAnsi="Arial" w:cs="Arial"/>
          <w:color w:val="000000" w:themeColor="text1" w:themeTint="FF" w:themeShade="FF"/>
        </w:rPr>
      </w:sdtEndPr>
    </w:sdt>
    <w:p w:rsidRPr="004521A7" w:rsidR="001F1862" w:rsidRDefault="001F1862" w14:paraId="0AD9EB5D" w14:textId="77777777">
      <w:pPr>
        <w:rPr>
          <w:rFonts w:ascii="Arial" w:hAnsi="Arial" w:cs="Arial"/>
        </w:rPr>
      </w:pPr>
    </w:p>
    <w:sectPr w:rsidRPr="004521A7" w:rsidR="001F1862">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8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D00"/>
    <w:rsid w:val="000054B8"/>
    <w:rsid w:val="00052026"/>
    <w:rsid w:val="000A697E"/>
    <w:rsid w:val="000D3EAA"/>
    <w:rsid w:val="000F2D48"/>
    <w:rsid w:val="00122EF4"/>
    <w:rsid w:val="001C7AA9"/>
    <w:rsid w:val="001D36BE"/>
    <w:rsid w:val="001E24FF"/>
    <w:rsid w:val="001F1862"/>
    <w:rsid w:val="0033389A"/>
    <w:rsid w:val="00362C65"/>
    <w:rsid w:val="003727D1"/>
    <w:rsid w:val="004521A7"/>
    <w:rsid w:val="004628AA"/>
    <w:rsid w:val="00600B0E"/>
    <w:rsid w:val="006066CD"/>
    <w:rsid w:val="006C57AB"/>
    <w:rsid w:val="0074471D"/>
    <w:rsid w:val="00801D61"/>
    <w:rsid w:val="008C1403"/>
    <w:rsid w:val="00914469"/>
    <w:rsid w:val="009A531A"/>
    <w:rsid w:val="009D7965"/>
    <w:rsid w:val="00A14881"/>
    <w:rsid w:val="00A21F30"/>
    <w:rsid w:val="00A32A94"/>
    <w:rsid w:val="00A55511"/>
    <w:rsid w:val="00AC3213"/>
    <w:rsid w:val="00AD3FA4"/>
    <w:rsid w:val="00AD5830"/>
    <w:rsid w:val="00B37237"/>
    <w:rsid w:val="00BD3853"/>
    <w:rsid w:val="00C46991"/>
    <w:rsid w:val="00C8451D"/>
    <w:rsid w:val="00CB5E42"/>
    <w:rsid w:val="00CF7D00"/>
    <w:rsid w:val="00D226DA"/>
    <w:rsid w:val="00D83D70"/>
    <w:rsid w:val="00E04988"/>
    <w:rsid w:val="00E514C8"/>
    <w:rsid w:val="00EB2ACF"/>
    <w:rsid w:val="00F57B28"/>
    <w:rsid w:val="00F93935"/>
    <w:rsid w:val="00FC4B4D"/>
    <w:rsid w:val="2229B513"/>
    <w:rsid w:val="2ADECB8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2A226"/>
  <w15:chartTrackingRefBased/>
  <w15:docId w15:val="{CEF3F905-E555-45C1-AA5C-EE7ED29EB3D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F7D00"/>
    <w:pPr>
      <w:spacing w:line="279" w:lineRule="auto"/>
    </w:pPr>
    <w:rPr>
      <w:rFonts w:eastAsiaTheme="minorEastAsia"/>
      <w:kern w:val="0"/>
      <w:sz w:val="24"/>
      <w:szCs w:val="24"/>
      <w:lang w:val="en-US" w:eastAsia="ja-JP"/>
      <w14:ligatures w14:val="none"/>
    </w:rPr>
  </w:style>
  <w:style w:type="paragraph" w:styleId="Heading1">
    <w:name w:val="heading 1"/>
    <w:basedOn w:val="Normal"/>
    <w:next w:val="Normal"/>
    <w:link w:val="Heading1Char"/>
    <w:uiPriority w:val="9"/>
    <w:qFormat/>
    <w:rsid w:val="00CF7D00"/>
    <w:pPr>
      <w:keepNext/>
      <w:keepLines/>
      <w:spacing w:before="360" w:after="80" w:line="259" w:lineRule="auto"/>
      <w:outlineLvl w:val="0"/>
    </w:pPr>
    <w:rPr>
      <w:rFonts w:asciiTheme="majorHAnsi" w:hAnsiTheme="majorHAnsi" w:eastAsiaTheme="majorEastAsia" w:cstheme="majorBidi"/>
      <w:color w:val="0F4761" w:themeColor="accent1" w:themeShade="BF"/>
      <w:kern w:val="2"/>
      <w:sz w:val="40"/>
      <w:szCs w:val="40"/>
      <w:lang w:val="en-NZ" w:eastAsia="en-US"/>
      <w14:ligatures w14:val="standardContextual"/>
    </w:rPr>
  </w:style>
  <w:style w:type="paragraph" w:styleId="Heading2">
    <w:name w:val="heading 2"/>
    <w:basedOn w:val="Normal"/>
    <w:next w:val="Normal"/>
    <w:link w:val="Heading2Char"/>
    <w:uiPriority w:val="9"/>
    <w:semiHidden/>
    <w:unhideWhenUsed/>
    <w:qFormat/>
    <w:rsid w:val="00CF7D00"/>
    <w:pPr>
      <w:keepNext/>
      <w:keepLines/>
      <w:spacing w:before="160" w:after="80" w:line="259" w:lineRule="auto"/>
      <w:outlineLvl w:val="1"/>
    </w:pPr>
    <w:rPr>
      <w:rFonts w:asciiTheme="majorHAnsi" w:hAnsiTheme="majorHAnsi" w:eastAsiaTheme="majorEastAsia" w:cstheme="majorBidi"/>
      <w:color w:val="0F4761" w:themeColor="accent1" w:themeShade="BF"/>
      <w:kern w:val="2"/>
      <w:sz w:val="32"/>
      <w:szCs w:val="32"/>
      <w:lang w:val="en-NZ" w:eastAsia="en-US"/>
      <w14:ligatures w14:val="standardContextual"/>
    </w:rPr>
  </w:style>
  <w:style w:type="paragraph" w:styleId="Heading3">
    <w:name w:val="heading 3"/>
    <w:basedOn w:val="Normal"/>
    <w:next w:val="Normal"/>
    <w:link w:val="Heading3Char"/>
    <w:uiPriority w:val="9"/>
    <w:semiHidden/>
    <w:unhideWhenUsed/>
    <w:qFormat/>
    <w:rsid w:val="00CF7D00"/>
    <w:pPr>
      <w:keepNext/>
      <w:keepLines/>
      <w:spacing w:before="160" w:after="80" w:line="259" w:lineRule="auto"/>
      <w:outlineLvl w:val="2"/>
    </w:pPr>
    <w:rPr>
      <w:rFonts w:eastAsiaTheme="majorEastAsia" w:cstheme="majorBidi"/>
      <w:color w:val="0F4761" w:themeColor="accent1" w:themeShade="BF"/>
      <w:kern w:val="2"/>
      <w:sz w:val="28"/>
      <w:szCs w:val="28"/>
      <w:lang w:val="en-NZ" w:eastAsia="en-US"/>
      <w14:ligatures w14:val="standardContextual"/>
    </w:rPr>
  </w:style>
  <w:style w:type="paragraph" w:styleId="Heading4">
    <w:name w:val="heading 4"/>
    <w:basedOn w:val="Normal"/>
    <w:next w:val="Normal"/>
    <w:link w:val="Heading4Char"/>
    <w:uiPriority w:val="9"/>
    <w:semiHidden/>
    <w:unhideWhenUsed/>
    <w:qFormat/>
    <w:rsid w:val="00CF7D00"/>
    <w:pPr>
      <w:keepNext/>
      <w:keepLines/>
      <w:spacing w:before="80" w:after="40" w:line="259" w:lineRule="auto"/>
      <w:outlineLvl w:val="3"/>
    </w:pPr>
    <w:rPr>
      <w:rFonts w:eastAsiaTheme="majorEastAsia" w:cstheme="majorBidi"/>
      <w:i/>
      <w:iCs/>
      <w:color w:val="0F4761" w:themeColor="accent1" w:themeShade="BF"/>
      <w:kern w:val="2"/>
      <w:sz w:val="22"/>
      <w:szCs w:val="22"/>
      <w:lang w:val="en-NZ" w:eastAsia="en-US"/>
      <w14:ligatures w14:val="standardContextual"/>
    </w:rPr>
  </w:style>
  <w:style w:type="paragraph" w:styleId="Heading5">
    <w:name w:val="heading 5"/>
    <w:basedOn w:val="Normal"/>
    <w:next w:val="Normal"/>
    <w:link w:val="Heading5Char"/>
    <w:uiPriority w:val="9"/>
    <w:semiHidden/>
    <w:unhideWhenUsed/>
    <w:qFormat/>
    <w:rsid w:val="00CF7D00"/>
    <w:pPr>
      <w:keepNext/>
      <w:keepLines/>
      <w:spacing w:before="80" w:after="40" w:line="259" w:lineRule="auto"/>
      <w:outlineLvl w:val="4"/>
    </w:pPr>
    <w:rPr>
      <w:rFonts w:eastAsiaTheme="majorEastAsia" w:cstheme="majorBidi"/>
      <w:color w:val="0F4761" w:themeColor="accent1" w:themeShade="BF"/>
      <w:kern w:val="2"/>
      <w:sz w:val="22"/>
      <w:szCs w:val="22"/>
      <w:lang w:val="en-NZ" w:eastAsia="en-US"/>
      <w14:ligatures w14:val="standardContextual"/>
    </w:rPr>
  </w:style>
  <w:style w:type="paragraph" w:styleId="Heading6">
    <w:name w:val="heading 6"/>
    <w:basedOn w:val="Normal"/>
    <w:next w:val="Normal"/>
    <w:link w:val="Heading6Char"/>
    <w:uiPriority w:val="9"/>
    <w:semiHidden/>
    <w:unhideWhenUsed/>
    <w:qFormat/>
    <w:rsid w:val="00CF7D00"/>
    <w:pPr>
      <w:keepNext/>
      <w:keepLines/>
      <w:spacing w:before="40" w:after="0" w:line="259" w:lineRule="auto"/>
      <w:outlineLvl w:val="5"/>
    </w:pPr>
    <w:rPr>
      <w:rFonts w:eastAsiaTheme="majorEastAsia" w:cstheme="majorBidi"/>
      <w:i/>
      <w:iCs/>
      <w:color w:val="595959" w:themeColor="text1" w:themeTint="A6"/>
      <w:kern w:val="2"/>
      <w:sz w:val="22"/>
      <w:szCs w:val="22"/>
      <w:lang w:val="en-NZ" w:eastAsia="en-US"/>
      <w14:ligatures w14:val="standardContextual"/>
    </w:rPr>
  </w:style>
  <w:style w:type="paragraph" w:styleId="Heading7">
    <w:name w:val="heading 7"/>
    <w:basedOn w:val="Normal"/>
    <w:next w:val="Normal"/>
    <w:link w:val="Heading7Char"/>
    <w:uiPriority w:val="9"/>
    <w:semiHidden/>
    <w:unhideWhenUsed/>
    <w:qFormat/>
    <w:rsid w:val="00CF7D00"/>
    <w:pPr>
      <w:keepNext/>
      <w:keepLines/>
      <w:spacing w:before="40" w:after="0" w:line="259" w:lineRule="auto"/>
      <w:outlineLvl w:val="6"/>
    </w:pPr>
    <w:rPr>
      <w:rFonts w:eastAsiaTheme="majorEastAsia" w:cstheme="majorBidi"/>
      <w:color w:val="595959" w:themeColor="text1" w:themeTint="A6"/>
      <w:kern w:val="2"/>
      <w:sz w:val="22"/>
      <w:szCs w:val="22"/>
      <w:lang w:val="en-NZ" w:eastAsia="en-US"/>
      <w14:ligatures w14:val="standardContextual"/>
    </w:rPr>
  </w:style>
  <w:style w:type="paragraph" w:styleId="Heading8">
    <w:name w:val="heading 8"/>
    <w:basedOn w:val="Normal"/>
    <w:next w:val="Normal"/>
    <w:link w:val="Heading8Char"/>
    <w:uiPriority w:val="9"/>
    <w:semiHidden/>
    <w:unhideWhenUsed/>
    <w:qFormat/>
    <w:rsid w:val="00CF7D00"/>
    <w:pPr>
      <w:keepNext/>
      <w:keepLines/>
      <w:spacing w:after="0" w:line="259" w:lineRule="auto"/>
      <w:outlineLvl w:val="7"/>
    </w:pPr>
    <w:rPr>
      <w:rFonts w:eastAsiaTheme="majorEastAsia" w:cstheme="majorBidi"/>
      <w:i/>
      <w:iCs/>
      <w:color w:val="272727" w:themeColor="text1" w:themeTint="D8"/>
      <w:kern w:val="2"/>
      <w:sz w:val="22"/>
      <w:szCs w:val="22"/>
      <w:lang w:val="en-NZ" w:eastAsia="en-US"/>
      <w14:ligatures w14:val="standardContextual"/>
    </w:rPr>
  </w:style>
  <w:style w:type="paragraph" w:styleId="Heading9">
    <w:name w:val="heading 9"/>
    <w:basedOn w:val="Normal"/>
    <w:next w:val="Normal"/>
    <w:link w:val="Heading9Char"/>
    <w:uiPriority w:val="9"/>
    <w:semiHidden/>
    <w:unhideWhenUsed/>
    <w:qFormat/>
    <w:rsid w:val="00CF7D00"/>
    <w:pPr>
      <w:keepNext/>
      <w:keepLines/>
      <w:spacing w:after="0" w:line="259" w:lineRule="auto"/>
      <w:outlineLvl w:val="8"/>
    </w:pPr>
    <w:rPr>
      <w:rFonts w:eastAsiaTheme="majorEastAsia" w:cstheme="majorBidi"/>
      <w:color w:val="272727" w:themeColor="text1" w:themeTint="D8"/>
      <w:kern w:val="2"/>
      <w:sz w:val="22"/>
      <w:szCs w:val="22"/>
      <w:lang w:val="en-NZ" w:eastAsia="en-US"/>
      <w14:ligatures w14:val="standardContextua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CF7D00"/>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CF7D00"/>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CF7D00"/>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CF7D00"/>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CF7D00"/>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CF7D00"/>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CF7D00"/>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CF7D00"/>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CF7D00"/>
    <w:rPr>
      <w:rFonts w:eastAsiaTheme="majorEastAsia" w:cstheme="majorBidi"/>
      <w:color w:val="272727" w:themeColor="text1" w:themeTint="D8"/>
    </w:rPr>
  </w:style>
  <w:style w:type="paragraph" w:styleId="Title">
    <w:name w:val="Title"/>
    <w:basedOn w:val="Normal"/>
    <w:next w:val="Normal"/>
    <w:link w:val="TitleChar"/>
    <w:uiPriority w:val="10"/>
    <w:qFormat/>
    <w:rsid w:val="00CF7D00"/>
    <w:pPr>
      <w:spacing w:after="80" w:line="240" w:lineRule="auto"/>
      <w:contextualSpacing/>
    </w:pPr>
    <w:rPr>
      <w:rFonts w:asciiTheme="majorHAnsi" w:hAnsiTheme="majorHAnsi" w:eastAsiaTheme="majorEastAsia" w:cstheme="majorBidi"/>
      <w:spacing w:val="-10"/>
      <w:kern w:val="28"/>
      <w:sz w:val="56"/>
      <w:szCs w:val="56"/>
      <w:lang w:val="en-NZ" w:eastAsia="en-US"/>
      <w14:ligatures w14:val="standardContextual"/>
    </w:rPr>
  </w:style>
  <w:style w:type="character" w:styleId="TitleChar" w:customStyle="1">
    <w:name w:val="Title Char"/>
    <w:basedOn w:val="DefaultParagraphFont"/>
    <w:link w:val="Title"/>
    <w:uiPriority w:val="10"/>
    <w:rsid w:val="00CF7D00"/>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CF7D00"/>
    <w:pPr>
      <w:numPr>
        <w:ilvl w:val="1"/>
      </w:numPr>
      <w:spacing w:line="259" w:lineRule="auto"/>
    </w:pPr>
    <w:rPr>
      <w:rFonts w:eastAsiaTheme="majorEastAsia" w:cstheme="majorBidi"/>
      <w:color w:val="595959" w:themeColor="text1" w:themeTint="A6"/>
      <w:spacing w:val="15"/>
      <w:kern w:val="2"/>
      <w:sz w:val="28"/>
      <w:szCs w:val="28"/>
      <w:lang w:val="en-NZ" w:eastAsia="en-US"/>
      <w14:ligatures w14:val="standardContextual"/>
    </w:rPr>
  </w:style>
  <w:style w:type="character" w:styleId="SubtitleChar" w:customStyle="1">
    <w:name w:val="Subtitle Char"/>
    <w:basedOn w:val="DefaultParagraphFont"/>
    <w:link w:val="Subtitle"/>
    <w:uiPriority w:val="11"/>
    <w:rsid w:val="00CF7D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7D00"/>
    <w:pPr>
      <w:spacing w:before="160" w:line="259" w:lineRule="auto"/>
      <w:jc w:val="center"/>
    </w:pPr>
    <w:rPr>
      <w:rFonts w:eastAsiaTheme="minorHAnsi"/>
      <w:i/>
      <w:iCs/>
      <w:color w:val="404040" w:themeColor="text1" w:themeTint="BF"/>
      <w:kern w:val="2"/>
      <w:sz w:val="22"/>
      <w:szCs w:val="22"/>
      <w:lang w:val="en-NZ" w:eastAsia="en-US"/>
      <w14:ligatures w14:val="standardContextual"/>
    </w:rPr>
  </w:style>
  <w:style w:type="character" w:styleId="QuoteChar" w:customStyle="1">
    <w:name w:val="Quote Char"/>
    <w:basedOn w:val="DefaultParagraphFont"/>
    <w:link w:val="Quote"/>
    <w:uiPriority w:val="29"/>
    <w:rsid w:val="00CF7D00"/>
    <w:rPr>
      <w:i/>
      <w:iCs/>
      <w:color w:val="404040" w:themeColor="text1" w:themeTint="BF"/>
    </w:rPr>
  </w:style>
  <w:style w:type="paragraph" w:styleId="ListParagraph">
    <w:name w:val="List Paragraph"/>
    <w:basedOn w:val="Normal"/>
    <w:uiPriority w:val="34"/>
    <w:qFormat/>
    <w:rsid w:val="00CF7D00"/>
    <w:pPr>
      <w:spacing w:line="259" w:lineRule="auto"/>
      <w:ind w:left="720"/>
      <w:contextualSpacing/>
    </w:pPr>
    <w:rPr>
      <w:rFonts w:eastAsiaTheme="minorHAnsi"/>
      <w:kern w:val="2"/>
      <w:sz w:val="22"/>
      <w:szCs w:val="22"/>
      <w:lang w:val="en-NZ" w:eastAsia="en-US"/>
      <w14:ligatures w14:val="standardContextual"/>
    </w:rPr>
  </w:style>
  <w:style w:type="character" w:styleId="IntenseEmphasis">
    <w:name w:val="Intense Emphasis"/>
    <w:basedOn w:val="DefaultParagraphFont"/>
    <w:uiPriority w:val="21"/>
    <w:qFormat/>
    <w:rsid w:val="00CF7D00"/>
    <w:rPr>
      <w:i/>
      <w:iCs/>
      <w:color w:val="0F4761" w:themeColor="accent1" w:themeShade="BF"/>
    </w:rPr>
  </w:style>
  <w:style w:type="paragraph" w:styleId="IntenseQuote">
    <w:name w:val="Intense Quote"/>
    <w:basedOn w:val="Normal"/>
    <w:next w:val="Normal"/>
    <w:link w:val="IntenseQuoteChar"/>
    <w:uiPriority w:val="30"/>
    <w:qFormat/>
    <w:rsid w:val="00CF7D00"/>
    <w:pPr>
      <w:pBdr>
        <w:top w:val="single" w:color="0F4761" w:themeColor="accent1" w:themeShade="BF" w:sz="4" w:space="10"/>
        <w:bottom w:val="single" w:color="0F4761" w:themeColor="accent1" w:themeShade="BF" w:sz="4" w:space="10"/>
      </w:pBdr>
      <w:spacing w:before="360" w:after="360" w:line="259" w:lineRule="auto"/>
      <w:ind w:left="864" w:right="864"/>
      <w:jc w:val="center"/>
    </w:pPr>
    <w:rPr>
      <w:rFonts w:eastAsiaTheme="minorHAnsi"/>
      <w:i/>
      <w:iCs/>
      <w:color w:val="0F4761" w:themeColor="accent1" w:themeShade="BF"/>
      <w:kern w:val="2"/>
      <w:sz w:val="22"/>
      <w:szCs w:val="22"/>
      <w:lang w:val="en-NZ" w:eastAsia="en-US"/>
      <w14:ligatures w14:val="standardContextual"/>
    </w:rPr>
  </w:style>
  <w:style w:type="character" w:styleId="IntenseQuoteChar" w:customStyle="1">
    <w:name w:val="Intense Quote Char"/>
    <w:basedOn w:val="DefaultParagraphFont"/>
    <w:link w:val="IntenseQuote"/>
    <w:uiPriority w:val="30"/>
    <w:rsid w:val="00CF7D00"/>
    <w:rPr>
      <w:i/>
      <w:iCs/>
      <w:color w:val="0F4761" w:themeColor="accent1" w:themeShade="BF"/>
    </w:rPr>
  </w:style>
  <w:style w:type="character" w:styleId="IntenseReference">
    <w:name w:val="Intense Reference"/>
    <w:basedOn w:val="DefaultParagraphFont"/>
    <w:uiPriority w:val="32"/>
    <w:qFormat/>
    <w:rsid w:val="00CF7D00"/>
    <w:rPr>
      <w:b/>
      <w:bCs/>
      <w:smallCaps/>
      <w:color w:val="0F4761" w:themeColor="accent1" w:themeShade="BF"/>
      <w:spacing w:val="5"/>
    </w:rPr>
  </w:style>
  <w:style w:type="character" w:styleId="CommentReference">
    <w:name w:val="annotation reference"/>
    <w:basedOn w:val="DefaultParagraphFont"/>
    <w:uiPriority w:val="99"/>
    <w:semiHidden/>
    <w:unhideWhenUsed/>
    <w:rsid w:val="00CF7D00"/>
    <w:rPr>
      <w:sz w:val="16"/>
      <w:szCs w:val="16"/>
    </w:rPr>
  </w:style>
  <w:style w:type="paragraph" w:styleId="CommentText">
    <w:name w:val="annotation text"/>
    <w:basedOn w:val="Normal"/>
    <w:link w:val="CommentTextChar"/>
    <w:uiPriority w:val="99"/>
    <w:unhideWhenUsed/>
    <w:rsid w:val="00CF7D00"/>
    <w:pPr>
      <w:spacing w:line="240" w:lineRule="auto"/>
    </w:pPr>
    <w:rPr>
      <w:rFonts w:eastAsiaTheme="minorHAnsi"/>
      <w:kern w:val="2"/>
      <w:sz w:val="20"/>
      <w:szCs w:val="20"/>
      <w:lang w:val="en-NZ" w:eastAsia="en-US"/>
      <w14:ligatures w14:val="standardContextual"/>
    </w:rPr>
  </w:style>
  <w:style w:type="character" w:styleId="CommentTextChar" w:customStyle="1">
    <w:name w:val="Comment Text Char"/>
    <w:basedOn w:val="DefaultParagraphFont"/>
    <w:link w:val="CommentText"/>
    <w:uiPriority w:val="99"/>
    <w:rsid w:val="00CF7D00"/>
    <w:rPr>
      <w:sz w:val="20"/>
      <w:szCs w:val="20"/>
    </w:rPr>
  </w:style>
  <w:style w:type="paragraph" w:styleId="CommentSubject">
    <w:name w:val="annotation subject"/>
    <w:basedOn w:val="CommentText"/>
    <w:next w:val="CommentText"/>
    <w:link w:val="CommentSubjectChar"/>
    <w:uiPriority w:val="99"/>
    <w:semiHidden/>
    <w:unhideWhenUsed/>
    <w:rsid w:val="00914469"/>
    <w:rPr>
      <w:rFonts w:eastAsiaTheme="minorEastAsia"/>
      <w:b/>
      <w:bCs/>
      <w:kern w:val="0"/>
      <w:lang w:val="en-US" w:eastAsia="ja-JP"/>
      <w14:ligatures w14:val="none"/>
    </w:rPr>
  </w:style>
  <w:style w:type="character" w:styleId="CommentSubjectChar" w:customStyle="1">
    <w:name w:val="Comment Subject Char"/>
    <w:basedOn w:val="CommentTextChar"/>
    <w:link w:val="CommentSubject"/>
    <w:uiPriority w:val="99"/>
    <w:semiHidden/>
    <w:rsid w:val="00914469"/>
    <w:rPr>
      <w:rFonts w:eastAsiaTheme="minorEastAsia"/>
      <w:b/>
      <w:bCs/>
      <w:kern w:val="0"/>
      <w:sz w:val="20"/>
      <w:szCs w:val="20"/>
      <w:lang w:val="en-US" w:eastAsia="ja-JP"/>
      <w14:ligatures w14:val="none"/>
    </w:rPr>
  </w:style>
  <w:style w:type="character" w:styleId="PlaceholderText">
    <w:name w:val="Placeholder Text"/>
    <w:basedOn w:val="DefaultParagraphFont"/>
    <w:uiPriority w:val="99"/>
    <w:semiHidden/>
    <w:rsid w:val="000054B8"/>
    <w:rPr>
      <w:color w:val="666666"/>
    </w:rPr>
  </w:style>
  <w:style w:type="character" w:styleId="Hyperlink">
    <w:uiPriority w:val="99"/>
    <w:name w:val="Hyperlink"/>
    <w:basedOn w:val="DefaultParagraphFont"/>
    <w:unhideWhenUsed/>
    <w:rsid w:val="2229B513"/>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9237851">
      <w:marLeft w:val="640"/>
      <w:marRight w:val="0"/>
      <w:marTop w:val="0"/>
      <w:marBottom w:val="0"/>
      <w:divBdr>
        <w:top w:val="none" w:sz="0" w:space="0" w:color="auto"/>
        <w:left w:val="none" w:sz="0" w:space="0" w:color="auto"/>
        <w:bottom w:val="none" w:sz="0" w:space="0" w:color="auto"/>
        <w:right w:val="none" w:sz="0" w:space="0" w:color="auto"/>
      </w:divBdr>
    </w:div>
    <w:div w:id="1709068721">
      <w:marLeft w:val="64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glossaryDocument" Target="glossary/document.xml" Id="rId9" /><Relationship Type="http://schemas.openxmlformats.org/officeDocument/2006/relationships/hyperlink" Target="mailto:Terrence.Forrester@uwisodeco.com" TargetMode="External" Id="R6660327f3d3c46f7" /><Relationship Type="http://schemas.openxmlformats.org/officeDocument/2006/relationships/hyperlink" Target="mailto:Charles.Nelson@childrens.harvard.edu" TargetMode="External" Id="R02b2a4708d9d4316" /><Relationship Type="http://schemas.openxmlformats.org/officeDocument/2006/relationships/hyperlink" Target="mailto:justin.osullivan@acukland.ac.nz" TargetMode="External" Id="Ra7ecfbe54d14454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5CB2513-36EF-41E4-B303-9C64F21ED766}"/>
      </w:docPartPr>
      <w:docPartBody>
        <w:p xmlns:wp14="http://schemas.microsoft.com/office/word/2010/wordml" w:rsidR="008D752B" w:rsidRDefault="00E514C8" w14:paraId="4C3E277F" wp14:textId="77777777">
          <w:r w:rsidRPr="00FF01F8">
            <w:rPr>
              <w:rStyle w:val="PlaceholderText"/>
              <w:lang w:eastAsia="en-U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4C8"/>
    <w:rsid w:val="000A4CE3"/>
    <w:rsid w:val="00B37237"/>
    <w:rsid w:val="00E514C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NZ" w:eastAsia="en-N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514C8"/>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50C2723-DA66-4FAC-A712-57144F331CDD}">
  <we:reference id="f78a3046-9e99-4300-aa2b-5814002b01a2" version="1.55.1.0" store="EXCatalog" storeType="EXCatalog"/>
  <we:alternateReferences>
    <we:reference id="WA104382081" version="1.55.1.0" store="en-US" storeType="OMEX"/>
  </we:alternateReferences>
  <we:properties>
    <we:property name="MENDELEY_BIBLIOGRAPHY_IS_DIRTY" value="false"/>
    <we:property name="MENDELEY_BIBLIOGRAPHY_LAST_MODIFIED" value="1768246360174"/>
    <we:property name="MENDELEY_CITATIONS" value="[{&quot;citationID&quot;:&quot;MENDELEY_CITATION_58487a80-fbcc-4498-8ebb-11c2d2239d3d&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&quot;,&quot;citationItems&quot;:[{&quot;id&quot;:&quot;f9687ae1-af6a-3b73-8508-9c618febc37d&quot;,&quot;itemData&quot;:{&quot;type&quot;:&quot;article-journal&quot;,&quot;id&quot;:&quot;f9687ae1-af6a-3b73-8508-9c618febc37d&quot;,&quot;title&quot;:&quot;Plasma B Vitamers: Population Epidemiology and Parent-Child Concordance in Children and Adults&quot;,&quot;author&quot;:[{&quot;family&quot;:&quot;Andraos&quot;,&quot;given&quot;:&quot;Stephanie&quot;,&quot;parse-names&quot;:false,&quot;dropping-particle&quot;:&quot;&quot;,&quot;non-dropping-particle&quot;:&quot;&quot;},{&quot;family&quot;:&quot;Jones&quot;,&quot;given&quot;:&quot;Beatrix&quot;,&quot;parse-names&quot;:false,&quot;dropping-particle&quot;:&quot;&quot;,&quot;non-dropping-particle&quot;:&quot;&quot;},{&quot;family&quot;:&quot;Wall&quot;,&quot;given&quot;:&quot;Clare&quot;,&quot;parse-names&quot;:false,&quot;dropping-particle&quot;:&quot;&quot;,&quot;non-dropping-particle&quot;:&quot;&quot;},{&quot;family&quot;:&quot;Thorstensen&quot;,&quot;given&quot;:&quot;Eric&quot;,&quot;parse-names&quot;:false,&quot;dropping-particle&quot;:&quot;&quot;,&quot;non-dropping-particle&quot;:&quot;&quot;},{&quot;family&quot;:&quot;Kussmann&quot;,&quot;given&quot;:&quot;Martin&quot;,&quot;parse-names&quot;:false,&quot;dropping-particle&quot;:&quot;&quot;,&quot;non-dropping-particle&quot;:&quot;&quot;},{&quot;family&quot;:&quot;Smith&quot;,&quot;given&quot;:&quot;David Cameron&quot;,&quot;parse-names&quot;:false,&quot;dropping-particle&quot;:&quot;&quot;,&quot;non-dropping-particle&quot;:&quot;&quot;},{&quot;family&quot;:&quot;Lange&quot;,&quot;given&quot;:&quot;Katherine&quot;,&quot;parse-names&quot;:false,&quot;dropping-particle&quot;:&quot;&quot;,&quot;non-dropping-particle&quot;:&quot;&quot;},{&quot;family&quot;:&quot;Clifford&quot;,&quot;given&quot;:&quot;Susan&quot;,&quot;parse-names&quot;:false,&quot;dropping-particle&quot;:&quot;&quot;,&quot;non-dropping-particle&quot;:&quot;&quot;},{&quot;family&quot;:&quot;Saffery&quot;,&quot;given&quot;:&quot;Richard&quot;,&quot;parse-names&quot;:false,&quot;dropping-particle&quot;:&quot;&quot;,&quot;non-dropping-particle&quot;:&quot;&quot;},{&quot;family&quot;:&quot;Burgner&quot;,&quot;given&quot;:&quot;David&quot;,&quot;parse-names&quot;:false,&quot;dropping-particle&quot;:&quot;&quot;,&quot;non-dropping-particle&quot;:&quot;&quot;},{&quot;family&quot;:&quot;Wake&quot;,&quot;given&quot;:&quot;Melissa&quot;,&quot;parse-names&quot;:false,&quot;dropping-particle&quot;:&quot;&quot;,&quot;non-dropping-particle&quot;:&quot;&quot;},{&quot;family&quot;:&quot;O’Sullivan&quot;,&quot;given&quot;:&quot;Justin&quot;,&quot;parse-names&quot;:false,&quot;dropping-particle&quot;:&quot;&quot;,&quot;non-dropping-particle&quot;:&quot;&quot;}],&quot;container-title&quot;:&quot;Nutrients 2021, Vol. 13, Page 821&quot;,&quot;accessed&quot;:{&quot;date-parts&quot;:[[2026,1,13]]},&quot;DOI&quot;:&quot;10.3390/NU13030821&quot;,&quot;ISSN&quot;:&quot;2072-6643&quot;,&quot;PMID&quot;:&quot;33801409&quot;,&quot;URL&quot;:&quot;https://www.mdpi.com/2072-6643/13/3/821/htm&quot;,&quot;issued&quot;:{&quot;date-parts&quot;:[[2021,3,2]]},&quot;page&quot;:&quot;821&quot;,&quot;abstract&quot;:&quot;Scope: B vitamers are co-enzymes involved in key physiological processes including energy production, one-carbon, and macronutrient metabolism. Studies profiling B vitamers simultaneously in parent–child dyads are scarce. Profiling B vitamers in parent–child dyads enables an insightful determination of gene–environment contributions to their circulating concentrations. We aimed to characterise: (a) parent–child dyad concordance, (b) generation (children versus adults), (c) age (within the adult subgroup (age range 28–71 years)) and (d) sex differences in plasma B vitamer concentrations in the CheckPoint study of Australian children. Methods and Results: 1166 children (11 ± 0.5 years, 51% female) and 1324 parents (44 ± 5.1 years, 87% female) took part in a biomedical assessment of a population-derived longitudinal cohort study: The Growing Up in Australia’s Child Health CheckPoint. B vitamer levels were quantified by UHPLC/MS-MS. B vitamer levels were weakly concordant between parent–child pairs (10–31% of variability explained). All B vitamer concentrations exhibited generation-specificity, except for flavin mononucleotide (FMN). The levels of thiamine, pantothenic acid, and 4-pyridoxic acid were higher in male children, and those of pantothenic acid were higher in male adults compared to their female counterparts. Conclusion: Family, age, and sex contribute to variations in the concentrations of plasma B vitamers in Australian children and adults.&quot;,&quot;publisher&quot;:&quot;Multidisciplinary Digital Publishing Institute&quot;,&quot;issue&quot;:&quot;3&quot;,&quot;volume&quot;:&quot;13&quot;,&quot;container-title-short&quot;:&quot;&quot;},&quot;isTemporary&quot;:false}]},{&quot;citationID&quot;:&quot;MENDELEY_CITATION_f0170dd0-2682-439f-9302-29809fc8adcd&quot;,&quot;properties&quot;:{&quot;noteIndex&quot;:0},&quot;isEdited&quot;:false,&quot;manualOverride&quot;:{&quot;isManuallyOverridden&quot;:false,&quot;citeprocText&quot;:&quot;&lt;sup&gt;2&lt;/sup&gt;&quot;,&quot;manualOverrideText&quot;:&quot;&quot;},&quot;citationTag&quot;:&quot;MENDELEY_CITATION_v3_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&quot;,&quot;citationItems&quot;:[{&quot;id&quot;:&quot;9d8582ab-c6c8-32f0-9797-41f1c2bf2a49&quot;,&quot;itemData&quot;:{&quot;type&quot;:&quot;article-journal&quot;,&quot;id&quot;:&quot;9d8582ab-c6c8-32f0-9797-41f1c2bf2a49&quot;,&quot;title&quot;:&quot;The impact of heat treatment of bovine milk on gastric emptying and nutrient appearance in peripheral circulation in healthy females: a randomized controlled trial comparing pasteurized and ultra-high temperature milk&quot;,&quot;author&quot;:[{&quot;family&quot;:&quot;Milan&quot;,&quot;given&quot;:&quot;Amber Marie&quot;,&quot;parse-names&quot;:false,&quot;dropping-particle&quot;:&quot;&quot;,&quot;non-dropping-particle&quot;:&quot;&quot;},{&quot;family&quot;:&quot;Barnett&quot;,&quot;given&quot;:&quot;Matthew PG&quot;,&quot;parse-names&quot;:false,&quot;dropping-particle&quot;:&quot;&quot;,&quot;non-dropping-particle&quot;:&quot;&quot;},{&quot;family&quot;:&quot;McNabb&quot;,&quot;given&quot;:&quot;Warren C.&quot;,&quot;parse-names&quot;:false,&quot;dropping-particle&quot;:&quot;&quot;,&quot;non-dropping-particle&quot;:&quot;&quot;},{&quot;family&quot;:&quot;Roy&quot;,&quot;given&quot;:&quot;Nicole C.&quot;,&quot;parse-names&quot;:false,&quot;dropping-particle&quot;:&quot;&quot;,&quot;non-dropping-particle&quot;:&quot;&quot;},{&quot;family&quot;:&quot;Coutinho&quot;,&quot;given&quot;:&quot;Schynell&quot;,&quot;parse-names&quot;:false,&quot;dropping-particle&quot;:&quot;&quot;,&quot;non-dropping-particle&quot;:&quot;&quot;},{&quot;family&quot;:&quot;Hoad&quot;,&quot;given&quot;:&quot;Caroline L.&quot;,&quot;parse-names&quot;:false,&quot;dropping-particle&quot;:&quot;&quot;,&quot;non-dropping-particle&quot;:&quot;&quot;},{&quot;family&quot;:&quot;Marciani&quot;,&quot;given&quot;:&quot;Luca&quot;,&quot;parse-names&quot;:false,&quot;dropping-particle&quot;:&quot;&quot;,&quot;non-dropping-particle&quot;:&quot;&quot;},{&quot;family&quot;:&quot;Nivins&quot;,&quot;given&quot;:&quot;Samson&quot;,&quot;parse-names&quot;:false,&quot;dropping-particle&quot;:&quot;&quot;,&quot;non-dropping-particle&quot;:&quot;&quot;},{&quot;family&quot;:&quot;Sharif&quot;,&quot;given&quot;:&quot;Hayfa&quot;,&quot;parse-names&quot;:false,&quot;dropping-particle&quot;:&quot;&quot;,&quot;non-dropping-particle&quot;:&quot;&quot;},{&quot;family&quot;:&quot;Calder&quot;,&quot;given&quot;:&quot;Stefan&quot;,&quot;parse-names&quot;:false,&quot;dropping-particle&quot;:&quot;&quot;,&quot;non-dropping-particle&quot;:&quot;&quot;},{&quot;family&quot;:&quot;Du&quot;,&quot;given&quot;:&quot;Peng&quot;,&quot;parse-names&quot;:false,&quot;dropping-particle&quot;:&quot;&quot;,&quot;non-dropping-particle&quot;:&quot;&quot;},{&quot;family&quot;:&quot;Gharibans&quot;,&quot;given&quot;:&quot;Armen A.&quot;,&quot;parse-names&quot;:false,&quot;dropping-particle&quot;:&quot;&quot;,&quot;non-dropping-particle&quot;:&quot;&quot;},{&quot;family&quot;:&quot;O'Grady&quot;,&quot;given&quot;:&quot;Greg&quot;,&quot;parse-names&quot;:false,&quot;dropping-particle&quot;:&quot;&quot;,&quot;non-dropping-particle&quot;:&quot;&quot;},{&quot;family&quot;:&quot;Fraser&quot;,&quot;given&quot;:&quot;Karl&quot;,&quot;parse-names&quot;:false,&quot;dropping-particle&quot;:&quot;&quot;,&quot;non-dropping-particle&quot;:&quot;&quot;},{&quot;family&quot;:&quot;Bernstein&quot;,&quot;given&quot;:&quot;Daniel&quot;,&quot;parse-names&quot;:false,&quot;dropping-particle&quot;:&quot;&quot;,&quot;non-dropping-particle&quot;:&quot;&quot;},{&quot;family&quot;:&quot;Rosanowski&quot;,&quot;given&quot;:&quot;Sarah M.&quot;,&quot;parse-names&quot;:false,&quot;dropping-particle&quot;:&quot;&quot;,&quot;non-dropping-particle&quot;:&quot;&quot;},{&quot;family&quot;:&quot;Sharma&quot;,&quot;given&quot;:&quot;Pankaja&quot;,&quot;parse-names&quot;:false,&quot;dropping-particle&quot;:&quot;&quot;,&quot;non-dropping-particle&quot;:&quot;&quot;},{&quot;family&quot;:&quot;Shrestha&quot;,&quot;given&quot;:&quot;Aahana&quot;,&quot;parse-names&quot;:false,&quot;dropping-particle&quot;:&quot;&quot;,&quot;non-dropping-particle&quot;:&quot;&quot;},{&quot;family&quot;:&quot;Mithen&quot;,&quot;given&quot;:&quot;Richard F.&quot;,&quot;parse-names&quot;:false,&quot;dropping-particle&quot;:&quot;&quot;,&quot;non-dropping-particle&quot;:&quot;&quot;}],&quot;container-title&quot;:&quot;The American Journal of Clinical Nutrition&quot;,&quot;container-title-short&quot;:&quot;Am J Clin Nutr&quot;,&quot;accessed&quot;:{&quot;date-parts&quot;:[[2026,1,13]]},&quot;DOI&quot;:&quot;10.1016/J.AJCNUT.2024.03.002&quot;,&quot;ISSN&quot;:&quot;0002-9165&quot;,&quot;PMID&quot;:&quot;38452857&quot;,&quot;URL&quot;:&quot;https://www.sciencedirect.com/science/article/pii/S000291652400337X?via%3Dihub&quot;,&quot;issued&quot;:{&quot;date-parts&quot;:[[2024,5,1]]},&quot;page&quot;:&quot;1200-1215&quot;,&quot;abstract&quot;:&quot;Background: Heat treatments of dairy, including pasteurization and ultra-high temperature (UHT) processing, alter milk macromolecular structures, and ultimately affect digestion. In vitro, animal, and human studies show faster nutrient release or circulating appearance after consuming UHT milk (UHT-M) compared with pasteurized milk (PAST-M), with a faster gastric emptying (GE) rate proposed as a possible mechanism. Objectives: To investigate the impact of milk heat treatment on GE as a mechanism of faster nutrient appearance in blood. We hypothesized that GE and circulating nutrient delivery following consumption would be faster for UHT-M than PAST-M. Methods: In this double-blind randomized controlled cross-over trial, healthy female (n = 20; 27.3 ± 1.4 y, mean ± SD) habitual dairy consumers, consumed 500 mL of either homogenized bovine UHT-M or PAST-M (1340 compared with 1320 kJ). Gastric content volume (GCV) emptying half-time (T50) was assessed over 3 h by magnetic resonance imaging subjective digestive symptoms, plasma amino acid, lipid and B vitamin concentrations, and gastric myoelectrical activity were measured over 5 h. Results: Although GCV T50 did not differ (102 ± 7 min compared with 89 ± 8 min, mean ± SEM, UHT-M and PAST-M, respectively; P = 0.051), GCV time to emptying 25% of the volume was 31% longer following UHT-M compared with PAST-M (42 ± 2 compared with 32 ± 4 min, P = 0.004). Although GCV remained larger for a longer duration following UHT-M (treatment × time interaction, P = 0.002), plasma essential amino acid AUC was greater following UHT-M than PAST-M (55,324 ± 3809 compared with 36,598 ± 5673 μmol·min·L-1, P = 0.006). Heat treatment did not impact gastric myoelectrical activity, plasma appetite hormone markers or subjective appetite scores. Conclusions: Contrary to expectations, GE was slower with UHT-M, yet, as anticipated, aminoacidemia was greater. The larger GCV following UHT-M suggests that gastric volume may poorly predict circulating nutrient appearance from complex food matrices. Dairy heat treatment may be an effective tool to modify nutrient release by impacting digestion kinetics. Clinical Trial Registry: www.anzctr.org.au (ACTRN12620000172909).&quot;,&quot;publisher&quot;:&quot;Elsevier&quot;,&quot;issue&quot;:&quot;5&quot;,&quot;volume&quot;:&quot;119&quot;},&quot;isTemporary&quot;:false}]}]"/>
    <we:property name="MENDELEY_CITATIONS_LOCALE_CODE" value="&quot;en-GB&quot;"/>
    <we:property name="MENDELEY_CITATIONS_STYLE" value="{&quot;id&quot;:&quot;https://www.zotero.org/styles/nature&quot;,&quot;title&quot;:&quot;Nature&quot;,&quot;format&quot;:&quot;numeric&quot;,&quot;defaultLocale&quot;:&quot;en-GB&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E65D3-0C87-4D77-9E0E-5866A73AAD26}">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Eric Thorstensen</dc:creator>
  <keywords/>
  <dc:description/>
  <lastModifiedBy>Theo Portlock</lastModifiedBy>
  <revision>32</revision>
  <dcterms:created xsi:type="dcterms:W3CDTF">2025-10-22T16:26:00.0000000Z</dcterms:created>
  <dcterms:modified xsi:type="dcterms:W3CDTF">2026-01-12T21:58:01.1324539Z</dcterms:modified>
</coreProperties>
</file>