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71B3F" w14:textId="3EB353E4" w:rsidR="00E53E51" w:rsidRDefault="005A7E09">
      <w:pPr>
        <w:pStyle w:val="1"/>
      </w:pPr>
      <w:r>
        <w:rPr>
          <w:rFonts w:cs="Times New Roman"/>
          <w:sz w:val="28"/>
        </w:rPr>
        <w:t>Post-2000 Nonlinear Escalation of Humid Heat Stress Over South Asia</w:t>
      </w:r>
    </w:p>
    <w:p w14:paraId="25D71B40" w14:textId="77777777" w:rsidR="00E53E51" w:rsidRDefault="005A7E09">
      <w:pPr>
        <w:pStyle w:val="References0"/>
        <w:jc w:val="left"/>
        <w:rPr>
          <w:vertAlign w:val="superscript"/>
        </w:rPr>
      </w:pPr>
      <w:r>
        <w:t>Prolay Saha</w:t>
      </w:r>
      <w:r>
        <w:rPr>
          <w:vertAlign w:val="superscript"/>
        </w:rPr>
        <w:t>1*</w:t>
      </w:r>
      <w:r>
        <w:rPr>
          <w:vertAlign w:val="superscript"/>
        </w:rPr>
        <w:br/>
      </w:r>
      <w:r>
        <w:t>ORCID id: 0000-0002-9404-9029</w:t>
      </w:r>
      <w:r>
        <w:rPr>
          <w:vertAlign w:val="superscript"/>
        </w:rPr>
        <w:br/>
      </w:r>
      <w:r>
        <w:t>Correspondence: end.havoc@gmail.com</w:t>
      </w:r>
    </w:p>
    <w:p w14:paraId="25D71B41" w14:textId="77777777" w:rsidR="00E53E51" w:rsidRDefault="005A7E09">
      <w:pPr>
        <w:pStyle w:val="References0"/>
        <w:jc w:val="left"/>
      </w:pPr>
      <w:r>
        <w:t>Rahul Mahanta</w:t>
      </w:r>
      <w:r>
        <w:rPr>
          <w:vertAlign w:val="superscript"/>
        </w:rPr>
        <w:t>1,2</w:t>
      </w:r>
      <w:r>
        <w:br/>
        <w:t>ORCID id: 0000-0002-0947-4291s</w:t>
      </w:r>
    </w:p>
    <w:p w14:paraId="25D71B42" w14:textId="77777777" w:rsidR="00E53E51" w:rsidRDefault="005A7E09">
      <w:pPr>
        <w:pStyle w:val="References0"/>
        <w:jc w:val="left"/>
      </w:pPr>
      <w:r>
        <w:t>Toru Terao</w:t>
      </w:r>
      <w:r>
        <w:rPr>
          <w:vertAlign w:val="superscript"/>
        </w:rPr>
        <w:t>3</w:t>
      </w:r>
    </w:p>
    <w:p w14:paraId="25D71B43" w14:textId="77777777" w:rsidR="00E53E51" w:rsidRDefault="00E53E51">
      <w:pPr>
        <w:pStyle w:val="Subsection0"/>
        <w:ind w:firstLine="480"/>
        <w:rPr>
          <w:b w:val="0"/>
          <w:bCs w:val="0"/>
        </w:rPr>
      </w:pPr>
    </w:p>
    <w:p w14:paraId="25D71B44" w14:textId="77777777" w:rsidR="00E53E51" w:rsidRDefault="005A7E09">
      <w:pPr>
        <w:pStyle w:val="Subsection0"/>
      </w:pPr>
      <w:r>
        <w:t>Author details</w:t>
      </w:r>
    </w:p>
    <w:p w14:paraId="25D71B45" w14:textId="77777777" w:rsidR="00E53E51" w:rsidRDefault="005A7E09">
      <w:pPr>
        <w:pStyle w:val="References0"/>
      </w:pPr>
      <w:r>
        <w:rPr>
          <w:vertAlign w:val="superscript"/>
        </w:rPr>
        <w:t>1</w:t>
      </w:r>
      <w:r>
        <w:t>Department of Physics, Cotton University, Guwahati, Assam, India</w:t>
      </w:r>
    </w:p>
    <w:p w14:paraId="25D71B46" w14:textId="77777777" w:rsidR="00E53E51" w:rsidRDefault="005A7E09">
      <w:pPr>
        <w:pStyle w:val="References0"/>
      </w:pPr>
      <w:r>
        <w:rPr>
          <w:vertAlign w:val="superscript"/>
        </w:rPr>
        <w:t xml:space="preserve">2 </w:t>
      </w:r>
      <w:r>
        <w:t>Centre for Clouds and Climate Change Research, Cotton University, Guwahati, Assam, India</w:t>
      </w:r>
    </w:p>
    <w:p w14:paraId="25D71B47" w14:textId="77777777" w:rsidR="00E53E51" w:rsidRDefault="005A7E09">
      <w:pPr>
        <w:pStyle w:val="References0"/>
      </w:pPr>
      <w:r>
        <w:rPr>
          <w:vertAlign w:val="superscript"/>
        </w:rPr>
        <w:t>3</w:t>
      </w:r>
      <w:r>
        <w:t>Faculty of Education, Kagawa University, Takamatsu, Kagawa, Japan</w:t>
      </w:r>
    </w:p>
    <w:p w14:paraId="25D71B48" w14:textId="77777777" w:rsidR="00E53E51" w:rsidRDefault="00E53E51"/>
    <w:p w14:paraId="25D71B49" w14:textId="77777777" w:rsidR="00E53E51" w:rsidRDefault="00E53E51"/>
    <w:p w14:paraId="25D71B4A" w14:textId="77777777" w:rsidR="00E53E51" w:rsidRDefault="00E53E51"/>
    <w:p w14:paraId="25D71B4B" w14:textId="77777777" w:rsidR="00E53E51" w:rsidRDefault="00E53E51"/>
    <w:p w14:paraId="25D71B4C" w14:textId="77777777" w:rsidR="00E53E51" w:rsidRDefault="005A7E09">
      <w:pPr>
        <w:pStyle w:val="Text0"/>
        <w:numPr>
          <w:ilvl w:val="0"/>
          <w:numId w:val="2"/>
        </w:numPr>
        <w:rPr>
          <w:rFonts w:cs="Times New Roman"/>
          <w:b/>
          <w:bCs/>
          <w:sz w:val="28"/>
          <w:szCs w:val="28"/>
        </w:rPr>
      </w:pPr>
      <w:r>
        <w:rPr>
          <w:rFonts w:cs="Times New Roman"/>
          <w:b/>
          <w:bCs/>
          <w:sz w:val="28"/>
          <w:szCs w:val="28"/>
        </w:rPr>
        <w:t>Methods in Details:</w:t>
      </w:r>
    </w:p>
    <w:p w14:paraId="25D71B4D" w14:textId="77777777" w:rsidR="00E53E51" w:rsidRDefault="005A7E09">
      <w:pPr>
        <w:pStyle w:val="Text0"/>
        <w:numPr>
          <w:ilvl w:val="1"/>
          <w:numId w:val="3"/>
        </w:numPr>
        <w:rPr>
          <w:rFonts w:cs="Times New Roman"/>
          <w:b/>
          <w:bCs/>
          <w:sz w:val="28"/>
          <w:szCs w:val="28"/>
        </w:rPr>
      </w:pPr>
      <w:r>
        <w:rPr>
          <w:rFonts w:cs="Times New Roman"/>
          <w:b/>
          <w:bCs/>
          <w:sz w:val="28"/>
          <w:szCs w:val="28"/>
        </w:rPr>
        <w:t>Computation of the Humidex Index</w:t>
      </w:r>
    </w:p>
    <w:p w14:paraId="25D71B4E" w14:textId="77777777" w:rsidR="00E53E51" w:rsidRDefault="005A7E09">
      <w:pPr>
        <w:rPr>
          <w:rFonts w:ascii="Times New Roman" w:hAnsi="Times New Roman" w:cs="Times New Roman"/>
          <w:sz w:val="24"/>
          <w:szCs w:val="24"/>
        </w:rPr>
      </w:pPr>
      <w:r>
        <w:rPr>
          <w:rFonts w:ascii="Times New Roman" w:hAnsi="Times New Roman" w:cs="Times New Roman"/>
          <w:sz w:val="24"/>
          <w:szCs w:val="24"/>
        </w:rPr>
        <w:t xml:space="preserve">The humidex (H) is defined </w:t>
      </w:r>
    </w:p>
    <w:p w14:paraId="79AD624A" w14:textId="0FF671C9" w:rsidR="004A0F16" w:rsidRDefault="004A0F16">
      <w:pPr>
        <w:rPr>
          <w:rFonts w:ascii="Times New Roman" w:hAnsi="Times New Roman" w:cs="Times New Roman"/>
          <w:sz w:val="24"/>
          <w:szCs w:val="24"/>
        </w:rPr>
      </w:pPr>
      <m:oMathPara>
        <m:oMath>
          <m:r>
            <w:rPr>
              <w:rFonts w:ascii="Cambria Math" w:hAnsi="Cambria Math"/>
            </w:rPr>
            <m:t>H=T+0.5555</m:t>
          </m:r>
          <m:d>
            <m:dPr>
              <m:ctrlPr>
                <w:rPr>
                  <w:rFonts w:ascii="Cambria Math" w:hAnsi="Cambria Math"/>
                </w:rPr>
              </m:ctrlPr>
            </m:dPr>
            <m:e>
              <m:r>
                <w:rPr>
                  <w:rFonts w:ascii="Cambria Math" w:hAnsi="Cambria Math"/>
                </w:rPr>
                <m:t>e-10</m:t>
              </m:r>
            </m:e>
          </m:d>
          <m:r>
            <w:rPr>
              <w:rFonts w:ascii="Cambria Math" w:hAnsi="Cambria Math"/>
            </w:rPr>
            <m:t xml:space="preserve">                             (1)</m:t>
          </m:r>
        </m:oMath>
      </m:oMathPara>
    </w:p>
    <w:p w14:paraId="25D71B4F" w14:textId="68407701" w:rsidR="00E53E51" w:rsidRDefault="00E53E51">
      <w:pPr>
        <w:jc w:val="center"/>
        <w:rPr>
          <w:rFonts w:cs="Times New Roman"/>
          <w:szCs w:val="24"/>
        </w:rPr>
      </w:pPr>
    </w:p>
    <w:p w14:paraId="25D71B50" w14:textId="77777777" w:rsidR="00E53E51" w:rsidRDefault="005A7E09">
      <w:pPr>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rPr>
          <m:t>e</m:t>
        </m:r>
      </m:oMath>
      <w:r>
        <w:rPr>
          <w:rFonts w:ascii="Times New Roman" w:hAnsi="Times New Roman" w:cs="Times New Roman"/>
          <w:iCs/>
          <w:sz w:val="24"/>
          <w:szCs w:val="24"/>
        </w:rPr>
        <w:t>(hP</w:t>
      </w:r>
      <w:r>
        <w:rPr>
          <w:rFonts w:ascii="Times New Roman" w:hAnsi="Times New Roman" w:cs="Times New Roman"/>
          <w:sz w:val="24"/>
          <w:szCs w:val="24"/>
        </w:rPr>
        <w:t>a) is the water-vapour pressure estimated from the dewpoint temperature as</w:t>
      </w:r>
    </w:p>
    <w:p w14:paraId="2961CAC2" w14:textId="56A24C0E" w:rsidR="004A0F16" w:rsidRDefault="004A0F16">
      <w:pPr>
        <w:rPr>
          <w:rFonts w:ascii="Times New Roman" w:hAnsi="Times New Roman" w:cs="Times New Roman"/>
          <w:sz w:val="24"/>
          <w:szCs w:val="24"/>
        </w:rPr>
      </w:pPr>
      <m:oMathPara>
        <m:oMath>
          <m:r>
            <w:rPr>
              <w:rFonts w:ascii="Cambria Math" w:hAnsi="Cambria Math"/>
            </w:rPr>
            <m:t>e=6.11×exp</m:t>
          </m:r>
          <m:d>
            <m:dPr>
              <m:begChr m:val="["/>
              <m:endChr m:val="]"/>
              <m:ctrlPr>
                <w:rPr>
                  <w:rFonts w:ascii="Cambria Math" w:hAnsi="Cambria Math"/>
                </w:rPr>
              </m:ctrlPr>
            </m:dPr>
            <m:e>
              <m:r>
                <w:rPr>
                  <w:rFonts w:ascii="Cambria Math" w:hAnsi="Cambria Math"/>
                </w:rPr>
                <m:t>5417.7530×</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273.16</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273.15+</m:t>
                      </m:r>
                      <m:sSub>
                        <m:sSubPr>
                          <m:ctrlPr>
                            <w:rPr>
                              <w:rFonts w:ascii="Cambria Math" w:hAnsi="Cambria Math"/>
                            </w:rPr>
                          </m:ctrlPr>
                        </m:sSubPr>
                        <m:e>
                          <m:r>
                            <w:rPr>
                              <w:rFonts w:ascii="Cambria Math" w:hAnsi="Cambria Math"/>
                            </w:rPr>
                            <m:t>T</m:t>
                          </m:r>
                        </m:e>
                        <m:sub>
                          <m:r>
                            <w:rPr>
                              <w:rFonts w:ascii="Cambria Math" w:hAnsi="Cambria Math"/>
                            </w:rPr>
                            <m:t>d</m:t>
                          </m:r>
                        </m:sub>
                      </m:sSub>
                    </m:den>
                  </m:f>
                </m:e>
              </m:d>
            </m:e>
          </m:d>
          <m:r>
            <w:rPr>
              <w:rFonts w:ascii="Cambria Math" w:hAnsi="Cambria Math"/>
            </w:rPr>
            <m:t xml:space="preserve">                            (2)</m:t>
          </m:r>
        </m:oMath>
      </m:oMathPara>
    </w:p>
    <w:p w14:paraId="25D71B51" w14:textId="65BB3D76" w:rsidR="00E53E51" w:rsidRDefault="00E53E51">
      <w:pPr>
        <w:jc w:val="center"/>
        <w:rPr>
          <w:rFonts w:cs="Times New Roman"/>
          <w:szCs w:val="24"/>
        </w:rPr>
      </w:pPr>
    </w:p>
    <w:p w14:paraId="25D71B52" w14:textId="77777777" w:rsidR="00E53E51" w:rsidRDefault="00E53E51">
      <w:pPr>
        <w:pStyle w:val="Text0"/>
        <w:rPr>
          <w:rFonts w:cs="Times New Roman"/>
          <w:szCs w:val="24"/>
        </w:rPr>
      </w:pPr>
    </w:p>
    <w:p w14:paraId="25D71B53" w14:textId="77777777" w:rsidR="00E53E51" w:rsidRDefault="005A7E09">
      <w:pPr>
        <w:pStyle w:val="Text0"/>
        <w:rPr>
          <w:rFonts w:cs="Times New Roman"/>
          <w:szCs w:val="24"/>
        </w:rPr>
      </w:pPr>
      <w:r>
        <w:rPr>
          <w:rFonts w:cs="Times New Roman"/>
          <w:szCs w:val="24"/>
        </w:rPr>
        <w:lastRenderedPageBreak/>
        <w:t>Both (</w:t>
      </w:r>
      <m:oMath>
        <m:r>
          <w:rPr>
            <w:rFonts w:ascii="Cambria Math" w:hAnsi="Cambria Math"/>
          </w:rPr>
          <m:t>T</m:t>
        </m:r>
      </m:oMath>
      <w:r>
        <w:rPr>
          <w:rFonts w:cs="Times New Roman"/>
          <w:szCs w:val="24"/>
        </w:rPr>
        <w:t>) and (</w:t>
      </w:r>
      <m:oMath>
        <m:sSub>
          <m:sSubPr>
            <m:ctrlPr>
              <w:rPr>
                <w:rFonts w:ascii="Cambria Math" w:hAnsi="Cambria Math"/>
              </w:rPr>
            </m:ctrlPr>
          </m:sSubPr>
          <m:e>
            <m:r>
              <w:rPr>
                <w:rFonts w:ascii="Cambria Math" w:hAnsi="Cambria Math"/>
              </w:rPr>
              <m:t>T</m:t>
            </m:r>
          </m:e>
          <m:sub>
            <m:r>
              <w:rPr>
                <w:rFonts w:ascii="Cambria Math" w:hAnsi="Cambria Math"/>
              </w:rPr>
              <m:t>d</m:t>
            </m:r>
          </m:sub>
        </m:sSub>
      </m:oMath>
      <w:r>
        <w:rPr>
          <w:rFonts w:cs="Times New Roman"/>
          <w:szCs w:val="24"/>
        </w:rPr>
        <w:t xml:space="preserve">) are expressed in °C. The humidex thus combines thermal and moisture effects to represent apparent temperature and perceived heat stress. The Canadian Centre for Occupational Health and Safety (CCOHS) </w:t>
      </w:r>
      <w:r>
        <w:fldChar w:fldCharType="begin"/>
      </w:r>
      <w:r>
        <w:rPr>
          <w:rFonts w:cs="Times New Roman"/>
          <w:szCs w:val="24"/>
        </w:rPr>
        <w:instrText>ADDIN CSL_CITATION {"citationItems":[{"id":"ITEM-1","itemData":{"author":[{"dropping-particle":"","family":"for Occupational Health","given":"Canadian Centre","non-dropping-particle":"","parse-names":false,"suffix":""},{"dropping-particle":"","family":"Safety","given":"","non-dropping-particle":"","parse-names":false,"suffix":""}],"id":"ITEM-1","issued":{"date-parts":[["2024"]]},"note":"Accessed 2024 Aug 14","title":"Humidex Rating and Work","type":"article"},"uris":["http://www.mendeley.com/documents/?uuid=d1b42a1b-1dd2-4101-a7f2-79a92410a1ea"]}],"mendeley":{"formattedCitation":"(for Occupational Health and Safety, 2024)","manualFormatting":"(for Occupational Health and Safety,2024)","plainTextFormattedCitation":"(for Occupational Health and Safety, 2024)","previouslyFormattedCitation":"(for Occupational Health and Safety, 2024)"},"properties":{"noteIndex":0},"schema":"https://github.com/citation-style-language/schema/raw/master/csl-citation.json"}</w:instrText>
      </w:r>
      <w:r>
        <w:rPr>
          <w:rFonts w:cs="Times New Roman"/>
          <w:szCs w:val="24"/>
        </w:rPr>
        <w:fldChar w:fldCharType="separate"/>
      </w:r>
      <w:r>
        <w:rPr>
          <w:rFonts w:cs="Times New Roman"/>
          <w:szCs w:val="24"/>
        </w:rPr>
        <w:t>(for Occupational Health and Safety,2024)</w:t>
      </w:r>
      <w:r>
        <w:rPr>
          <w:rFonts w:cs="Times New Roman"/>
          <w:szCs w:val="24"/>
        </w:rPr>
        <w:fldChar w:fldCharType="end"/>
      </w:r>
      <w:r>
        <w:rPr>
          <w:rFonts w:cs="Times New Roman"/>
          <w:szCs w:val="24"/>
        </w:rPr>
        <w:t xml:space="preserve"> classifies humidex values exceeding 45 °C as “dangerous” for human health; however, this threshold may not be universally applicable to South Asia due to differences in climate, topography, and population acclimatization. Consequently, region-specific percentile-based thresholds are derived here to identify heatwave conditions.</w:t>
      </w:r>
    </w:p>
    <w:p w14:paraId="25D71B54" w14:textId="77777777" w:rsidR="00E53E51" w:rsidRDefault="005A7E09">
      <w:pPr>
        <w:pStyle w:val="Text0"/>
        <w:numPr>
          <w:ilvl w:val="1"/>
          <w:numId w:val="3"/>
        </w:numPr>
        <w:rPr>
          <w:rFonts w:cs="Times New Roman"/>
          <w:b/>
          <w:bCs/>
          <w:sz w:val="28"/>
          <w:szCs w:val="28"/>
        </w:rPr>
      </w:pPr>
      <w:r>
        <w:rPr>
          <w:rFonts w:cs="Times New Roman"/>
          <w:b/>
          <w:bCs/>
          <w:sz w:val="28"/>
          <w:szCs w:val="28"/>
        </w:rPr>
        <w:t>Definition of Humidex based Heatwave Metrics</w:t>
      </w:r>
    </w:p>
    <w:p w14:paraId="25D71B55" w14:textId="77777777" w:rsidR="00E53E51" w:rsidRDefault="005A7E09">
      <w:pPr>
        <w:pStyle w:val="Text0"/>
        <w:rPr>
          <w:rFonts w:cs="Times New Roman"/>
          <w:szCs w:val="24"/>
        </w:rPr>
      </w:pPr>
      <w:r>
        <w:rPr>
          <w:rFonts w:cs="Times New Roman"/>
          <w:szCs w:val="24"/>
        </w:rPr>
        <w:t>The SAM region exhibits highly heterogeneous topography, ranging from low-lying plains to mountainous areas (Fig. S3). This study focuses on two east–west asymmetric portions of the SAM region, representing these contrasting terrains, making it essential to account for their differing thermal characteristics. In recent decades, the region has emerged as a hotspot of humid heat stress. If heatwave metrics were computed over the entire domain using simple box averages, the distinct thermal features of plains and hills would be mixed, potentially leading to misleading results. For instance, the 90th percentile of daily maximum humidex differs substantially between the two terrains, with ~44 °C in the plains and ~28 °C in the hilly regions.</w:t>
      </w:r>
    </w:p>
    <w:p w14:paraId="25D71B56" w14:textId="77777777" w:rsidR="00E53E51" w:rsidRDefault="005A7E09">
      <w:pPr>
        <w:pStyle w:val="Text0"/>
        <w:rPr>
          <w:rFonts w:cs="Times New Roman"/>
          <w:szCs w:val="24"/>
        </w:rPr>
      </w:pPr>
      <w:r>
        <w:rPr>
          <w:rFonts w:cs="Times New Roman"/>
          <w:szCs w:val="24"/>
        </w:rPr>
        <w:t xml:space="preserve">To preserve these contrasts, the dataset was masked using SRTM topography </w:t>
      </w:r>
      <w:r>
        <w:fldChar w:fldCharType="begin"/>
      </w:r>
      <w:r>
        <w:rPr>
          <w:rFonts w:cs="Times New Roman"/>
          <w:szCs w:val="24"/>
        </w:rPr>
        <w:instrText>ADDIN CSL_CITATION {"citationItems":[{"id":"ITEM-1","itemData":{"DOI":"https://doi.org/10.1029/2019EA000658","abstract":"An updated global bathymetry and topography grid is presented using a spatial sampling interval of 15 arc sec. The bathymetry is produced using a combination of shipboard soundings and depths predicted using satellite altimetry. New data consists of &gt;33.6 million multibeam and singlebeam measurements collated by several institutions, namely, the National Geospatial-Intelligence Agency, Japan Agency for Marine-Earth Science and Technology, Geoscience Australia, Center for Coastal and Ocean Mapping, and Scripps Institution of Oceanography. New altimetry data consists of 48, 14, and 12 months of retracked range measurements from Cryosat-2, SARAL/AltiKa, and Jason-2, respectively. With respect to SRTM15\\_PLUS (Olson et al.,), the inclusion of these new data results in a ∼1.4-km improvement in the minimum wavelength recovered for sea surface free-air gravity anomalies, a small increase in the accuracy of altimetrically derived predicted depths, and a 1.24\\% increase, from 9.60\\% to 10.84\\%, in the total area of ocean floor that is constrained by shipboard soundings at 15-arc sec resolution. Bathymetric grid cells constrained by satellite altimetry have estimated uncertainties of ±150 m in the deep oceans and ±180 m between coastlines and the continental rise. Onshore, topography data are sourced from previously published digital elevation models, predominately SRTM-CGIAR V4.1 between 60°N and 60°S. ArcticDEM is used above 60°N, while Reference Elevation Model of Antarctica is used below 62°S. Auxiliary grids illustrating shipboard data coverage, marine free-air gravity anomalies, and vertical gradient gradients are also provided in common data formats.","author":[{"dropping-particle":"","family":"Tozer","given":"B","non-dropping-particle":"","parse-names":false,"suffix":""},{"dropping-particle":"","family":"Sandwell","given":"D T","non-dropping-particle":"","parse-names":false,"suffix":""},{"dropping-particle":"","family":"Smith","given":"W H F","non-dropping-particle":"","parse-names":false,"suffix":""},{"dropping-particle":"","family":"Olson","given":"C","non-dropping-particle":"","parse-names":false,"suffix":""},{"dropping-particle":"","family":"Beale","given":"J R","non-dropping-particle":"","parse-names":false,"suffix":""},{"dropping-particle":"","family":"Wessel","given":"P","non-dropping-particle":"","parse-names":false,"suffix":""}],"container-title":"Earth and Space Science","id":"ITEM-1","issue":"10","issued":{"date-parts":[["2019"]]},"page":"1847-1864","title":"Global Bathymetry and Topography at 15 Arc Sec: SRTM15+","type":"article-journal","volume":"6"},"uris":["http://www.mendeley.com/documents/?uuid=19f85cca-231b-4452-8cf5-e0206ce49c88"]}],"mendeley":{"formattedCitation":"(Tozer &lt;i&gt;et al.&lt;/i&gt;, 2019)","plainTextFormattedCitation":"(Tozer et al., 2019)","previouslyFormattedCitation":"(Tozer &lt;i&gt;et al.&lt;/i&gt;, 2019)"},"properties":{"noteIndex":0},"schema":"https://github.com/citation-style-language/schema/raw/master/csl-citation.json"}</w:instrText>
      </w:r>
      <w:r>
        <w:rPr>
          <w:rFonts w:cs="Times New Roman"/>
          <w:szCs w:val="24"/>
        </w:rPr>
        <w:fldChar w:fldCharType="separate"/>
      </w:r>
      <w:r>
        <w:rPr>
          <w:rFonts w:cs="Times New Roman"/>
          <w:szCs w:val="24"/>
        </w:rPr>
        <w:t xml:space="preserve">(Tozer </w:t>
      </w:r>
      <w:r>
        <w:rPr>
          <w:rFonts w:cs="Times New Roman"/>
          <w:i/>
          <w:szCs w:val="24"/>
        </w:rPr>
        <w:t>et al.</w:t>
      </w:r>
      <w:r>
        <w:rPr>
          <w:rFonts w:cs="Times New Roman"/>
          <w:szCs w:val="24"/>
        </w:rPr>
        <w:t>, 2019)</w:t>
      </w:r>
      <w:r>
        <w:rPr>
          <w:rFonts w:cs="Times New Roman"/>
          <w:szCs w:val="24"/>
        </w:rPr>
        <w:fldChar w:fldCharType="end"/>
      </w:r>
      <w:r>
        <w:rPr>
          <w:rFonts w:cs="Times New Roman"/>
          <w:szCs w:val="24"/>
        </w:rPr>
        <w:t>: grid points with elevations below 700 m were classified as plains, while those above were classified as hilly regions. This threshold ensures a comparable number of grid points in each region and effectively isolates major highlands, such as the Meghalaya Plateau.</w:t>
      </w:r>
    </w:p>
    <w:p w14:paraId="25D71B57" w14:textId="77777777" w:rsidR="00E53E51" w:rsidRDefault="00E53E51"/>
    <w:p w14:paraId="25D71B58" w14:textId="77777777" w:rsidR="00E53E51" w:rsidRDefault="005A7E09">
      <w:pPr>
        <w:pStyle w:val="Text0"/>
        <w:rPr>
          <w:rFonts w:cs="Times New Roman"/>
          <w:szCs w:val="24"/>
        </w:rPr>
      </w:pPr>
      <w:r>
        <w:rPr>
          <w:rFonts w:cs="Times New Roman"/>
          <w:szCs w:val="24"/>
        </w:rPr>
        <w:t>To identify heatwave conditions from humidex, two percentile thresholds were employed:</w:t>
      </w:r>
    </w:p>
    <w:p w14:paraId="25D71B59" w14:textId="77777777" w:rsidR="00E53E51" w:rsidRDefault="005A7E09">
      <w:pPr>
        <w:pStyle w:val="Text0"/>
        <w:rPr>
          <w:rFonts w:cs="Times New Roman"/>
          <w:szCs w:val="24"/>
        </w:rPr>
      </w:pPr>
      <w:r>
        <w:rPr>
          <w:rFonts w:cs="Times New Roman"/>
          <w:szCs w:val="24"/>
        </w:rPr>
        <w:tab/>
        <w:t>Case I: daily maximum humidex exceeds the 90th percentile of the 1961–1990 climatology for that calendar day;</w:t>
      </w:r>
    </w:p>
    <w:p w14:paraId="25D71B5A" w14:textId="77777777" w:rsidR="00E53E51" w:rsidRDefault="005A7E09">
      <w:pPr>
        <w:pStyle w:val="Text0"/>
        <w:rPr>
          <w:rFonts w:cs="Times New Roman"/>
          <w:szCs w:val="24"/>
        </w:rPr>
      </w:pPr>
      <w:r>
        <w:rPr>
          <w:rFonts w:cs="Times New Roman"/>
          <w:szCs w:val="24"/>
        </w:rPr>
        <w:lastRenderedPageBreak/>
        <w:tab/>
        <w:t>Case II: daily maximum humidex exceeds the 95th percentile of the same climatological baseline.</w:t>
      </w:r>
    </w:p>
    <w:p w14:paraId="25D71B5B" w14:textId="77777777" w:rsidR="00E53E51" w:rsidRDefault="005A7E09">
      <w:pPr>
        <w:pStyle w:val="Text0"/>
        <w:rPr>
          <w:rFonts w:cs="Times New Roman"/>
          <w:szCs w:val="24"/>
        </w:rPr>
      </w:pPr>
      <w:r>
        <w:rPr>
          <w:rFonts w:cs="Times New Roman"/>
          <w:szCs w:val="24"/>
        </w:rPr>
        <w:t>Unlike most studies that focus on a single season, the present analysis uses year-round data (January–December) from 1940 to 2023 to identify heatwave events across all seasons. To define heatwave thresholds, daily maximum humidex values from the 1961–1990 reference period were used to calculate percentile-based thresholds (90th and 95th percentiles) for each day of the year at every grid point. This approach ensures that the threshold accounts for the seasonal background climate throughout the year.</w:t>
      </w:r>
    </w:p>
    <w:p w14:paraId="25D71B5C" w14:textId="77777777" w:rsidR="00E53E51" w:rsidRDefault="005A7E09">
      <w:pPr>
        <w:pStyle w:val="Text0"/>
        <w:rPr>
          <w:rFonts w:cs="Times New Roman"/>
          <w:szCs w:val="24"/>
        </w:rPr>
      </w:pPr>
      <w:r>
        <w:rPr>
          <w:rFonts w:cs="Times New Roman"/>
          <w:szCs w:val="24"/>
        </w:rPr>
        <w:t xml:space="preserve">For each grid point, a day is considered a humidex exceedance day when the daily maximum humidex value is higher than its corresponding climatological percentile threshold for that calendar day. When such exceedances occur for three or more consecutive days, the period is identified as a </w:t>
      </w:r>
      <w:proofErr w:type="spellStart"/>
      <w:r>
        <w:rPr>
          <w:rFonts w:cs="Times New Roman"/>
          <w:szCs w:val="24"/>
        </w:rPr>
        <w:t>heatspell</w:t>
      </w:r>
      <w:proofErr w:type="spellEnd"/>
      <w:r>
        <w:rPr>
          <w:rFonts w:cs="Times New Roman"/>
          <w:szCs w:val="24"/>
        </w:rPr>
        <w:t>.</w:t>
      </w:r>
    </w:p>
    <w:p w14:paraId="25D71B5D" w14:textId="77777777" w:rsidR="00E53E51" w:rsidRDefault="005A7E09">
      <w:pPr>
        <w:pStyle w:val="Text0"/>
        <w:rPr>
          <w:rFonts w:cs="Times New Roman"/>
          <w:szCs w:val="24"/>
        </w:rPr>
      </w:pPr>
      <w:r>
        <w:rPr>
          <w:rFonts w:cs="Times New Roman"/>
          <w:szCs w:val="24"/>
        </w:rPr>
        <w:t xml:space="preserve">From these </w:t>
      </w:r>
      <w:proofErr w:type="spellStart"/>
      <w:r>
        <w:rPr>
          <w:rFonts w:cs="Times New Roman"/>
          <w:szCs w:val="24"/>
        </w:rPr>
        <w:t>heatspells</w:t>
      </w:r>
      <w:proofErr w:type="spellEnd"/>
      <w:r>
        <w:rPr>
          <w:rFonts w:cs="Times New Roman"/>
          <w:szCs w:val="24"/>
        </w:rPr>
        <w:t>, four key metrics are analyzed:</w:t>
      </w:r>
    </w:p>
    <w:p w14:paraId="25D71B5E" w14:textId="77777777" w:rsidR="00E53E51" w:rsidRDefault="005A7E09">
      <w:pPr>
        <w:pStyle w:val="Text0"/>
        <w:numPr>
          <w:ilvl w:val="0"/>
          <w:numId w:val="1"/>
        </w:numPr>
        <w:rPr>
          <w:rFonts w:cs="Times New Roman"/>
          <w:szCs w:val="24"/>
        </w:rPr>
      </w:pPr>
      <w:r>
        <w:rPr>
          <w:rFonts w:cs="Times New Roman"/>
          <w:szCs w:val="24"/>
        </w:rPr>
        <w:t xml:space="preserve">Total </w:t>
      </w:r>
      <w:proofErr w:type="spellStart"/>
      <w:r>
        <w:rPr>
          <w:rFonts w:cs="Times New Roman"/>
          <w:szCs w:val="24"/>
        </w:rPr>
        <w:t>Heatspell</w:t>
      </w:r>
      <w:proofErr w:type="spellEnd"/>
      <w:r>
        <w:rPr>
          <w:rFonts w:cs="Times New Roman"/>
          <w:szCs w:val="24"/>
        </w:rPr>
        <w:t xml:space="preserve"> Days (THD) – the total number of days that are part of any </w:t>
      </w:r>
      <w:proofErr w:type="spellStart"/>
      <w:r>
        <w:rPr>
          <w:rFonts w:cs="Times New Roman"/>
          <w:szCs w:val="24"/>
        </w:rPr>
        <w:t>heatspell</w:t>
      </w:r>
      <w:proofErr w:type="spellEnd"/>
      <w:r>
        <w:rPr>
          <w:rFonts w:cs="Times New Roman"/>
          <w:szCs w:val="24"/>
        </w:rPr>
        <w:t>.</w:t>
      </w:r>
    </w:p>
    <w:p w14:paraId="25D71B5F" w14:textId="77777777" w:rsidR="00E53E51" w:rsidRDefault="005A7E09">
      <w:pPr>
        <w:pStyle w:val="Text0"/>
        <w:numPr>
          <w:ilvl w:val="0"/>
          <w:numId w:val="1"/>
        </w:numPr>
        <w:rPr>
          <w:rFonts w:cs="Times New Roman"/>
          <w:szCs w:val="24"/>
        </w:rPr>
      </w:pPr>
      <w:r>
        <w:rPr>
          <w:rFonts w:cs="Times New Roman"/>
          <w:szCs w:val="24"/>
        </w:rPr>
        <w:t xml:space="preserve">Heatwave Events (HWE)– the number of separate </w:t>
      </w:r>
      <w:proofErr w:type="spellStart"/>
      <w:r>
        <w:rPr>
          <w:rFonts w:cs="Times New Roman"/>
          <w:szCs w:val="24"/>
        </w:rPr>
        <w:t>heatspells</w:t>
      </w:r>
      <w:proofErr w:type="spellEnd"/>
      <w:r>
        <w:rPr>
          <w:rFonts w:cs="Times New Roman"/>
          <w:szCs w:val="24"/>
        </w:rPr>
        <w:t>.</w:t>
      </w:r>
    </w:p>
    <w:p w14:paraId="25D71B60" w14:textId="77777777" w:rsidR="00E53E51" w:rsidRDefault="005A7E09">
      <w:pPr>
        <w:pStyle w:val="Text0"/>
        <w:numPr>
          <w:ilvl w:val="0"/>
          <w:numId w:val="1"/>
        </w:numPr>
        <w:rPr>
          <w:rFonts w:cs="Times New Roman"/>
          <w:szCs w:val="24"/>
        </w:rPr>
      </w:pPr>
      <w:r>
        <w:rPr>
          <w:rFonts w:cs="Times New Roman"/>
          <w:szCs w:val="24"/>
        </w:rPr>
        <w:t xml:space="preserve">Intensity – the average of the three highest daily humidex values within each </w:t>
      </w:r>
      <w:proofErr w:type="spellStart"/>
      <w:r>
        <w:rPr>
          <w:rFonts w:cs="Times New Roman"/>
          <w:szCs w:val="24"/>
        </w:rPr>
        <w:t>heatspell</w:t>
      </w:r>
      <w:proofErr w:type="spellEnd"/>
      <w:r>
        <w:rPr>
          <w:rFonts w:cs="Times New Roman"/>
          <w:szCs w:val="24"/>
        </w:rPr>
        <w:t>.</w:t>
      </w:r>
    </w:p>
    <w:p w14:paraId="25D71B61" w14:textId="77777777" w:rsidR="00E53E51" w:rsidRDefault="005A7E09">
      <w:pPr>
        <w:pStyle w:val="Text0"/>
        <w:numPr>
          <w:ilvl w:val="0"/>
          <w:numId w:val="1"/>
        </w:numPr>
        <w:rPr>
          <w:rFonts w:cs="Times New Roman"/>
          <w:szCs w:val="24"/>
        </w:rPr>
      </w:pPr>
      <w:r>
        <w:rPr>
          <w:rFonts w:cs="Times New Roman"/>
          <w:szCs w:val="24"/>
        </w:rPr>
        <w:t xml:space="preserve">Longest </w:t>
      </w:r>
      <w:proofErr w:type="spellStart"/>
      <w:r>
        <w:rPr>
          <w:rFonts w:cs="Times New Roman"/>
          <w:szCs w:val="24"/>
        </w:rPr>
        <w:t>Heatspell</w:t>
      </w:r>
      <w:proofErr w:type="spellEnd"/>
      <w:r>
        <w:rPr>
          <w:rFonts w:cs="Times New Roman"/>
          <w:szCs w:val="24"/>
        </w:rPr>
        <w:t xml:space="preserve"> (LHS) – the duration (in days) of the longest continuous </w:t>
      </w:r>
      <w:proofErr w:type="spellStart"/>
      <w:r>
        <w:rPr>
          <w:rFonts w:cs="Times New Roman"/>
          <w:szCs w:val="24"/>
        </w:rPr>
        <w:t>heatspell</w:t>
      </w:r>
      <w:proofErr w:type="spellEnd"/>
      <w:r>
        <w:rPr>
          <w:rFonts w:cs="Times New Roman"/>
          <w:szCs w:val="24"/>
        </w:rPr>
        <w:t xml:space="preserve"> within a year.</w:t>
      </w:r>
    </w:p>
    <w:p w14:paraId="25D71B62" w14:textId="77777777" w:rsidR="00E53E51" w:rsidRDefault="005A7E09">
      <w:pPr>
        <w:pStyle w:val="Text0"/>
        <w:rPr>
          <w:rFonts w:cs="Times New Roman"/>
          <w:szCs w:val="24"/>
        </w:rPr>
      </w:pPr>
      <w:r>
        <w:rPr>
          <w:rFonts w:cs="Times New Roman"/>
          <w:szCs w:val="24"/>
        </w:rPr>
        <w:t>To assess sub-daily heat exposure, the Hour of Exposure (</w:t>
      </w:r>
      <w:proofErr w:type="spellStart"/>
      <w:r>
        <w:rPr>
          <w:rFonts w:cs="Times New Roman"/>
          <w:szCs w:val="24"/>
        </w:rPr>
        <w:t>HoE</w:t>
      </w:r>
      <w:proofErr w:type="spellEnd"/>
      <w:r>
        <w:rPr>
          <w:rFonts w:cs="Times New Roman"/>
          <w:szCs w:val="24"/>
        </w:rPr>
        <w:t>) metric is computed from hourly humidex data for the extended boreal summer (May–September). Restricting the analysis to this period prevents mixing summer and winter conditions, which differ substantially in background humidity and temperature.</w:t>
      </w:r>
    </w:p>
    <w:p w14:paraId="25D71B63" w14:textId="77777777" w:rsidR="00E53E51" w:rsidRDefault="005A7E09">
      <w:pPr>
        <w:pStyle w:val="Text0"/>
        <w:rPr>
          <w:rFonts w:cs="Times New Roman"/>
          <w:szCs w:val="24"/>
        </w:rPr>
      </w:pPr>
      <w:r>
        <w:rPr>
          <w:rFonts w:cs="Times New Roman"/>
          <w:szCs w:val="24"/>
        </w:rPr>
        <w:t xml:space="preserve">For each grid point and hour, a percentile threshold (90th or 95th) is computed using the same 1961–1990 baseline. An hour is classified as a heat-exceedance hour if the humidex value </w:t>
      </w:r>
      <w:r>
        <w:rPr>
          <w:rFonts w:cs="Times New Roman"/>
          <w:szCs w:val="24"/>
        </w:rPr>
        <w:lastRenderedPageBreak/>
        <w:t xml:space="preserve">exceeds this climatological threshold. The </w:t>
      </w:r>
      <w:proofErr w:type="spellStart"/>
      <w:r>
        <w:rPr>
          <w:rFonts w:cs="Times New Roman"/>
          <w:szCs w:val="24"/>
        </w:rPr>
        <w:t>HoE</w:t>
      </w:r>
      <w:proofErr w:type="spellEnd"/>
      <w:r>
        <w:rPr>
          <w:rFonts w:cs="Times New Roman"/>
          <w:szCs w:val="24"/>
        </w:rPr>
        <w:t xml:space="preserve"> for a given day is then the total number of hours (out of 24) when the hourly humidex surpasses its threshold.</w:t>
      </w:r>
    </w:p>
    <w:p w14:paraId="25D71B64" w14:textId="77777777" w:rsidR="00E53E51" w:rsidRDefault="005A7E09">
      <w:pPr>
        <w:pStyle w:val="Text0"/>
        <w:rPr>
          <w:rFonts w:cs="Times New Roman"/>
          <w:sz w:val="28"/>
          <w:szCs w:val="28"/>
        </w:rPr>
      </w:pPr>
      <w:r>
        <w:rPr>
          <w:rFonts w:cs="Times New Roman"/>
          <w:szCs w:val="24"/>
        </w:rPr>
        <w:t>This metric captures short-term fluctuations in thermal discomfort that are not visible in daily averages and provides a more detailed measure of cumulative heat stress exposure at sub-daily timescales.</w:t>
      </w:r>
    </w:p>
    <w:p w14:paraId="25D71B65" w14:textId="77777777" w:rsidR="00E53E51" w:rsidRDefault="005A7E09">
      <w:pPr>
        <w:pStyle w:val="Text0"/>
        <w:numPr>
          <w:ilvl w:val="1"/>
          <w:numId w:val="3"/>
        </w:numPr>
        <w:rPr>
          <w:rFonts w:cs="Times New Roman"/>
          <w:b/>
          <w:bCs/>
          <w:sz w:val="28"/>
          <w:szCs w:val="28"/>
          <w:lang w:val="en-IN"/>
        </w:rPr>
      </w:pPr>
      <w:r>
        <w:rPr>
          <w:rFonts w:cs="Times New Roman"/>
          <w:b/>
          <w:bCs/>
          <w:sz w:val="28"/>
          <w:szCs w:val="28"/>
          <w:lang w:val="en-IN"/>
        </w:rPr>
        <w:t>Contributions of Temperature and Humidity to Humidex Variability</w:t>
      </w:r>
    </w:p>
    <w:p w14:paraId="25D71B66" w14:textId="77777777" w:rsidR="00E53E51" w:rsidRDefault="005A7E09">
      <w:pPr>
        <w:pStyle w:val="Text0"/>
        <w:rPr>
          <w:rFonts w:cs="Times New Roman"/>
          <w:szCs w:val="24"/>
          <w:lang w:val="en-IN"/>
        </w:rPr>
      </w:pPr>
      <w:r>
        <w:rPr>
          <w:rFonts w:cs="Times New Roman"/>
          <w:szCs w:val="24"/>
          <w:lang w:val="en-IN"/>
        </w:rPr>
        <w:t>To understand the physical drivers of humid heat extremes, we decomposed humidex anomalies into contributions from air temperature (</w:t>
      </w:r>
      <m:oMath>
        <m:r>
          <w:rPr>
            <w:rFonts w:ascii="Cambria Math" w:hAnsi="Cambria Math"/>
          </w:rPr>
          <m:t>T</m:t>
        </m:r>
      </m:oMath>
      <w:r>
        <w:rPr>
          <w:rFonts w:cs="Times New Roman"/>
          <w:szCs w:val="24"/>
          <w:lang w:val="en-IN"/>
        </w:rPr>
        <w:t>) and dewpoint temperature (</w:t>
      </w:r>
      <m:oMath>
        <m:sSub>
          <m:sSubPr>
            <m:ctrlPr>
              <w:rPr>
                <w:rFonts w:ascii="Cambria Math" w:hAnsi="Cambria Math"/>
              </w:rPr>
            </m:ctrlPr>
          </m:sSubPr>
          <m:e>
            <m:r>
              <w:rPr>
                <w:rFonts w:ascii="Cambria Math" w:hAnsi="Cambria Math"/>
              </w:rPr>
              <m:t>T</m:t>
            </m:r>
          </m:e>
          <m:sub>
            <m:r>
              <w:rPr>
                <w:rFonts w:ascii="Cambria Math" w:hAnsi="Cambria Math"/>
              </w:rPr>
              <m:t>d</m:t>
            </m:r>
          </m:sub>
        </m:sSub>
      </m:oMath>
      <w:r>
        <w:rPr>
          <w:rFonts w:cs="Times New Roman"/>
          <w:szCs w:val="24"/>
          <w:lang w:val="en-IN"/>
        </w:rPr>
        <w:t>), following a linearized approach. For each grid point, the observed humidex anomaly (</w:t>
      </w:r>
      <m:oMath>
        <m:r>
          <w:rPr>
            <w:rFonts w:ascii="Cambria Math" w:hAnsi="Cambria Math"/>
          </w:rPr>
          <m:t>ΔH</m:t>
        </m:r>
      </m:oMath>
      <w:r>
        <w:rPr>
          <w:rFonts w:cs="Times New Roman"/>
          <w:szCs w:val="24"/>
          <w:lang w:val="en-IN"/>
        </w:rPr>
        <w:t>) relative to the 1979–2022 climatology was approximated by Taylor expansion series as:</w:t>
      </w:r>
    </w:p>
    <w:p w14:paraId="25D71B67" w14:textId="0DE7F734" w:rsidR="00E53E51" w:rsidRDefault="005A7E09">
      <w:pPr>
        <w:pStyle w:val="Text0"/>
        <w:jc w:val="center"/>
        <w:rPr>
          <w:rFonts w:cs="Times New Roman"/>
          <w:szCs w:val="24"/>
          <w:lang w:val="en-IN"/>
        </w:rPr>
      </w:pPr>
      <m:oMathPara>
        <m:oMathParaPr>
          <m:jc m:val="center"/>
        </m:oMathParaPr>
        <m:oMath>
          <m:r>
            <w:rPr>
              <w:rFonts w:ascii="Cambria Math" w:hAnsi="Cambria Math"/>
            </w:rPr>
            <m:t>ΔH≈Δ</m:t>
          </m:r>
          <m:sSub>
            <m:sSubPr>
              <m:ctrlPr>
                <w:rPr>
                  <w:rFonts w:ascii="Cambria Math" w:hAnsi="Cambria Math"/>
                </w:rPr>
              </m:ctrlPr>
            </m:sSubPr>
            <m:e>
              <m:r>
                <w:rPr>
                  <w:rFonts w:ascii="Cambria Math" w:hAnsi="Cambria Math"/>
                </w:rPr>
                <m:t>H</m:t>
              </m:r>
            </m:e>
            <m:sub>
              <m:r>
                <w:rPr>
                  <w:rFonts w:ascii="Cambria Math" w:hAnsi="Cambria Math"/>
                </w:rPr>
                <m:t>T</m:t>
              </m:r>
            </m:sub>
          </m:sSub>
          <m:r>
            <w:rPr>
              <w:rFonts w:ascii="Cambria Math" w:hAnsi="Cambria Math"/>
            </w:rPr>
            <m:t>+Δ</m:t>
          </m:r>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T</m:t>
                  </m:r>
                </m:e>
                <m:sub>
                  <m:r>
                    <w:rPr>
                      <w:rFonts w:ascii="Cambria Math" w:hAnsi="Cambria Math"/>
                    </w:rPr>
                    <m:t>d</m:t>
                  </m:r>
                </m:sub>
              </m:sSub>
            </m:sub>
          </m:sSub>
          <m:r>
            <w:rPr>
              <w:rFonts w:ascii="Cambria Math" w:hAnsi="Cambria Math"/>
            </w:rPr>
            <m:t xml:space="preserve">                      </m:t>
          </m:r>
          <m:d>
            <m:dPr>
              <m:ctrlPr>
                <w:rPr>
                  <w:rFonts w:ascii="Cambria Math" w:hAnsi="Cambria Math"/>
                </w:rPr>
              </m:ctrlPr>
            </m:dPr>
            <m:e>
              <m:r>
                <w:rPr>
                  <w:rFonts w:ascii="Cambria Math" w:hAnsi="Cambria Math"/>
                </w:rPr>
                <m:t>3</m:t>
              </m:r>
            </m:e>
          </m:d>
        </m:oMath>
      </m:oMathPara>
    </w:p>
    <w:p w14:paraId="25D71B68" w14:textId="77777777" w:rsidR="00E53E51" w:rsidRDefault="005A7E09">
      <w:pPr>
        <w:pStyle w:val="Text0"/>
        <w:rPr>
          <w:rFonts w:cs="Times New Roman"/>
          <w:szCs w:val="24"/>
          <w:lang w:val="en-IN"/>
        </w:rPr>
      </w:pPr>
      <w:r>
        <w:rPr>
          <w:rFonts w:cs="Times New Roman"/>
          <w:szCs w:val="24"/>
          <w:lang w:val="en-IN"/>
        </w:rPr>
        <w:t xml:space="preserve">where </w:t>
      </w:r>
      <m:oMath>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sub>
        </m:sSub>
      </m:oMath>
      <w:r>
        <w:rPr>
          <w:rFonts w:cs="Times New Roman"/>
          <w:szCs w:val="24"/>
          <w:lang w:val="en-IN"/>
        </w:rPr>
        <w:t xml:space="preserve">and </w:t>
      </w:r>
      <m:oMath>
        <m:r>
          <w:rPr>
            <w:rFonts w:ascii="Cambria Math" w:hAnsi="Cambria Math"/>
          </w:rPr>
          <m:t>Δ</m:t>
        </m:r>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T</m:t>
                </m:r>
              </m:e>
              <m:sub>
                <m:r>
                  <w:rPr>
                    <w:rFonts w:ascii="Cambria Math" w:hAnsi="Cambria Math"/>
                  </w:rPr>
                  <m:t>d</m:t>
                </m:r>
              </m:sub>
            </m:sSub>
          </m:sub>
        </m:sSub>
      </m:oMath>
      <w:r>
        <w:rPr>
          <w:rFonts w:cs="Times New Roman"/>
          <w:szCs w:val="24"/>
          <w:lang w:val="en-IN"/>
        </w:rPr>
        <w:t>are the contributions from temperature and humidity, respectively. These contributions are computed as:</w:t>
      </w:r>
    </w:p>
    <w:p w14:paraId="25D71B69" w14:textId="553E6753" w:rsidR="00E53E51" w:rsidRDefault="005A7E09">
      <w:pPr>
        <w:pStyle w:val="Text0"/>
        <w:jc w:val="center"/>
        <w:rPr>
          <w:rFonts w:cs="Times New Roman"/>
          <w:i/>
          <w:szCs w:val="24"/>
          <w:lang w:val="en-IN"/>
        </w:rPr>
      </w:pPr>
      <m:oMathPara>
        <m:oMathParaPr>
          <m:jc m:val="center"/>
        </m:oMathParaPr>
        <m:oMath>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sub>
          </m:sSub>
          <m:r>
            <w:rPr>
              <w:rFonts w:ascii="Cambria Math" w:hAnsi="Cambria Math"/>
            </w:rPr>
            <m:t>=</m:t>
          </m:r>
          <m:f>
            <m:fPr>
              <m:ctrlPr>
                <w:rPr>
                  <w:rFonts w:ascii="Cambria Math" w:hAnsi="Cambria Math"/>
                </w:rPr>
              </m:ctrlPr>
            </m:fPr>
            <m:num>
              <m:r>
                <w:rPr>
                  <w:rFonts w:ascii="Cambria Math" w:hAnsi="Cambria Math"/>
                </w:rPr>
                <m:t>∂H</m:t>
              </m:r>
            </m:num>
            <m:den>
              <m:r>
                <w:rPr>
                  <w:rFonts w:ascii="Cambria Math" w:hAnsi="Cambria Math"/>
                </w:rPr>
                <m:t>∂T</m:t>
              </m:r>
            </m:den>
          </m:f>
          <m:r>
            <w:rPr>
              <w:rFonts w:ascii="Cambria Math" w:hAnsi="Cambria Math"/>
            </w:rPr>
            <m:t>ΔT=ΔT</m:t>
          </m:r>
          <m:r>
            <w:rPr>
              <w:rFonts w:ascii="Cambria Math" w:hAnsi="Cambria Math"/>
            </w:rPr>
            <m:t xml:space="preserve">                     </m:t>
          </m:r>
          <m:d>
            <m:dPr>
              <m:ctrlPr>
                <w:rPr>
                  <w:rFonts w:ascii="Cambria Math" w:hAnsi="Cambria Math"/>
                </w:rPr>
              </m:ctrlPr>
            </m:dPr>
            <m:e>
              <m:r>
                <w:rPr>
                  <w:rFonts w:ascii="Cambria Math" w:hAnsi="Cambria Math"/>
                </w:rPr>
                <m:t>4</m:t>
              </m:r>
            </m:e>
          </m:d>
        </m:oMath>
      </m:oMathPara>
    </w:p>
    <w:p w14:paraId="25D71B6A" w14:textId="5999697B" w:rsidR="00E53E51" w:rsidRDefault="005A7E09">
      <w:pPr>
        <w:pStyle w:val="Text0"/>
        <w:jc w:val="center"/>
        <w:rPr>
          <w:rFonts w:cs="Times New Roman"/>
          <w:szCs w:val="24"/>
          <w:lang w:val="en-IN"/>
        </w:rPr>
      </w:pPr>
      <w:r>
        <w:rPr>
          <w:rFonts w:cs="Times New Roman"/>
          <w:i/>
          <w:szCs w:val="24"/>
          <w:lang w:val="en-IN"/>
        </w:rPr>
        <w:br/>
      </w:r>
      <m:oMathPara>
        <m:oMath>
          <m:r>
            <w:rPr>
              <w:rFonts w:ascii="Cambria Math" w:hAnsi="Cambria Math"/>
            </w:rPr>
            <m:t>Δ</m:t>
          </m:r>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T</m:t>
                  </m:r>
                </m:e>
                <m:sub>
                  <m:r>
                    <w:rPr>
                      <w:rFonts w:ascii="Cambria Math" w:hAnsi="Cambria Math"/>
                    </w:rPr>
                    <m:t>d</m:t>
                  </m:r>
                </m:sub>
              </m:sSub>
            </m:sub>
          </m:sSub>
          <m:r>
            <w:rPr>
              <w:rFonts w:ascii="Cambria Math" w:hAnsi="Cambria Math"/>
            </w:rPr>
            <m:t>=</m:t>
          </m:r>
          <m:f>
            <m:fPr>
              <m:ctrlPr>
                <w:rPr>
                  <w:rFonts w:ascii="Cambria Math" w:hAnsi="Cambria Math"/>
                </w:rPr>
              </m:ctrlPr>
            </m:fPr>
            <m:num>
              <m:r>
                <w:rPr>
                  <w:rFonts w:ascii="Cambria Math" w:hAnsi="Cambria Math"/>
                </w:rPr>
                <m:t>∂H</m:t>
              </m:r>
            </m:num>
            <m:den>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d</m:t>
                  </m:r>
                </m:sub>
              </m:sSub>
            </m:den>
          </m:f>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d</m:t>
              </m:r>
            </m:sub>
          </m:sSub>
          <m:r>
            <w:rPr>
              <w:rFonts w:ascii="Cambria Math" w:hAnsi="Cambria Math"/>
            </w:rPr>
            <m:t>=0.5555⋅</m:t>
          </m:r>
          <m:f>
            <m:fPr>
              <m:ctrlPr>
                <w:rPr>
                  <w:rFonts w:ascii="Cambria Math" w:hAnsi="Cambria Math"/>
                </w:rPr>
              </m:ctrlPr>
            </m:fPr>
            <m:num>
              <m:r>
                <w:rPr>
                  <w:rFonts w:ascii="Cambria Math" w:hAnsi="Cambria Math"/>
                </w:rPr>
                <m:t>e⋅5417.7530</m:t>
              </m:r>
            </m:num>
            <m:den>
              <m:d>
                <m:dPr>
                  <m:endChr m:val=""/>
                  <m:ctrlPr>
                    <w:rPr>
                      <w:rFonts w:ascii="Cambria Math" w:hAnsi="Cambria Math"/>
                    </w:rPr>
                  </m:ctrlPr>
                </m:dPr>
                <m:e>
                  <m:r>
                    <w:rPr>
                      <w:rFonts w:ascii="Cambria Math" w:hAnsi="Cambria Math"/>
                    </w:rPr>
                    <m:t>273.15+</m:t>
                  </m:r>
                  <m:sSub>
                    <m:sSubPr>
                      <m:ctrlPr>
                        <w:rPr>
                          <w:rFonts w:ascii="Cambria Math" w:hAnsi="Cambria Math"/>
                        </w:rPr>
                      </m:ctrlPr>
                    </m:sSubPr>
                    <m:e>
                      <m:r>
                        <w:rPr>
                          <w:rFonts w:ascii="Cambria Math" w:hAnsi="Cambria Math"/>
                        </w:rPr>
                        <m:t>T</m:t>
                      </m:r>
                    </m:e>
                    <m:sub>
                      <m:r>
                        <w:rPr>
                          <w:rFonts w:ascii="Cambria Math" w:hAnsi="Cambria Math"/>
                        </w:rPr>
                        <m:t>d</m:t>
                      </m:r>
                    </m:sub>
                  </m:sSub>
                  <m:sSup>
                    <m:sSupPr>
                      <m:ctrlPr>
                        <w:rPr>
                          <w:rFonts w:ascii="Cambria Math" w:hAnsi="Cambria Math"/>
                        </w:rPr>
                      </m:ctrlPr>
                    </m:sSupPr>
                    <m:e>
                      <m:r>
                        <w:rPr>
                          <w:rFonts w:ascii="Cambria Math" w:hAnsi="Cambria Math"/>
                        </w:rPr>
                        <m:t>)</m:t>
                      </m:r>
                    </m:e>
                    <m:sup>
                      <m:r>
                        <w:rPr>
                          <w:rFonts w:ascii="Cambria Math" w:hAnsi="Cambria Math"/>
                        </w:rPr>
                        <m:t>2</m:t>
                      </m:r>
                    </m:sup>
                  </m:sSup>
                </m:e>
              </m:d>
            </m:den>
          </m:f>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d</m:t>
              </m:r>
            </m:sub>
          </m:sSub>
          <m:r>
            <w:rPr>
              <w:rFonts w:ascii="Cambria Math" w:hAnsi="Cambria Math"/>
            </w:rPr>
            <m:t xml:space="preserve">                       </m:t>
          </m:r>
          <m:d>
            <m:dPr>
              <m:ctrlPr>
                <w:rPr>
                  <w:rFonts w:ascii="Cambria Math" w:hAnsi="Cambria Math"/>
                </w:rPr>
              </m:ctrlPr>
            </m:dPr>
            <m:e>
              <m:r>
                <w:rPr>
                  <w:rFonts w:ascii="Cambria Math" w:hAnsi="Cambria Math"/>
                </w:rPr>
                <m:t>5</m:t>
              </m:r>
            </m:e>
          </m:d>
        </m:oMath>
      </m:oMathPara>
    </w:p>
    <w:p w14:paraId="25D71B6B" w14:textId="77777777" w:rsidR="00E53E51" w:rsidRDefault="005A7E09">
      <w:pPr>
        <w:pStyle w:val="Text0"/>
        <w:rPr>
          <w:rFonts w:cs="Times New Roman"/>
          <w:szCs w:val="24"/>
          <w:lang w:val="en-IN"/>
        </w:rPr>
      </w:pPr>
      <w:r>
        <w:rPr>
          <w:rFonts w:cs="Times New Roman"/>
          <w:szCs w:val="24"/>
          <w:lang w:val="en-IN"/>
        </w:rPr>
        <w:t xml:space="preserve">Here, </w:t>
      </w:r>
      <m:oMath>
        <m:r>
          <w:rPr>
            <w:rFonts w:ascii="Cambria Math" w:hAnsi="Cambria Math"/>
          </w:rPr>
          <m:t>e</m:t>
        </m:r>
      </m:oMath>
      <w:r>
        <w:rPr>
          <w:rFonts w:cs="Times New Roman"/>
          <w:szCs w:val="24"/>
          <w:lang w:val="en-IN"/>
        </w:rPr>
        <w:t xml:space="preserve"> is the vapour pressure derived from the dewpoint (Eq. 2). The total predicted humidex anomaly, </w:t>
      </w:r>
      <m:oMath>
        <m:r>
          <w:rPr>
            <w:rFonts w:ascii="Cambria Math" w:hAnsi="Cambria Math"/>
          </w:rPr>
          <m:t>Δ</m:t>
        </m:r>
        <m:sSub>
          <m:sSubPr>
            <m:ctrlPr>
              <w:rPr>
                <w:rFonts w:ascii="Cambria Math" w:hAnsi="Cambria Math"/>
              </w:rPr>
            </m:ctrlPr>
          </m:sSubPr>
          <m:e>
            <m:r>
              <w:rPr>
                <w:rFonts w:ascii="Cambria Math" w:hAnsi="Cambria Math"/>
              </w:rPr>
              <m:t>H</m:t>
            </m:r>
          </m:e>
          <m:sub>
            <m:r>
              <m:rPr>
                <m:lit/>
                <m:nor/>
              </m:rPr>
              <w:rPr>
                <w:rFonts w:ascii="Cambria Math" w:hAnsi="Cambria Math"/>
              </w:rPr>
              <m:t>pred</m:t>
            </m:r>
          </m:sub>
        </m:sSub>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sub>
        </m:sSub>
        <m:r>
          <w:rPr>
            <w:rFonts w:ascii="Cambria Math" w:hAnsi="Cambria Math"/>
          </w:rPr>
          <m:t>+Δ</m:t>
        </m:r>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T</m:t>
                </m:r>
              </m:e>
              <m:sub>
                <m:r>
                  <w:rPr>
                    <w:rFonts w:ascii="Cambria Math" w:hAnsi="Cambria Math"/>
                  </w:rPr>
                  <m:t>d</m:t>
                </m:r>
              </m:sub>
            </m:sSub>
          </m:sub>
        </m:sSub>
      </m:oMath>
      <w:r>
        <w:rPr>
          <w:rFonts w:cs="Times New Roman"/>
          <w:szCs w:val="24"/>
          <w:lang w:val="en-IN"/>
        </w:rPr>
        <w:t xml:space="preserve">, is used to quantify the </w:t>
      </w:r>
      <w:r>
        <w:rPr>
          <w:rFonts w:cs="Times New Roman"/>
          <w:szCs w:val="24"/>
        </w:rPr>
        <w:t>fractional contribution of temperature (</w:t>
      </w:r>
      <w:r>
        <w:rPr>
          <w:rFonts w:cs="Times New Roman"/>
          <w:i/>
          <w:iCs/>
          <w:szCs w:val="24"/>
        </w:rPr>
        <w:t>R</w:t>
      </w:r>
      <w:r>
        <w:rPr>
          <w:rFonts w:cs="Times New Roman"/>
          <w:i/>
          <w:iCs/>
          <w:szCs w:val="24"/>
          <w:vertAlign w:val="subscript"/>
        </w:rPr>
        <w:t>T</w:t>
      </w:r>
      <w:r>
        <w:rPr>
          <w:rFonts w:cs="Times New Roman"/>
          <w:szCs w:val="24"/>
        </w:rPr>
        <w:t xml:space="preserve">) and humidity (via dewpoint, </w:t>
      </w:r>
      <w:r>
        <w:rPr>
          <w:rFonts w:cs="Times New Roman"/>
          <w:i/>
          <w:iCs/>
          <w:szCs w:val="24"/>
        </w:rPr>
        <w:t>R</w:t>
      </w:r>
      <w:r>
        <w:rPr>
          <w:rFonts w:cs="Times New Roman"/>
          <w:i/>
          <w:iCs/>
          <w:szCs w:val="24"/>
          <w:vertAlign w:val="subscript"/>
        </w:rPr>
        <w:t>d</w:t>
      </w:r>
      <w:r>
        <w:rPr>
          <w:rFonts w:cs="Times New Roman"/>
          <w:szCs w:val="24"/>
        </w:rPr>
        <w:t>) to the total humidex anomaly</w:t>
      </w:r>
      <w:r>
        <w:rPr>
          <w:rFonts w:cs="Times New Roman"/>
          <w:szCs w:val="24"/>
          <w:lang w:val="en-IN"/>
        </w:rPr>
        <w:t>:</w:t>
      </w:r>
    </w:p>
    <w:p w14:paraId="25D71B6C" w14:textId="42972367" w:rsidR="00E53E51" w:rsidRPr="003B5877" w:rsidRDefault="006C0CEF">
      <w:pPr>
        <w:pStyle w:val="Text0"/>
        <w:jc w:val="center"/>
        <w:rPr>
          <w:rFonts w:cs="Times New Roman"/>
        </w:rPr>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sub>
              </m:sSub>
            </m:num>
            <m:den>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sub>
              </m:sSub>
              <m: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T</m:t>
                      </m:r>
                    </m:e>
                    <m:sub>
                      <m:r>
                        <w:rPr>
                          <w:rFonts w:ascii="Cambria Math" w:hAnsi="Cambria Math"/>
                        </w:rPr>
                        <m:t>d</m:t>
                      </m:r>
                    </m:sub>
                  </m:sSub>
                </m:sub>
              </m:sSub>
              <m:r>
                <w:rPr>
                  <w:rFonts w:ascii="Cambria Math" w:hAnsi="Cambria Math"/>
                </w:rPr>
                <m:t xml:space="preserve"> </m:t>
              </m:r>
            </m:den>
          </m:f>
          <m:r>
            <w:rPr>
              <w:rFonts w:ascii="Cambria Math" w:hAnsi="Cambria Math"/>
            </w:rPr>
            <m:t xml:space="preserve">                                                                           (6)</m:t>
          </m:r>
        </m:oMath>
      </m:oMathPara>
    </w:p>
    <w:p w14:paraId="3324E130" w14:textId="77777777" w:rsidR="003B5877" w:rsidRDefault="003B5877">
      <w:pPr>
        <w:pStyle w:val="Text0"/>
        <w:jc w:val="center"/>
        <w:rPr>
          <w:rFonts w:cs="Times New Roman"/>
        </w:rPr>
      </w:pPr>
    </w:p>
    <w:p w14:paraId="590BBD5A" w14:textId="6EC2A8AB" w:rsidR="003B5877" w:rsidRDefault="008535AA" w:rsidP="003B5877">
      <w:pPr>
        <w:pStyle w:val="Text0"/>
        <w:jc w:val="center"/>
        <w:rPr>
          <w:rFonts w:cs="Times New Roman"/>
          <w:szCs w:val="24"/>
          <w:lang w:val="en-IN"/>
        </w:rPr>
      </w:pPr>
      <m:oMathPara>
        <m:oMathParaPr>
          <m:jc m:val="center"/>
        </m:oMathParaPr>
        <m:oMath>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T</m:t>
                  </m:r>
                </m:e>
                <m:sub>
                  <m:r>
                    <w:rPr>
                      <w:rFonts w:ascii="Cambria Math" w:hAnsi="Cambria Math"/>
                    </w:rPr>
                    <m:t>d</m:t>
                  </m:r>
                </m:sub>
              </m:sSub>
            </m:sub>
          </m:sSub>
          <m:r>
            <w:rPr>
              <w:rFonts w:ascii="Cambria Math" w:hAnsi="Cambria Math"/>
            </w:rPr>
            <m:t>=</m:t>
          </m:r>
          <m:r>
            <m:rPr>
              <m:sty m:val="p"/>
            </m:rPr>
            <w:rPr>
              <w:rFonts w:ascii="Cambria Math" w:hAnsi="Cambria Math"/>
            </w:rPr>
            <m:t xml:space="preserve"> 1 - </m:t>
          </m:r>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 xml:space="preserve">     </m:t>
          </m:r>
          <m:r>
            <w:rPr>
              <w:rFonts w:ascii="Cambria Math" w:hAnsi="Cambria Math"/>
            </w:rPr>
            <m:t xml:space="preserve"> </m:t>
          </m:r>
          <m:r>
            <w:rPr>
              <w:rFonts w:ascii="Cambria Math" w:hAnsi="Cambria Math"/>
            </w:rPr>
            <m:t xml:space="preserve">                                                                </m:t>
          </m:r>
          <m:r>
            <w:rPr>
              <w:rFonts w:ascii="Cambria Math" w:hAnsi="Cambria Math"/>
            </w:rPr>
            <m:t xml:space="preserve">            </m:t>
          </m:r>
          <m:r>
            <w:rPr>
              <w:rFonts w:ascii="Cambria Math" w:hAnsi="Cambria Math"/>
            </w:rPr>
            <m:t>(</m:t>
          </m:r>
          <m:r>
            <w:rPr>
              <w:rFonts w:ascii="Cambria Math" w:hAnsi="Cambria Math"/>
            </w:rPr>
            <m:t>7</m:t>
          </m:r>
          <m:r>
            <w:rPr>
              <w:rFonts w:ascii="Cambria Math" w:hAnsi="Cambria Math"/>
            </w:rPr>
            <m:t>)</m:t>
          </m:r>
        </m:oMath>
      </m:oMathPara>
    </w:p>
    <w:p w14:paraId="0C3FBD01" w14:textId="77777777" w:rsidR="003B5877" w:rsidRDefault="003B5877">
      <w:pPr>
        <w:pStyle w:val="Text0"/>
        <w:jc w:val="center"/>
        <w:rPr>
          <w:rFonts w:cs="Times New Roman"/>
          <w:szCs w:val="24"/>
          <w:lang w:val="en-IN"/>
        </w:rPr>
      </w:pPr>
    </w:p>
    <w:p w14:paraId="25D71B6D" w14:textId="77777777" w:rsidR="00E53E51" w:rsidRDefault="00E53E51">
      <w:pPr>
        <w:pStyle w:val="Text0"/>
        <w:jc w:val="center"/>
        <w:rPr>
          <w:rFonts w:cs="Times New Roman"/>
          <w:szCs w:val="24"/>
          <w:lang w:val="en-IN"/>
        </w:rPr>
      </w:pPr>
    </w:p>
    <w:p w14:paraId="25D71B6E" w14:textId="77777777" w:rsidR="00E53E51" w:rsidRDefault="00E53E51">
      <w:pPr>
        <w:pStyle w:val="Text0"/>
        <w:jc w:val="center"/>
        <w:rPr>
          <w:rFonts w:cs="Times New Roman"/>
          <w:szCs w:val="24"/>
          <w:lang w:val="en-IN"/>
        </w:rPr>
      </w:pPr>
    </w:p>
    <w:p w14:paraId="25D71B6F" w14:textId="77777777" w:rsidR="00E53E51" w:rsidRDefault="00E53E51">
      <w:pPr>
        <w:pStyle w:val="Text0"/>
        <w:jc w:val="center"/>
        <w:rPr>
          <w:rFonts w:cs="Times New Roman"/>
          <w:szCs w:val="24"/>
          <w:lang w:val="en-IN"/>
        </w:rPr>
      </w:pPr>
    </w:p>
    <w:p w14:paraId="25D71B70" w14:textId="77777777" w:rsidR="00E53E51" w:rsidRDefault="005A7E09">
      <w:pPr>
        <w:pStyle w:val="Text0"/>
        <w:jc w:val="center"/>
        <w:rPr>
          <w:rFonts w:cs="Times New Roman"/>
          <w:szCs w:val="24"/>
          <w:lang w:val="en-IN"/>
        </w:rPr>
      </w:pPr>
      <w:r>
        <w:br w:type="page"/>
      </w:r>
    </w:p>
    <w:p w14:paraId="25D71B71" w14:textId="77777777" w:rsidR="00E53E51" w:rsidRDefault="005A7E09">
      <w:pPr>
        <w:pStyle w:val="Section"/>
        <w:spacing w:after="0"/>
      </w:pPr>
      <w:r>
        <w:lastRenderedPageBreak/>
        <w:t>Supplementary figures:</w:t>
      </w:r>
    </w:p>
    <w:p w14:paraId="6AC86A45" w14:textId="77777777" w:rsidR="006C0CEF" w:rsidRDefault="006C0CEF">
      <w:pPr>
        <w:pStyle w:val="Section"/>
        <w:spacing w:after="0"/>
      </w:pPr>
    </w:p>
    <w:p w14:paraId="25D71B72" w14:textId="77777777" w:rsidR="00E53E51" w:rsidRDefault="005A7E09">
      <w:pPr>
        <w:spacing w:line="360" w:lineRule="auto"/>
        <w:rPr>
          <w:rFonts w:ascii="Times New Roman" w:hAnsi="Times New Roman"/>
          <w:sz w:val="24"/>
          <w:szCs w:val="24"/>
        </w:rPr>
      </w:pPr>
      <w:r>
        <w:rPr>
          <w:noProof/>
        </w:rPr>
        <w:drawing>
          <wp:inline distT="0" distB="0" distL="0" distR="0" wp14:anchorId="25D71BBE" wp14:editId="25D71BBF">
            <wp:extent cx="5400040" cy="50139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7"/>
                    <a:stretch>
                      <a:fillRect/>
                    </a:stretch>
                  </pic:blipFill>
                  <pic:spPr bwMode="auto">
                    <a:xfrm>
                      <a:off x="0" y="0"/>
                      <a:ext cx="5400040" cy="5013960"/>
                    </a:xfrm>
                    <a:prstGeom prst="rect">
                      <a:avLst/>
                    </a:prstGeom>
                  </pic:spPr>
                </pic:pic>
              </a:graphicData>
            </a:graphic>
          </wp:inline>
        </w:drawing>
      </w:r>
    </w:p>
    <w:p w14:paraId="25D71B73" w14:textId="77777777" w:rsidR="00E53E51" w:rsidRDefault="00E53E51">
      <w:pPr>
        <w:spacing w:line="360" w:lineRule="auto"/>
        <w:rPr>
          <w:rFonts w:cs="Times New Roman"/>
        </w:rPr>
      </w:pPr>
    </w:p>
    <w:p w14:paraId="25D71B74" w14:textId="77777777" w:rsidR="00E53E51" w:rsidRDefault="00E53E51">
      <w:pPr>
        <w:spacing w:line="360" w:lineRule="auto"/>
        <w:rPr>
          <w:rFonts w:cs="Times New Roman"/>
        </w:rPr>
      </w:pPr>
    </w:p>
    <w:p w14:paraId="25D71B75" w14:textId="77777777" w:rsidR="00E53E51" w:rsidRDefault="005A7E09">
      <w:pPr>
        <w:pStyle w:val="Text0"/>
        <w:spacing w:line="360" w:lineRule="auto"/>
        <w:rPr>
          <w:lang w:val="x-none"/>
        </w:rPr>
      </w:pPr>
      <w:r>
        <w:rPr>
          <w:rFonts w:cs="Times New Roman"/>
          <w:szCs w:val="24"/>
          <w:lang w:val="x-none"/>
        </w:rPr>
        <w:t xml:space="preserve">Fig. S1: Trends and variability of near surface temperature and humidex: Time series of 2-meter air temperature (black) and humidex (blue) averaged over the MJJAS (May–September, 1940-2023 from ERA5) season at eight selected locations across the South Asian Summer Monsoon domain: a) India-Pakistan Border (72°E-30°N), b) Jammu and Kashmir (75.5°E-36°N), c) Tibetan Plateau (89°E-31°N), d) Mumbai (73°E-19°N), f) Guwahati (91.5°E-26°N), g) Kanyakumari (77.5°E-8.5°N), h) Colombo (80°E-7°N), and </w:t>
      </w:r>
      <w:proofErr w:type="spellStart"/>
      <w:r>
        <w:rPr>
          <w:rFonts w:cs="Times New Roman"/>
          <w:szCs w:val="24"/>
          <w:lang w:val="x-none"/>
        </w:rPr>
        <w:t>i</w:t>
      </w:r>
      <w:proofErr w:type="spellEnd"/>
      <w:r>
        <w:rPr>
          <w:rFonts w:cs="Times New Roman"/>
          <w:szCs w:val="24"/>
          <w:lang w:val="x-none"/>
        </w:rPr>
        <w:t>) Dhaka (90.25°E-23.5°N). Panel e) shows the spatial distribution of trends (Sen’s slope) in 2-meter temperature anomalies for the MJJAS season (1940-2023, ERA5). Stippling indicates statistically significant trends at the 99% confidence level (p &lt; 0.01) based on the Mann–</w:t>
      </w:r>
      <w:r>
        <w:rPr>
          <w:rFonts w:cs="Times New Roman"/>
          <w:szCs w:val="24"/>
          <w:lang w:val="x-none"/>
        </w:rPr>
        <w:lastRenderedPageBreak/>
        <w:t xml:space="preserve">Kendall test. The unit of the </w:t>
      </w:r>
      <w:proofErr w:type="spellStart"/>
      <w:r>
        <w:rPr>
          <w:rFonts w:cs="Times New Roman"/>
          <w:szCs w:val="24"/>
          <w:lang w:val="x-none"/>
        </w:rPr>
        <w:t>color</w:t>
      </w:r>
      <w:proofErr w:type="spellEnd"/>
      <w:r>
        <w:rPr>
          <w:rFonts w:cs="Times New Roman"/>
          <w:szCs w:val="24"/>
          <w:lang w:val="x-none"/>
        </w:rPr>
        <w:t xml:space="preserve"> bar is °C per decade. The selected boxes represent regions with contrasting characteristics in near surface temperature anomalies over Northwest India (68°E to 76°E, 26°N to 32°N) and Northeast India (89°E to 100°E, 21°N to 30°N), which are further analysed to explore heatwave events in greater detail.</w:t>
      </w:r>
    </w:p>
    <w:p w14:paraId="25D71B76" w14:textId="77777777" w:rsidR="00E53E51" w:rsidRDefault="00E53E51">
      <w:pPr>
        <w:pStyle w:val="Text0"/>
        <w:spacing w:line="360" w:lineRule="auto"/>
        <w:rPr>
          <w:lang w:val="x-none"/>
        </w:rPr>
      </w:pPr>
    </w:p>
    <w:p w14:paraId="25D71B77" w14:textId="77777777" w:rsidR="00E53E51" w:rsidRDefault="00E53E51">
      <w:pPr>
        <w:pStyle w:val="Text0"/>
        <w:spacing w:line="360" w:lineRule="auto"/>
        <w:rPr>
          <w:lang w:val="x-none"/>
        </w:rPr>
      </w:pPr>
    </w:p>
    <w:p w14:paraId="25D71B78" w14:textId="77777777" w:rsidR="00E53E51" w:rsidRDefault="005A7E09">
      <w:pPr>
        <w:pStyle w:val="Text0"/>
        <w:spacing w:line="360" w:lineRule="auto"/>
        <w:rPr>
          <w:lang w:val="x-none"/>
        </w:rPr>
      </w:pPr>
      <w:r>
        <w:rPr>
          <w:noProof/>
        </w:rPr>
        <w:drawing>
          <wp:inline distT="0" distB="0" distL="0" distR="0" wp14:anchorId="25D71BC0" wp14:editId="25D71BC1">
            <wp:extent cx="5400040" cy="392684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5400040" cy="3926840"/>
                    </a:xfrm>
                    <a:prstGeom prst="rect">
                      <a:avLst/>
                    </a:prstGeom>
                  </pic:spPr>
                </pic:pic>
              </a:graphicData>
            </a:graphic>
          </wp:inline>
        </w:drawing>
      </w:r>
    </w:p>
    <w:p w14:paraId="25D71B79" w14:textId="77777777" w:rsidR="00E53E51" w:rsidRDefault="00E53E51">
      <w:pPr>
        <w:pStyle w:val="Text0"/>
        <w:spacing w:line="360" w:lineRule="auto"/>
        <w:rPr>
          <w:lang w:val="x-none"/>
        </w:rPr>
      </w:pPr>
    </w:p>
    <w:p w14:paraId="25D71B7A" w14:textId="77777777" w:rsidR="00E53E51" w:rsidRDefault="005A7E09">
      <w:pPr>
        <w:pStyle w:val="Text0"/>
        <w:spacing w:line="360" w:lineRule="auto"/>
        <w:rPr>
          <w:lang w:val="x-none"/>
        </w:rPr>
      </w:pPr>
      <w:r>
        <w:rPr>
          <w:rFonts w:cs="Times New Roman"/>
          <w:szCs w:val="24"/>
          <w:lang w:val="x-none"/>
        </w:rPr>
        <w:t>Fig. S2: Violin plot for past and present decades: Probability density distributions of 2-meter air temperature (daily minimum, mean, and maximum), daily mean 2-meter relative humidity, and humidex during the MJJAS (May–September) season for the past decade (1940-1949, blue) and the present decade (2010-2019, red), based on ERA5 reanalysis data. Panels a–c corresponds to Northwest India, and panels d–f corresponds to Northeast India.</w:t>
      </w:r>
    </w:p>
    <w:p w14:paraId="25D71B7B" w14:textId="77777777" w:rsidR="00E53E51" w:rsidRDefault="00E53E51">
      <w:pPr>
        <w:pStyle w:val="Text0"/>
        <w:spacing w:line="360" w:lineRule="auto"/>
        <w:rPr>
          <w:lang w:val="x-none"/>
        </w:rPr>
      </w:pPr>
    </w:p>
    <w:p w14:paraId="25D71B7C" w14:textId="77777777" w:rsidR="00E53E51" w:rsidRDefault="005A7E09">
      <w:pPr>
        <w:pStyle w:val="Text0"/>
        <w:spacing w:line="360" w:lineRule="auto"/>
        <w:rPr>
          <w:lang w:val="x-none"/>
        </w:rPr>
      </w:pPr>
      <w:r>
        <w:rPr>
          <w:noProof/>
        </w:rPr>
        <w:lastRenderedPageBreak/>
        <w:drawing>
          <wp:inline distT="0" distB="0" distL="0" distR="0" wp14:anchorId="25D71BC2" wp14:editId="25D71BC3">
            <wp:extent cx="5731510" cy="429895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stretch>
                      <a:fillRect/>
                    </a:stretch>
                  </pic:blipFill>
                  <pic:spPr bwMode="auto">
                    <a:xfrm>
                      <a:off x="0" y="0"/>
                      <a:ext cx="5731510" cy="4298950"/>
                    </a:xfrm>
                    <a:prstGeom prst="rect">
                      <a:avLst/>
                    </a:prstGeom>
                  </pic:spPr>
                </pic:pic>
              </a:graphicData>
            </a:graphic>
          </wp:inline>
        </w:drawing>
      </w:r>
    </w:p>
    <w:p w14:paraId="25D71B7D" w14:textId="77777777" w:rsidR="00E53E51" w:rsidRDefault="00E53E51">
      <w:pPr>
        <w:pStyle w:val="Text0"/>
        <w:spacing w:line="360" w:lineRule="auto"/>
        <w:rPr>
          <w:lang w:val="x-none"/>
        </w:rPr>
      </w:pPr>
    </w:p>
    <w:p w14:paraId="25D71B7E" w14:textId="77777777" w:rsidR="00E53E51" w:rsidRDefault="005A7E09">
      <w:pPr>
        <w:spacing w:line="360" w:lineRule="auto"/>
        <w:rPr>
          <w:rFonts w:cs="Times New Roman"/>
          <w:szCs w:val="24"/>
        </w:rPr>
      </w:pPr>
      <w:r>
        <w:rPr>
          <w:rFonts w:ascii="Times New Roman" w:hAnsi="Times New Roman" w:cs="Times New Roman"/>
          <w:sz w:val="24"/>
          <w:szCs w:val="24"/>
          <w:lang w:val="x-none"/>
        </w:rPr>
        <w:t xml:space="preserve">Fig. S3: </w:t>
      </w:r>
      <w:r>
        <w:rPr>
          <w:rFonts w:ascii="Times New Roman" w:hAnsi="Times New Roman" w:cs="Times New Roman"/>
          <w:b/>
          <w:bCs/>
          <w:sz w:val="24"/>
          <w:szCs w:val="24"/>
          <w:lang w:val="x-none"/>
        </w:rPr>
        <w:t>Topography:</w:t>
      </w:r>
      <w:r>
        <w:rPr>
          <w:rFonts w:ascii="Times New Roman" w:hAnsi="Times New Roman" w:cs="Times New Roman"/>
          <w:sz w:val="24"/>
          <w:szCs w:val="24"/>
          <w:lang w:val="x-none"/>
        </w:rPr>
        <w:t xml:space="preserve"> Topography over the South Asian monsoon region is shown, masked over land areas below 700 m elevation. The two key study regions of interest, selected to have comparable grid points and elevation, are also highlighted with grey boxes.</w:t>
      </w:r>
    </w:p>
    <w:p w14:paraId="25D71B7F" w14:textId="77777777" w:rsidR="00E53E51" w:rsidRDefault="00E53E51">
      <w:pPr>
        <w:spacing w:line="360" w:lineRule="auto"/>
        <w:rPr>
          <w:rFonts w:cs="Times New Roman"/>
          <w:szCs w:val="24"/>
        </w:rPr>
      </w:pPr>
    </w:p>
    <w:p w14:paraId="25D71B80" w14:textId="77777777" w:rsidR="00E53E51" w:rsidRDefault="00E53E51">
      <w:pPr>
        <w:spacing w:line="360" w:lineRule="auto"/>
        <w:rPr>
          <w:rFonts w:cs="Times New Roman"/>
          <w:szCs w:val="24"/>
        </w:rPr>
      </w:pPr>
    </w:p>
    <w:p w14:paraId="25D71B81" w14:textId="77777777" w:rsidR="00E53E51" w:rsidRDefault="005A7E09">
      <w:pPr>
        <w:spacing w:line="360" w:lineRule="auto"/>
        <w:rPr>
          <w:rFonts w:cs="Times New Roman"/>
          <w:szCs w:val="24"/>
        </w:rPr>
      </w:pPr>
      <w:r>
        <w:rPr>
          <w:noProof/>
        </w:rPr>
        <w:lastRenderedPageBreak/>
        <w:drawing>
          <wp:anchor distT="0" distB="0" distL="0" distR="0" simplePos="0" relativeHeight="48" behindDoc="0" locked="0" layoutInCell="0" allowOverlap="1" wp14:anchorId="25D71BC4" wp14:editId="25D71BC5">
            <wp:simplePos x="0" y="0"/>
            <wp:positionH relativeFrom="column">
              <wp:posOffset>327660</wp:posOffset>
            </wp:positionH>
            <wp:positionV relativeFrom="paragraph">
              <wp:posOffset>111125</wp:posOffset>
            </wp:positionV>
            <wp:extent cx="5572125" cy="5743575"/>
            <wp:effectExtent l="0" t="0" r="0" b="0"/>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0"/>
                    <a:srcRect l="5925" t="16506" r="6075" b="7904"/>
                    <a:stretch>
                      <a:fillRect/>
                    </a:stretch>
                  </pic:blipFill>
                  <pic:spPr bwMode="auto">
                    <a:xfrm>
                      <a:off x="0" y="0"/>
                      <a:ext cx="5572125" cy="5743575"/>
                    </a:xfrm>
                    <a:prstGeom prst="rect">
                      <a:avLst/>
                    </a:prstGeom>
                  </pic:spPr>
                </pic:pic>
              </a:graphicData>
            </a:graphic>
          </wp:anchor>
        </w:drawing>
      </w:r>
      <w:r>
        <w:rPr>
          <w:rFonts w:ascii="Times New Roman" w:hAnsi="Times New Roman" w:cs="Times New Roman"/>
          <w:sz w:val="24"/>
          <w:szCs w:val="24"/>
          <w:lang w:val="x-none"/>
        </w:rPr>
        <w:t xml:space="preserve">Fig. S4: </w:t>
      </w:r>
      <w:r>
        <w:rPr>
          <w:rFonts w:ascii="Times New Roman" w:hAnsi="Times New Roman" w:cs="Times New Roman"/>
          <w:b/>
          <w:bCs/>
          <w:sz w:val="24"/>
          <w:szCs w:val="24"/>
          <w:lang w:val="x-none"/>
        </w:rPr>
        <w:t>Trends of Heatwave metrics based on 95</w:t>
      </w:r>
      <w:r>
        <w:rPr>
          <w:rFonts w:ascii="Times New Roman" w:hAnsi="Times New Roman" w:cs="Times New Roman"/>
          <w:b/>
          <w:bCs/>
          <w:sz w:val="24"/>
          <w:szCs w:val="24"/>
          <w:vertAlign w:val="superscript"/>
          <w:lang w:val="x-none"/>
        </w:rPr>
        <w:t>th</w:t>
      </w:r>
      <w:r>
        <w:rPr>
          <w:rFonts w:ascii="Times New Roman" w:hAnsi="Times New Roman" w:cs="Times New Roman"/>
          <w:b/>
          <w:bCs/>
          <w:sz w:val="24"/>
          <w:szCs w:val="24"/>
          <w:lang w:val="x-none"/>
        </w:rPr>
        <w:t xml:space="preserve"> percentile threshold using daily maximum surface humidex: </w:t>
      </w:r>
      <w:r>
        <w:rPr>
          <w:rFonts w:ascii="Times New Roman" w:hAnsi="Times New Roman" w:cs="Times New Roman"/>
          <w:sz w:val="24"/>
          <w:szCs w:val="24"/>
          <w:lang w:val="x-none"/>
        </w:rPr>
        <w:t>Trends of heatwave metrics from daily maximum surface humidex over the South Asian Summer Monsoon region based on the 95</w:t>
      </w:r>
      <w:r>
        <w:rPr>
          <w:rFonts w:ascii="Times New Roman" w:hAnsi="Times New Roman" w:cs="Times New Roman"/>
          <w:sz w:val="24"/>
          <w:szCs w:val="24"/>
          <w:vertAlign w:val="superscript"/>
          <w:lang w:val="x-none"/>
        </w:rPr>
        <w:t>th</w:t>
      </w:r>
      <w:r>
        <w:rPr>
          <w:rFonts w:ascii="Times New Roman" w:hAnsi="Times New Roman" w:cs="Times New Roman"/>
          <w:sz w:val="24"/>
          <w:szCs w:val="24"/>
          <w:lang w:val="x-none"/>
        </w:rPr>
        <w:t xml:space="preserve"> percentile criteria (1940–2023): a) Total Heatwave Days (days decade⁻¹), b) </w:t>
      </w:r>
      <w:proofErr w:type="spellStart"/>
      <w:r>
        <w:rPr>
          <w:rFonts w:ascii="Times New Roman" w:hAnsi="Times New Roman" w:cs="Times New Roman"/>
          <w:sz w:val="24"/>
          <w:szCs w:val="24"/>
          <w:lang w:val="x-none"/>
        </w:rPr>
        <w:t>Heatspell</w:t>
      </w:r>
      <w:proofErr w:type="spellEnd"/>
      <w:r>
        <w:rPr>
          <w:rFonts w:ascii="Times New Roman" w:hAnsi="Times New Roman" w:cs="Times New Roman"/>
          <w:sz w:val="24"/>
          <w:szCs w:val="24"/>
          <w:lang w:val="x-none"/>
        </w:rPr>
        <w:t xml:space="preserve"> Events (count decade⁻¹), c) Intensity (°C decade⁻¹), d) Longest </w:t>
      </w:r>
      <w:proofErr w:type="spellStart"/>
      <w:r>
        <w:rPr>
          <w:rFonts w:ascii="Times New Roman" w:hAnsi="Times New Roman" w:cs="Times New Roman"/>
          <w:sz w:val="24"/>
          <w:szCs w:val="24"/>
          <w:lang w:val="x-none"/>
        </w:rPr>
        <w:t>Heatspell</w:t>
      </w:r>
      <w:proofErr w:type="spellEnd"/>
      <w:r>
        <w:rPr>
          <w:rFonts w:ascii="Times New Roman" w:hAnsi="Times New Roman" w:cs="Times New Roman"/>
          <w:sz w:val="24"/>
          <w:szCs w:val="24"/>
          <w:lang w:val="x-none"/>
        </w:rPr>
        <w:t xml:space="preserve"> (days decade⁻¹). </w:t>
      </w:r>
    </w:p>
    <w:p w14:paraId="25D71B82" w14:textId="77777777" w:rsidR="00E53E51" w:rsidRDefault="00E53E51">
      <w:pPr>
        <w:spacing w:line="360" w:lineRule="auto"/>
        <w:rPr>
          <w:rFonts w:cs="Times New Roman"/>
          <w:szCs w:val="24"/>
        </w:rPr>
      </w:pPr>
    </w:p>
    <w:p w14:paraId="25D71B83" w14:textId="77777777" w:rsidR="00E53E51" w:rsidRDefault="005A7E09">
      <w:pPr>
        <w:spacing w:line="360" w:lineRule="auto"/>
        <w:rPr>
          <w:rFonts w:cs="Times New Roman"/>
          <w:szCs w:val="24"/>
        </w:rPr>
      </w:pPr>
      <w:r>
        <w:rPr>
          <w:noProof/>
        </w:rPr>
        <w:lastRenderedPageBreak/>
        <w:drawing>
          <wp:inline distT="0" distB="0" distL="0" distR="0" wp14:anchorId="25D71BC6" wp14:editId="25D71BC7">
            <wp:extent cx="5400040" cy="5481955"/>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1"/>
                    <a:stretch>
                      <a:fillRect/>
                    </a:stretch>
                  </pic:blipFill>
                  <pic:spPr bwMode="auto">
                    <a:xfrm>
                      <a:off x="0" y="0"/>
                      <a:ext cx="5400040" cy="5481955"/>
                    </a:xfrm>
                    <a:prstGeom prst="rect">
                      <a:avLst/>
                    </a:prstGeom>
                  </pic:spPr>
                </pic:pic>
              </a:graphicData>
            </a:graphic>
          </wp:inline>
        </w:drawing>
      </w:r>
    </w:p>
    <w:p w14:paraId="25D71B84" w14:textId="77777777" w:rsidR="00E53E51" w:rsidRDefault="00E53E51">
      <w:pPr>
        <w:spacing w:line="360" w:lineRule="auto"/>
        <w:rPr>
          <w:rFonts w:cs="Times New Roman"/>
          <w:szCs w:val="24"/>
        </w:rPr>
      </w:pPr>
    </w:p>
    <w:p w14:paraId="25D71B85" w14:textId="77777777" w:rsidR="00E53E51" w:rsidRDefault="00E53E51">
      <w:pPr>
        <w:spacing w:line="360" w:lineRule="auto"/>
        <w:rPr>
          <w:rFonts w:cs="Times New Roman"/>
          <w:szCs w:val="24"/>
        </w:rPr>
      </w:pPr>
    </w:p>
    <w:p w14:paraId="25D71B86" w14:textId="77777777" w:rsidR="00E53E51" w:rsidRDefault="005A7E09">
      <w:pPr>
        <w:spacing w:line="360" w:lineRule="auto"/>
        <w:rPr>
          <w:rFonts w:cs="Times New Roman"/>
          <w:szCs w:val="24"/>
        </w:rPr>
      </w:pPr>
      <w:r>
        <w:rPr>
          <w:rFonts w:ascii="Times New Roman" w:hAnsi="Times New Roman" w:cs="Times New Roman"/>
          <w:sz w:val="24"/>
          <w:szCs w:val="24"/>
          <w:lang w:val="x-none"/>
        </w:rPr>
        <w:t xml:space="preserve">Fig. S5: </w:t>
      </w:r>
      <w:r>
        <w:rPr>
          <w:rFonts w:ascii="Times New Roman" w:hAnsi="Times New Roman" w:cs="Times New Roman"/>
          <w:b/>
          <w:bCs/>
          <w:sz w:val="24"/>
          <w:szCs w:val="24"/>
          <w:lang w:val="x-none"/>
        </w:rPr>
        <w:t>Trends of Heatwave metrics based on 90</w:t>
      </w:r>
      <w:r>
        <w:rPr>
          <w:rFonts w:ascii="Times New Roman" w:hAnsi="Times New Roman" w:cs="Times New Roman"/>
          <w:b/>
          <w:bCs/>
          <w:sz w:val="24"/>
          <w:szCs w:val="24"/>
          <w:vertAlign w:val="superscript"/>
          <w:lang w:val="x-none"/>
        </w:rPr>
        <w:t>th</w:t>
      </w:r>
      <w:r>
        <w:rPr>
          <w:rFonts w:ascii="Times New Roman" w:hAnsi="Times New Roman" w:cs="Times New Roman"/>
          <w:b/>
          <w:bCs/>
          <w:sz w:val="24"/>
          <w:szCs w:val="24"/>
          <w:lang w:val="x-none"/>
        </w:rPr>
        <w:t xml:space="preserve"> percentile threshold using daily maximum 2m air temperature:</w:t>
      </w:r>
      <w:r>
        <w:rPr>
          <w:rFonts w:ascii="Times New Roman" w:hAnsi="Times New Roman" w:cs="Times New Roman"/>
          <w:sz w:val="24"/>
          <w:szCs w:val="24"/>
          <w:lang w:val="x-none"/>
        </w:rPr>
        <w:t xml:space="preserve"> Trends of heatwave metrics from daily maximum surface temperature over the South Asian Summer Monsoon region based on the 90</w:t>
      </w:r>
      <w:r>
        <w:rPr>
          <w:rFonts w:ascii="Times New Roman" w:hAnsi="Times New Roman" w:cs="Times New Roman"/>
          <w:sz w:val="24"/>
          <w:szCs w:val="24"/>
          <w:vertAlign w:val="superscript"/>
          <w:lang w:val="x-none"/>
        </w:rPr>
        <w:t>th</w:t>
      </w:r>
      <w:r>
        <w:rPr>
          <w:rFonts w:ascii="Times New Roman" w:hAnsi="Times New Roman" w:cs="Times New Roman"/>
          <w:sz w:val="24"/>
          <w:szCs w:val="24"/>
          <w:lang w:val="x-none"/>
        </w:rPr>
        <w:t xml:space="preserve"> percentile criteria (1940–2023): a) Total Heatwave Days (days decade⁻¹), b) </w:t>
      </w:r>
      <w:proofErr w:type="spellStart"/>
      <w:r>
        <w:rPr>
          <w:rFonts w:ascii="Times New Roman" w:hAnsi="Times New Roman" w:cs="Times New Roman"/>
          <w:sz w:val="24"/>
          <w:szCs w:val="24"/>
          <w:lang w:val="x-none"/>
        </w:rPr>
        <w:t>Heatspell</w:t>
      </w:r>
      <w:proofErr w:type="spellEnd"/>
      <w:r>
        <w:rPr>
          <w:rFonts w:ascii="Times New Roman" w:hAnsi="Times New Roman" w:cs="Times New Roman"/>
          <w:sz w:val="24"/>
          <w:szCs w:val="24"/>
          <w:lang w:val="x-none"/>
        </w:rPr>
        <w:t xml:space="preserve"> Events (count decade⁻¹), c) Intensity (°C decade⁻¹), d) Longest </w:t>
      </w:r>
      <w:proofErr w:type="spellStart"/>
      <w:r>
        <w:rPr>
          <w:rFonts w:ascii="Times New Roman" w:hAnsi="Times New Roman" w:cs="Times New Roman"/>
          <w:sz w:val="24"/>
          <w:szCs w:val="24"/>
          <w:lang w:val="x-none"/>
        </w:rPr>
        <w:t>Heatspell</w:t>
      </w:r>
      <w:proofErr w:type="spellEnd"/>
      <w:r>
        <w:rPr>
          <w:rFonts w:ascii="Times New Roman" w:hAnsi="Times New Roman" w:cs="Times New Roman"/>
          <w:sz w:val="24"/>
          <w:szCs w:val="24"/>
          <w:lang w:val="x-none"/>
        </w:rPr>
        <w:t xml:space="preserve"> (days decade⁻¹).</w:t>
      </w:r>
    </w:p>
    <w:p w14:paraId="25D71B87" w14:textId="77777777" w:rsidR="00E53E51" w:rsidRDefault="00E53E51">
      <w:pPr>
        <w:spacing w:line="360" w:lineRule="auto"/>
        <w:rPr>
          <w:rFonts w:cs="Times New Roman"/>
          <w:szCs w:val="24"/>
        </w:rPr>
      </w:pPr>
    </w:p>
    <w:p w14:paraId="25D71B88" w14:textId="77777777" w:rsidR="00E53E51" w:rsidRDefault="005A7E09">
      <w:pPr>
        <w:spacing w:line="360" w:lineRule="auto"/>
        <w:rPr>
          <w:rFonts w:cs="Times New Roman"/>
          <w:szCs w:val="24"/>
        </w:rPr>
      </w:pPr>
      <w:r>
        <w:rPr>
          <w:noProof/>
        </w:rPr>
        <w:lastRenderedPageBreak/>
        <w:drawing>
          <wp:inline distT="0" distB="0" distL="0" distR="0" wp14:anchorId="25D71BC8" wp14:editId="25D71BC9">
            <wp:extent cx="5400040" cy="557530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2"/>
                    <a:stretch>
                      <a:fillRect/>
                    </a:stretch>
                  </pic:blipFill>
                  <pic:spPr bwMode="auto">
                    <a:xfrm>
                      <a:off x="0" y="0"/>
                      <a:ext cx="5400040" cy="5575300"/>
                    </a:xfrm>
                    <a:prstGeom prst="rect">
                      <a:avLst/>
                    </a:prstGeom>
                  </pic:spPr>
                </pic:pic>
              </a:graphicData>
            </a:graphic>
          </wp:inline>
        </w:drawing>
      </w:r>
    </w:p>
    <w:p w14:paraId="25D71B89" w14:textId="77777777" w:rsidR="00E53E51" w:rsidRDefault="00E53E51">
      <w:pPr>
        <w:spacing w:line="360" w:lineRule="auto"/>
        <w:rPr>
          <w:rFonts w:cs="Times New Roman"/>
          <w:szCs w:val="24"/>
        </w:rPr>
      </w:pPr>
    </w:p>
    <w:p w14:paraId="25D71B8A" w14:textId="77777777" w:rsidR="00E53E51" w:rsidRDefault="00E53E51">
      <w:pPr>
        <w:spacing w:line="360" w:lineRule="auto"/>
        <w:rPr>
          <w:rFonts w:cs="Times New Roman"/>
          <w:szCs w:val="24"/>
        </w:rPr>
      </w:pPr>
    </w:p>
    <w:p w14:paraId="25D71B8B" w14:textId="77777777" w:rsidR="00E53E51" w:rsidRDefault="005A7E09">
      <w:pPr>
        <w:spacing w:line="360" w:lineRule="auto"/>
        <w:rPr>
          <w:rFonts w:cs="Times New Roman"/>
          <w:szCs w:val="24"/>
        </w:rPr>
      </w:pPr>
      <w:r>
        <w:rPr>
          <w:rFonts w:ascii="Times New Roman" w:hAnsi="Times New Roman" w:cs="Times New Roman"/>
          <w:sz w:val="24"/>
          <w:szCs w:val="24"/>
          <w:lang w:val="x-none"/>
        </w:rPr>
        <w:t xml:space="preserve">Fig. S6: </w:t>
      </w:r>
      <w:r>
        <w:rPr>
          <w:rFonts w:ascii="Times New Roman" w:hAnsi="Times New Roman" w:cs="Times New Roman"/>
          <w:b/>
          <w:bCs/>
          <w:sz w:val="24"/>
          <w:szCs w:val="24"/>
          <w:lang w:val="x-none"/>
        </w:rPr>
        <w:t>Trends of Heatwave metrics based on 95</w:t>
      </w:r>
      <w:r>
        <w:rPr>
          <w:rFonts w:ascii="Times New Roman" w:hAnsi="Times New Roman" w:cs="Times New Roman"/>
          <w:b/>
          <w:bCs/>
          <w:sz w:val="24"/>
          <w:szCs w:val="24"/>
          <w:vertAlign w:val="superscript"/>
          <w:lang w:val="x-none"/>
        </w:rPr>
        <w:t>th</w:t>
      </w:r>
      <w:r>
        <w:rPr>
          <w:rFonts w:ascii="Times New Roman" w:hAnsi="Times New Roman" w:cs="Times New Roman"/>
          <w:b/>
          <w:bCs/>
          <w:sz w:val="24"/>
          <w:szCs w:val="24"/>
          <w:lang w:val="x-none"/>
        </w:rPr>
        <w:t xml:space="preserve"> percentile threshold using daily maximum 2m air temperature: </w:t>
      </w:r>
      <w:r>
        <w:rPr>
          <w:rFonts w:ascii="Times New Roman" w:hAnsi="Times New Roman" w:cs="Times New Roman"/>
          <w:sz w:val="24"/>
          <w:szCs w:val="24"/>
          <w:lang w:val="x-none"/>
        </w:rPr>
        <w:t>Trends of heatwave metrics from daily maximum surface temperature over the South Asian Summer Monsoon region based on the 95</w:t>
      </w:r>
      <w:r>
        <w:rPr>
          <w:rFonts w:ascii="Times New Roman" w:hAnsi="Times New Roman" w:cs="Times New Roman"/>
          <w:sz w:val="24"/>
          <w:szCs w:val="24"/>
          <w:vertAlign w:val="superscript"/>
          <w:lang w:val="x-none"/>
        </w:rPr>
        <w:t>th</w:t>
      </w:r>
      <w:r>
        <w:rPr>
          <w:rFonts w:ascii="Times New Roman" w:hAnsi="Times New Roman" w:cs="Times New Roman"/>
          <w:sz w:val="24"/>
          <w:szCs w:val="24"/>
          <w:lang w:val="x-none"/>
        </w:rPr>
        <w:t xml:space="preserve"> percentile criteria (1940–2023): a) Total Heatwave Days (days decade⁻¹), b) </w:t>
      </w:r>
      <w:proofErr w:type="spellStart"/>
      <w:r>
        <w:rPr>
          <w:rFonts w:ascii="Times New Roman" w:hAnsi="Times New Roman" w:cs="Times New Roman"/>
          <w:sz w:val="24"/>
          <w:szCs w:val="24"/>
          <w:lang w:val="x-none"/>
        </w:rPr>
        <w:t>Heatspell</w:t>
      </w:r>
      <w:proofErr w:type="spellEnd"/>
      <w:r>
        <w:rPr>
          <w:rFonts w:ascii="Times New Roman" w:hAnsi="Times New Roman" w:cs="Times New Roman"/>
          <w:sz w:val="24"/>
          <w:szCs w:val="24"/>
          <w:lang w:val="x-none"/>
        </w:rPr>
        <w:t xml:space="preserve"> Events (count decade⁻¹), c) Intensity (°C decade⁻¹), d) Longest </w:t>
      </w:r>
      <w:proofErr w:type="spellStart"/>
      <w:r>
        <w:rPr>
          <w:rFonts w:ascii="Times New Roman" w:hAnsi="Times New Roman" w:cs="Times New Roman"/>
          <w:sz w:val="24"/>
          <w:szCs w:val="24"/>
          <w:lang w:val="x-none"/>
        </w:rPr>
        <w:t>Heatspell</w:t>
      </w:r>
      <w:proofErr w:type="spellEnd"/>
      <w:r>
        <w:rPr>
          <w:rFonts w:ascii="Times New Roman" w:hAnsi="Times New Roman" w:cs="Times New Roman"/>
          <w:sz w:val="24"/>
          <w:szCs w:val="24"/>
          <w:lang w:val="x-none"/>
        </w:rPr>
        <w:t xml:space="preserve"> (days decade⁻¹).</w:t>
      </w:r>
    </w:p>
    <w:p w14:paraId="25D71B8C" w14:textId="77777777" w:rsidR="00E53E51" w:rsidRDefault="00E53E51">
      <w:pPr>
        <w:spacing w:line="360" w:lineRule="auto"/>
        <w:rPr>
          <w:rFonts w:cs="Times New Roman"/>
          <w:szCs w:val="24"/>
        </w:rPr>
      </w:pPr>
    </w:p>
    <w:p w14:paraId="25D71B8D" w14:textId="77777777" w:rsidR="00E53E51" w:rsidRDefault="00E53E51">
      <w:pPr>
        <w:spacing w:line="360" w:lineRule="auto"/>
        <w:rPr>
          <w:rFonts w:cs="Times New Roman"/>
          <w:szCs w:val="24"/>
        </w:rPr>
      </w:pPr>
    </w:p>
    <w:p w14:paraId="25D71B8E" w14:textId="77777777" w:rsidR="00E53E51" w:rsidRDefault="005A7E09">
      <w:pPr>
        <w:spacing w:line="360" w:lineRule="auto"/>
        <w:rPr>
          <w:rFonts w:cs="Times New Roman"/>
          <w:szCs w:val="24"/>
        </w:rPr>
      </w:pPr>
      <w:r>
        <w:rPr>
          <w:noProof/>
        </w:rPr>
        <w:lastRenderedPageBreak/>
        <w:drawing>
          <wp:inline distT="0" distB="0" distL="0" distR="0" wp14:anchorId="25D71BCA" wp14:editId="25D71BCB">
            <wp:extent cx="5731510" cy="2865755"/>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3"/>
                    <a:stretch>
                      <a:fillRect/>
                    </a:stretch>
                  </pic:blipFill>
                  <pic:spPr bwMode="auto">
                    <a:xfrm>
                      <a:off x="0" y="0"/>
                      <a:ext cx="5731510" cy="2865755"/>
                    </a:xfrm>
                    <a:prstGeom prst="rect">
                      <a:avLst/>
                    </a:prstGeom>
                  </pic:spPr>
                </pic:pic>
              </a:graphicData>
            </a:graphic>
          </wp:inline>
        </w:drawing>
      </w:r>
    </w:p>
    <w:p w14:paraId="25D71B8F" w14:textId="77777777" w:rsidR="00E53E51" w:rsidRDefault="00E53E51">
      <w:pPr>
        <w:spacing w:line="360" w:lineRule="auto"/>
        <w:rPr>
          <w:rFonts w:cs="Times New Roman"/>
          <w:szCs w:val="24"/>
        </w:rPr>
      </w:pPr>
    </w:p>
    <w:p w14:paraId="25D71B90" w14:textId="77777777" w:rsidR="00E53E51" w:rsidRDefault="005A7E09">
      <w:pPr>
        <w:spacing w:line="360" w:lineRule="auto"/>
        <w:rPr>
          <w:rFonts w:cs="Times New Roman"/>
          <w:szCs w:val="24"/>
        </w:rPr>
      </w:pPr>
      <w:r>
        <w:rPr>
          <w:rFonts w:ascii="Times New Roman" w:hAnsi="Times New Roman" w:cs="Times New Roman"/>
          <w:sz w:val="24"/>
          <w:szCs w:val="24"/>
          <w:lang w:val="x-none"/>
        </w:rPr>
        <w:t xml:space="preserve">Fig. S7: </w:t>
      </w:r>
      <w:r>
        <w:rPr>
          <w:rFonts w:ascii="Times New Roman" w:hAnsi="Times New Roman" w:cs="Times New Roman"/>
          <w:b/>
          <w:bCs/>
          <w:sz w:val="24"/>
          <w:szCs w:val="24"/>
          <w:lang w:val="x-none"/>
        </w:rPr>
        <w:t>Area averaged Heatwave metrics based on 90</w:t>
      </w:r>
      <w:r>
        <w:rPr>
          <w:rFonts w:ascii="Times New Roman" w:hAnsi="Times New Roman" w:cs="Times New Roman"/>
          <w:b/>
          <w:bCs/>
          <w:sz w:val="24"/>
          <w:szCs w:val="24"/>
          <w:vertAlign w:val="superscript"/>
          <w:lang w:val="x-none"/>
        </w:rPr>
        <w:t>th</w:t>
      </w:r>
      <w:r>
        <w:rPr>
          <w:rFonts w:ascii="Times New Roman" w:hAnsi="Times New Roman" w:cs="Times New Roman"/>
          <w:b/>
          <w:bCs/>
          <w:sz w:val="24"/>
          <w:szCs w:val="24"/>
          <w:lang w:val="x-none"/>
        </w:rPr>
        <w:t xml:space="preserve"> percentile threshold over Northwest India and Northeast India-Bangladesh (hills): </w:t>
      </w:r>
      <w:r>
        <w:rPr>
          <w:rFonts w:ascii="Times New Roman" w:hAnsi="Times New Roman" w:cs="Times New Roman"/>
          <w:sz w:val="24"/>
          <w:szCs w:val="24"/>
          <w:lang w:val="x-none"/>
        </w:rPr>
        <w:t>Time series of heatwave metrics (90</w:t>
      </w:r>
      <w:r>
        <w:rPr>
          <w:rFonts w:ascii="Times New Roman" w:hAnsi="Times New Roman" w:cs="Times New Roman"/>
          <w:sz w:val="24"/>
          <w:szCs w:val="24"/>
          <w:vertAlign w:val="superscript"/>
          <w:lang w:val="x-none"/>
        </w:rPr>
        <w:t>th</w:t>
      </w:r>
      <w:r>
        <w:rPr>
          <w:rFonts w:ascii="Times New Roman" w:hAnsi="Times New Roman" w:cs="Times New Roman"/>
          <w:sz w:val="24"/>
          <w:szCs w:val="24"/>
          <w:lang w:val="x-none"/>
        </w:rPr>
        <w:t>-percentile threshold) from 1940–2023 over Northwest India (70–77°E, 33.75–27°N; upper panels, a–d) and Northeast India–Bangladesh (88–98°E, 28.5–21.75°N; lower panels, e–h). Grey curves represent surface air temperature, blue curves represent surface humidex, and trend lines (green and red) are estimated using piecewise linear least squares fits&gt;700m.</w:t>
      </w:r>
    </w:p>
    <w:p w14:paraId="25D71B91" w14:textId="77777777" w:rsidR="00E53E51" w:rsidRDefault="00E53E51">
      <w:pPr>
        <w:spacing w:line="360" w:lineRule="auto"/>
        <w:rPr>
          <w:rFonts w:cs="Times New Roman"/>
          <w:szCs w:val="24"/>
        </w:rPr>
      </w:pPr>
    </w:p>
    <w:p w14:paraId="25D71B92" w14:textId="77777777" w:rsidR="00E53E51" w:rsidRDefault="00E53E51">
      <w:pPr>
        <w:spacing w:line="360" w:lineRule="auto"/>
        <w:rPr>
          <w:rFonts w:cs="Times New Roman"/>
          <w:szCs w:val="24"/>
        </w:rPr>
      </w:pPr>
    </w:p>
    <w:p w14:paraId="25D71B93" w14:textId="77777777" w:rsidR="00E53E51" w:rsidRDefault="005A7E09">
      <w:pPr>
        <w:spacing w:line="360" w:lineRule="auto"/>
        <w:rPr>
          <w:rFonts w:cs="Times New Roman"/>
          <w:szCs w:val="24"/>
        </w:rPr>
      </w:pPr>
      <w:r>
        <w:rPr>
          <w:noProof/>
        </w:rPr>
        <w:drawing>
          <wp:inline distT="0" distB="0" distL="0" distR="0" wp14:anchorId="25D71BCC" wp14:editId="25D71BCD">
            <wp:extent cx="5731510" cy="2865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stretch>
                      <a:fillRect/>
                    </a:stretch>
                  </pic:blipFill>
                  <pic:spPr bwMode="auto">
                    <a:xfrm>
                      <a:off x="0" y="0"/>
                      <a:ext cx="5731510" cy="2865755"/>
                    </a:xfrm>
                    <a:prstGeom prst="rect">
                      <a:avLst/>
                    </a:prstGeom>
                  </pic:spPr>
                </pic:pic>
              </a:graphicData>
            </a:graphic>
          </wp:inline>
        </w:drawing>
      </w:r>
    </w:p>
    <w:p w14:paraId="25D71B94" w14:textId="77777777" w:rsidR="00E53E51" w:rsidRDefault="00E53E51">
      <w:pPr>
        <w:spacing w:line="360" w:lineRule="auto"/>
        <w:rPr>
          <w:rFonts w:cs="Times New Roman"/>
          <w:szCs w:val="24"/>
        </w:rPr>
      </w:pPr>
    </w:p>
    <w:p w14:paraId="25D71B95" w14:textId="77777777" w:rsidR="00E53E51" w:rsidRDefault="00E53E51">
      <w:pPr>
        <w:spacing w:line="360" w:lineRule="auto"/>
        <w:rPr>
          <w:rFonts w:cs="Times New Roman"/>
          <w:szCs w:val="24"/>
        </w:rPr>
      </w:pPr>
    </w:p>
    <w:p w14:paraId="25D71B96" w14:textId="77777777" w:rsidR="00E53E51" w:rsidRDefault="00E53E51">
      <w:pPr>
        <w:spacing w:line="360" w:lineRule="auto"/>
        <w:rPr>
          <w:rFonts w:cs="Times New Roman"/>
          <w:szCs w:val="24"/>
        </w:rPr>
      </w:pPr>
    </w:p>
    <w:p w14:paraId="25D71B97" w14:textId="77777777" w:rsidR="00E53E51" w:rsidRDefault="005A7E09">
      <w:pPr>
        <w:spacing w:line="360" w:lineRule="auto"/>
        <w:rPr>
          <w:rFonts w:cs="Times New Roman"/>
          <w:szCs w:val="24"/>
        </w:rPr>
      </w:pPr>
      <w:r>
        <w:rPr>
          <w:rFonts w:ascii="Times New Roman" w:hAnsi="Times New Roman" w:cs="Times New Roman"/>
          <w:sz w:val="24"/>
          <w:szCs w:val="24"/>
          <w:lang w:val="x-none"/>
        </w:rPr>
        <w:t xml:space="preserve">Fig. S8: </w:t>
      </w:r>
      <w:r>
        <w:rPr>
          <w:rFonts w:ascii="Times New Roman" w:hAnsi="Times New Roman" w:cs="Times New Roman"/>
          <w:b/>
          <w:bCs/>
          <w:sz w:val="24"/>
          <w:szCs w:val="24"/>
          <w:lang w:val="x-none"/>
        </w:rPr>
        <w:t>Area averaged Heatwave metrics based on 95</w:t>
      </w:r>
      <w:r>
        <w:rPr>
          <w:rFonts w:ascii="Times New Roman" w:hAnsi="Times New Roman" w:cs="Times New Roman"/>
          <w:b/>
          <w:bCs/>
          <w:sz w:val="24"/>
          <w:szCs w:val="24"/>
          <w:vertAlign w:val="superscript"/>
          <w:lang w:val="x-none"/>
        </w:rPr>
        <w:t>th</w:t>
      </w:r>
      <w:r>
        <w:rPr>
          <w:rFonts w:ascii="Times New Roman" w:hAnsi="Times New Roman" w:cs="Times New Roman"/>
          <w:b/>
          <w:bCs/>
          <w:sz w:val="24"/>
          <w:szCs w:val="24"/>
          <w:lang w:val="x-none"/>
        </w:rPr>
        <w:t xml:space="preserve"> percentile threshold over Northwest India and Northeast India-Bangladesh: </w:t>
      </w:r>
      <w:r>
        <w:rPr>
          <w:rFonts w:ascii="Times New Roman" w:hAnsi="Times New Roman" w:cs="Times New Roman"/>
          <w:sz w:val="24"/>
          <w:szCs w:val="24"/>
          <w:lang w:val="x-none"/>
        </w:rPr>
        <w:t>Time series of heatwave metrics (95</w:t>
      </w:r>
      <w:r>
        <w:rPr>
          <w:rFonts w:ascii="Times New Roman" w:hAnsi="Times New Roman" w:cs="Times New Roman"/>
          <w:sz w:val="24"/>
          <w:szCs w:val="24"/>
          <w:vertAlign w:val="superscript"/>
          <w:lang w:val="x-none"/>
        </w:rPr>
        <w:t>th</w:t>
      </w:r>
      <w:r>
        <w:rPr>
          <w:rFonts w:ascii="Times New Roman" w:hAnsi="Times New Roman" w:cs="Times New Roman"/>
          <w:sz w:val="24"/>
          <w:szCs w:val="24"/>
          <w:lang w:val="x-none"/>
        </w:rPr>
        <w:t>-percentile threshold) from 1940–2023 over Northwest India (70–77°E, 33.75–27°N; upper panels, a–d) and Northeast India–Bangladesh (88–98°E, 28.5–21.75°N; lower panels, e–h). Grey curves represent surface air temperature, blue curves represent surface humidex, and trend lines (green and red) are estimated using piecewise linear least squares fits.</w:t>
      </w:r>
    </w:p>
    <w:p w14:paraId="25D71B98" w14:textId="77777777" w:rsidR="00E53E51" w:rsidRDefault="00E53E51">
      <w:pPr>
        <w:spacing w:line="360" w:lineRule="auto"/>
        <w:rPr>
          <w:rFonts w:cs="Times New Roman"/>
          <w:szCs w:val="24"/>
        </w:rPr>
      </w:pPr>
    </w:p>
    <w:p w14:paraId="25D71B99" w14:textId="77777777" w:rsidR="00E53E51" w:rsidRDefault="005A7E09">
      <w:pPr>
        <w:spacing w:line="360" w:lineRule="auto"/>
        <w:rPr>
          <w:rFonts w:cs="Times New Roman"/>
          <w:szCs w:val="24"/>
        </w:rPr>
      </w:pPr>
      <w:r>
        <w:rPr>
          <w:noProof/>
        </w:rPr>
        <w:drawing>
          <wp:inline distT="0" distB="0" distL="0" distR="0" wp14:anchorId="25D71BCE" wp14:editId="25D71BCF">
            <wp:extent cx="5731510" cy="2865755"/>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5"/>
                    <a:stretch>
                      <a:fillRect/>
                    </a:stretch>
                  </pic:blipFill>
                  <pic:spPr bwMode="auto">
                    <a:xfrm>
                      <a:off x="0" y="0"/>
                      <a:ext cx="5731510" cy="2865755"/>
                    </a:xfrm>
                    <a:prstGeom prst="rect">
                      <a:avLst/>
                    </a:prstGeom>
                  </pic:spPr>
                </pic:pic>
              </a:graphicData>
            </a:graphic>
          </wp:inline>
        </w:drawing>
      </w:r>
    </w:p>
    <w:p w14:paraId="25D71B9A" w14:textId="77777777" w:rsidR="00E53E51" w:rsidRDefault="00E53E51">
      <w:pPr>
        <w:spacing w:line="360" w:lineRule="auto"/>
        <w:rPr>
          <w:rFonts w:cs="Times New Roman"/>
          <w:szCs w:val="24"/>
        </w:rPr>
      </w:pPr>
    </w:p>
    <w:p w14:paraId="25D71B9B" w14:textId="77777777" w:rsidR="00E53E51" w:rsidRDefault="005A7E09">
      <w:pPr>
        <w:spacing w:line="360" w:lineRule="auto"/>
        <w:rPr>
          <w:rFonts w:cs="Times New Roman"/>
          <w:szCs w:val="24"/>
        </w:rPr>
      </w:pPr>
      <w:r>
        <w:rPr>
          <w:rFonts w:ascii="Times New Roman" w:hAnsi="Times New Roman" w:cs="Times New Roman"/>
          <w:sz w:val="24"/>
          <w:szCs w:val="24"/>
          <w:lang w:val="x-none"/>
        </w:rPr>
        <w:t xml:space="preserve">Fig. S9: </w:t>
      </w:r>
      <w:r>
        <w:rPr>
          <w:rFonts w:ascii="Times New Roman" w:hAnsi="Times New Roman" w:cs="Times New Roman"/>
          <w:b/>
          <w:bCs/>
          <w:sz w:val="24"/>
          <w:szCs w:val="24"/>
          <w:lang w:val="x-none"/>
        </w:rPr>
        <w:t>Area averaged Heatwave metrics based on 95</w:t>
      </w:r>
      <w:r>
        <w:rPr>
          <w:rFonts w:ascii="Times New Roman" w:hAnsi="Times New Roman" w:cs="Times New Roman"/>
          <w:b/>
          <w:bCs/>
          <w:sz w:val="24"/>
          <w:szCs w:val="24"/>
          <w:vertAlign w:val="superscript"/>
          <w:lang w:val="x-none"/>
        </w:rPr>
        <w:t>th</w:t>
      </w:r>
      <w:r>
        <w:rPr>
          <w:rFonts w:ascii="Times New Roman" w:hAnsi="Times New Roman" w:cs="Times New Roman"/>
          <w:b/>
          <w:bCs/>
          <w:sz w:val="24"/>
          <w:szCs w:val="24"/>
          <w:lang w:val="x-none"/>
        </w:rPr>
        <w:t xml:space="preserve"> percentile threshold over Northwest India and Northeast India-Bangladesh: </w:t>
      </w:r>
      <w:r>
        <w:rPr>
          <w:rFonts w:ascii="Times New Roman" w:hAnsi="Times New Roman" w:cs="Times New Roman"/>
          <w:sz w:val="24"/>
          <w:szCs w:val="24"/>
          <w:lang w:val="x-none"/>
        </w:rPr>
        <w:t>Time series of heatwave metrics (95</w:t>
      </w:r>
      <w:r>
        <w:rPr>
          <w:rFonts w:ascii="Times New Roman" w:hAnsi="Times New Roman" w:cs="Times New Roman"/>
          <w:sz w:val="24"/>
          <w:szCs w:val="24"/>
          <w:vertAlign w:val="superscript"/>
          <w:lang w:val="x-none"/>
        </w:rPr>
        <w:t>th</w:t>
      </w:r>
      <w:r>
        <w:rPr>
          <w:rFonts w:ascii="Times New Roman" w:hAnsi="Times New Roman" w:cs="Times New Roman"/>
          <w:sz w:val="24"/>
          <w:szCs w:val="24"/>
          <w:lang w:val="x-none"/>
        </w:rPr>
        <w:t>-percentile threshold) from 1940–2023 over Northwest India (70–77°E, 33.75–27°N; upper panels, a–d) and Northeast India–Bangladesh (88–98°E, 28.5–21.75°N; lower panels, e–h). Grey curves represent surface air temperature, blue curves represent surface humidex, and trend lines (green and red) are estimated using piecewise linear least squares fits &gt; 700m.</w:t>
      </w:r>
    </w:p>
    <w:p w14:paraId="25D71B9C" w14:textId="77777777" w:rsidR="00E53E51" w:rsidRDefault="00E53E51">
      <w:pPr>
        <w:spacing w:line="360" w:lineRule="auto"/>
        <w:rPr>
          <w:rFonts w:cs="Times New Roman"/>
          <w:szCs w:val="24"/>
        </w:rPr>
      </w:pPr>
    </w:p>
    <w:p w14:paraId="25D71B9D" w14:textId="77777777" w:rsidR="00E53E51" w:rsidRDefault="00E53E51">
      <w:pPr>
        <w:spacing w:line="360" w:lineRule="auto"/>
        <w:rPr>
          <w:rFonts w:cs="Times New Roman"/>
          <w:szCs w:val="24"/>
        </w:rPr>
      </w:pPr>
    </w:p>
    <w:p w14:paraId="25D71B9E" w14:textId="77777777" w:rsidR="00E53E51" w:rsidRDefault="005A7E09">
      <w:pPr>
        <w:spacing w:line="360" w:lineRule="auto"/>
        <w:rPr>
          <w:rFonts w:cs="Times New Roman"/>
          <w:szCs w:val="24"/>
        </w:rPr>
      </w:pPr>
      <w:r>
        <w:rPr>
          <w:noProof/>
        </w:rPr>
        <w:lastRenderedPageBreak/>
        <w:drawing>
          <wp:inline distT="0" distB="0" distL="0" distR="0" wp14:anchorId="25D71BD0" wp14:editId="25D71BD1">
            <wp:extent cx="5731510" cy="229235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noChangeArrowheads="1"/>
                    </pic:cNvPicPr>
                  </pic:nvPicPr>
                  <pic:blipFill>
                    <a:blip r:embed="rId16"/>
                    <a:stretch>
                      <a:fillRect/>
                    </a:stretch>
                  </pic:blipFill>
                  <pic:spPr bwMode="auto">
                    <a:xfrm>
                      <a:off x="0" y="0"/>
                      <a:ext cx="5731510" cy="2292350"/>
                    </a:xfrm>
                    <a:prstGeom prst="rect">
                      <a:avLst/>
                    </a:prstGeom>
                  </pic:spPr>
                </pic:pic>
              </a:graphicData>
            </a:graphic>
          </wp:inline>
        </w:drawing>
      </w:r>
    </w:p>
    <w:p w14:paraId="25D71B9F" w14:textId="77777777" w:rsidR="00E53E51" w:rsidRDefault="00E53E51">
      <w:pPr>
        <w:spacing w:line="360" w:lineRule="auto"/>
        <w:rPr>
          <w:rFonts w:cs="Times New Roman"/>
          <w:szCs w:val="24"/>
        </w:rPr>
      </w:pPr>
    </w:p>
    <w:p w14:paraId="25D71BA0" w14:textId="77777777" w:rsidR="00E53E51" w:rsidRDefault="00E53E51">
      <w:pPr>
        <w:spacing w:line="360" w:lineRule="auto"/>
        <w:rPr>
          <w:rFonts w:cs="Times New Roman"/>
          <w:szCs w:val="24"/>
        </w:rPr>
      </w:pPr>
    </w:p>
    <w:p w14:paraId="25D71BA1" w14:textId="77777777" w:rsidR="00E53E51" w:rsidRDefault="005A7E09">
      <w:pPr>
        <w:spacing w:line="360" w:lineRule="auto"/>
        <w:rPr>
          <w:rFonts w:cs="Times New Roman"/>
          <w:szCs w:val="24"/>
        </w:rPr>
      </w:pPr>
      <w:r>
        <w:rPr>
          <w:rFonts w:ascii="Times New Roman" w:hAnsi="Times New Roman" w:cs="Times New Roman"/>
          <w:sz w:val="24"/>
          <w:szCs w:val="24"/>
          <w:lang w:val="x-none"/>
        </w:rPr>
        <w:t xml:space="preserve">Fig. S10: </w:t>
      </w:r>
      <w:r>
        <w:rPr>
          <w:rFonts w:ascii="Times New Roman" w:hAnsi="Times New Roman" w:cs="Times New Roman"/>
          <w:b/>
          <w:bCs/>
          <w:sz w:val="24"/>
          <w:szCs w:val="24"/>
          <w:lang w:val="x-none"/>
        </w:rPr>
        <w:t>Area averaged timeseries of daily maximum Humidex and its anomaly (based on 90</w:t>
      </w:r>
      <w:r>
        <w:rPr>
          <w:rFonts w:ascii="Times New Roman" w:hAnsi="Times New Roman" w:cs="Times New Roman"/>
          <w:b/>
          <w:bCs/>
          <w:sz w:val="24"/>
          <w:szCs w:val="24"/>
          <w:vertAlign w:val="superscript"/>
          <w:lang w:val="x-none"/>
        </w:rPr>
        <w:t>th</w:t>
      </w:r>
      <w:r>
        <w:rPr>
          <w:rFonts w:ascii="Times New Roman" w:hAnsi="Times New Roman" w:cs="Times New Roman"/>
          <w:b/>
          <w:bCs/>
          <w:sz w:val="24"/>
          <w:szCs w:val="24"/>
          <w:lang w:val="x-none"/>
        </w:rPr>
        <w:t xml:space="preserve"> percentile) for MJJAS season over Northeast India-Bangladesh (hilly area): </w:t>
      </w:r>
      <w:r>
        <w:rPr>
          <w:rFonts w:ascii="Times New Roman" w:hAnsi="Times New Roman" w:cs="Times New Roman"/>
          <w:sz w:val="24"/>
          <w:szCs w:val="24"/>
          <w:lang w:val="x-none"/>
        </w:rPr>
        <w:t xml:space="preserve">Time series of daily maximum Humidex (black curve, left y-axis) and Humidex anomaly (grey curve, right y-axis) for May–September in representative years: a) 2000, b) 2001, c) 2002, d) 2003, e) 2004, f) 2019, g) 2020, h) 2021, </w:t>
      </w:r>
      <w:proofErr w:type="spellStart"/>
      <w:r>
        <w:rPr>
          <w:rFonts w:ascii="Times New Roman" w:hAnsi="Times New Roman" w:cs="Times New Roman"/>
          <w:sz w:val="24"/>
          <w:szCs w:val="24"/>
          <w:lang w:val="x-none"/>
        </w:rPr>
        <w:t>i</w:t>
      </w:r>
      <w:proofErr w:type="spellEnd"/>
      <w:r>
        <w:rPr>
          <w:rFonts w:ascii="Times New Roman" w:hAnsi="Times New Roman" w:cs="Times New Roman"/>
          <w:sz w:val="24"/>
          <w:szCs w:val="24"/>
          <w:lang w:val="x-none"/>
        </w:rPr>
        <w:t>) 2022, and j) 2023. The anomaly at each grid point is computed relative to the daily climatological 90</w:t>
      </w:r>
      <w:r>
        <w:rPr>
          <w:rFonts w:ascii="Times New Roman" w:hAnsi="Times New Roman" w:cs="Times New Roman"/>
          <w:sz w:val="24"/>
          <w:szCs w:val="24"/>
          <w:vertAlign w:val="superscript"/>
          <w:lang w:val="x-none"/>
        </w:rPr>
        <w:t>th</w:t>
      </w:r>
      <w:r>
        <w:rPr>
          <w:rFonts w:ascii="Times New Roman" w:hAnsi="Times New Roman" w:cs="Times New Roman"/>
          <w:sz w:val="24"/>
          <w:szCs w:val="24"/>
          <w:lang w:val="x-none"/>
        </w:rPr>
        <w:t xml:space="preserve"> percentile (1961–1990), and then averaged over Northeast India–Bangladesh (88–98°E, 28.5–21.75°N). Heatwave days (red shading) are defined as periods with anomaly &gt; 0 persisting for at least three consecutive days. Here, TD denotes total heatwave days, F denotes the frequency of heatwave spells, and LS denotes the length of the longest spell. The dataset is masked with DEM to get plane area grids with elevation less than 700m.The dataset is masked using the Shuttle Radar Topography Mission (SRTM) DEM to retain only hilly-area grids with elevation ≥ 700 m.</w:t>
      </w:r>
    </w:p>
    <w:p w14:paraId="25D71BA2" w14:textId="77777777" w:rsidR="00E53E51" w:rsidRDefault="00E53E51">
      <w:pPr>
        <w:spacing w:line="360" w:lineRule="auto"/>
        <w:rPr>
          <w:rFonts w:cs="Times New Roman"/>
          <w:szCs w:val="24"/>
        </w:rPr>
      </w:pPr>
    </w:p>
    <w:p w14:paraId="25D71BA3" w14:textId="77777777" w:rsidR="00E53E51" w:rsidRDefault="00E53E51">
      <w:pPr>
        <w:spacing w:line="360" w:lineRule="auto"/>
        <w:rPr>
          <w:rFonts w:cs="Times New Roman"/>
          <w:szCs w:val="24"/>
        </w:rPr>
      </w:pPr>
    </w:p>
    <w:p w14:paraId="25D71BA4" w14:textId="77777777" w:rsidR="00E53E51" w:rsidRDefault="00E53E51">
      <w:pPr>
        <w:spacing w:line="360" w:lineRule="auto"/>
        <w:rPr>
          <w:rFonts w:cs="Times New Roman"/>
          <w:szCs w:val="24"/>
        </w:rPr>
      </w:pPr>
    </w:p>
    <w:p w14:paraId="25D71BA5" w14:textId="77777777" w:rsidR="00E53E51" w:rsidRDefault="005A7E09">
      <w:pPr>
        <w:spacing w:line="360" w:lineRule="auto"/>
        <w:rPr>
          <w:rFonts w:cs="Times New Roman"/>
          <w:szCs w:val="24"/>
        </w:rPr>
      </w:pPr>
      <w:r>
        <w:rPr>
          <w:noProof/>
        </w:rPr>
        <w:lastRenderedPageBreak/>
        <w:drawing>
          <wp:inline distT="0" distB="0" distL="0" distR="0" wp14:anchorId="25D71BD2" wp14:editId="25D71BD3">
            <wp:extent cx="5731510" cy="229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stretch>
                      <a:fillRect/>
                    </a:stretch>
                  </pic:blipFill>
                  <pic:spPr bwMode="auto">
                    <a:xfrm>
                      <a:off x="0" y="0"/>
                      <a:ext cx="5731510" cy="2292350"/>
                    </a:xfrm>
                    <a:prstGeom prst="rect">
                      <a:avLst/>
                    </a:prstGeom>
                  </pic:spPr>
                </pic:pic>
              </a:graphicData>
            </a:graphic>
          </wp:inline>
        </w:drawing>
      </w:r>
    </w:p>
    <w:p w14:paraId="25D71BA6" w14:textId="77777777" w:rsidR="00E53E51" w:rsidRDefault="00E53E51">
      <w:pPr>
        <w:spacing w:line="360" w:lineRule="auto"/>
        <w:rPr>
          <w:rFonts w:cs="Times New Roman"/>
          <w:szCs w:val="24"/>
        </w:rPr>
      </w:pPr>
    </w:p>
    <w:p w14:paraId="25D71BA7" w14:textId="77777777" w:rsidR="00E53E51" w:rsidRDefault="00E53E51">
      <w:pPr>
        <w:spacing w:line="360" w:lineRule="auto"/>
        <w:rPr>
          <w:rFonts w:cs="Times New Roman"/>
          <w:szCs w:val="24"/>
        </w:rPr>
      </w:pPr>
    </w:p>
    <w:p w14:paraId="25D71BA8" w14:textId="77777777" w:rsidR="00E53E51" w:rsidRDefault="005A7E09">
      <w:pPr>
        <w:spacing w:line="360" w:lineRule="auto"/>
        <w:rPr>
          <w:rFonts w:cs="Times New Roman"/>
          <w:szCs w:val="24"/>
        </w:rPr>
      </w:pPr>
      <w:r>
        <w:rPr>
          <w:rFonts w:ascii="Times New Roman" w:hAnsi="Times New Roman" w:cs="Times New Roman"/>
          <w:sz w:val="24"/>
          <w:szCs w:val="24"/>
          <w:lang w:val="x-none"/>
        </w:rPr>
        <w:t xml:space="preserve">Fig. S11: </w:t>
      </w:r>
      <w:r>
        <w:rPr>
          <w:rFonts w:ascii="Times New Roman" w:hAnsi="Times New Roman" w:cs="Times New Roman"/>
          <w:b/>
          <w:bCs/>
          <w:sz w:val="24"/>
          <w:szCs w:val="24"/>
          <w:lang w:val="x-none"/>
        </w:rPr>
        <w:t>Area averaged timeseries of daily maximum Humidex and its anomaly (based on 95</w:t>
      </w:r>
      <w:r>
        <w:rPr>
          <w:rFonts w:ascii="Times New Roman" w:hAnsi="Times New Roman" w:cs="Times New Roman"/>
          <w:b/>
          <w:bCs/>
          <w:sz w:val="24"/>
          <w:szCs w:val="24"/>
          <w:vertAlign w:val="superscript"/>
          <w:lang w:val="x-none"/>
        </w:rPr>
        <w:t>th</w:t>
      </w:r>
      <w:r>
        <w:rPr>
          <w:rFonts w:ascii="Times New Roman" w:hAnsi="Times New Roman" w:cs="Times New Roman"/>
          <w:b/>
          <w:bCs/>
          <w:sz w:val="24"/>
          <w:szCs w:val="24"/>
          <w:lang w:val="x-none"/>
        </w:rPr>
        <w:t xml:space="preserve"> percentile) for MJJAS season over Northwest India (plain area): </w:t>
      </w:r>
      <w:r>
        <w:rPr>
          <w:rFonts w:ascii="Times New Roman" w:hAnsi="Times New Roman" w:cs="Times New Roman"/>
          <w:sz w:val="24"/>
          <w:szCs w:val="24"/>
          <w:lang w:val="x-none"/>
        </w:rPr>
        <w:t xml:space="preserve">Time series of daily maximum Humidex (black curve, left y-axis) and Humidex anomaly (grey curve, right y-axis) for May–September in representative years: a) 2000, b) 2001, c) 2002, d) 2003, e) 2004, f) 2019, g) 2020, h) 2021, </w:t>
      </w:r>
      <w:proofErr w:type="spellStart"/>
      <w:r>
        <w:rPr>
          <w:rFonts w:ascii="Times New Roman" w:hAnsi="Times New Roman" w:cs="Times New Roman"/>
          <w:sz w:val="24"/>
          <w:szCs w:val="24"/>
          <w:lang w:val="x-none"/>
        </w:rPr>
        <w:t>i</w:t>
      </w:r>
      <w:proofErr w:type="spellEnd"/>
      <w:r>
        <w:rPr>
          <w:rFonts w:ascii="Times New Roman" w:hAnsi="Times New Roman" w:cs="Times New Roman"/>
          <w:sz w:val="24"/>
          <w:szCs w:val="24"/>
          <w:lang w:val="x-none"/>
        </w:rPr>
        <w:t>) 2022, and j) 2023. The anomaly at each grid point is computed relative to the daily climatological 95th percentile (1961–1990), and then averaged over Northwest India (70–77°E, 33.75–27°N). Heatwave days (red shading) are defined as periods with anomaly &gt; 0 persisting for at least three consecutive days. Here, TD denotes total heatwave days, F denotes the frequency of heatwave spells, and LS denotes the length of the longest spell. The dataset is masked using the Shuttle Radar Topography Mission (SRTM) DEM to retain only plain-area grids with elevation &lt; 700 m.</w:t>
      </w:r>
    </w:p>
    <w:p w14:paraId="25D71BA9" w14:textId="77777777" w:rsidR="00E53E51" w:rsidRDefault="00E53E51">
      <w:pPr>
        <w:spacing w:line="360" w:lineRule="auto"/>
        <w:rPr>
          <w:rFonts w:cs="Times New Roman"/>
          <w:szCs w:val="24"/>
        </w:rPr>
      </w:pPr>
    </w:p>
    <w:p w14:paraId="25D71BAA" w14:textId="77777777" w:rsidR="00E53E51" w:rsidRDefault="00E53E51">
      <w:pPr>
        <w:spacing w:line="360" w:lineRule="auto"/>
        <w:rPr>
          <w:rFonts w:cs="Times New Roman"/>
          <w:szCs w:val="24"/>
        </w:rPr>
      </w:pPr>
    </w:p>
    <w:p w14:paraId="25D71BAB" w14:textId="77777777" w:rsidR="00E53E51" w:rsidRDefault="005A7E09">
      <w:pPr>
        <w:spacing w:line="360" w:lineRule="auto"/>
        <w:rPr>
          <w:rFonts w:cs="Times New Roman"/>
          <w:szCs w:val="24"/>
        </w:rPr>
      </w:pPr>
      <w:r>
        <w:rPr>
          <w:noProof/>
        </w:rPr>
        <w:lastRenderedPageBreak/>
        <w:drawing>
          <wp:inline distT="0" distB="0" distL="0" distR="0" wp14:anchorId="25D71BD4" wp14:editId="25D71BD5">
            <wp:extent cx="5731510" cy="229235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18"/>
                    <a:stretch>
                      <a:fillRect/>
                    </a:stretch>
                  </pic:blipFill>
                  <pic:spPr bwMode="auto">
                    <a:xfrm>
                      <a:off x="0" y="0"/>
                      <a:ext cx="5731510" cy="2292350"/>
                    </a:xfrm>
                    <a:prstGeom prst="rect">
                      <a:avLst/>
                    </a:prstGeom>
                  </pic:spPr>
                </pic:pic>
              </a:graphicData>
            </a:graphic>
          </wp:inline>
        </w:drawing>
      </w:r>
    </w:p>
    <w:p w14:paraId="25D71BAC" w14:textId="77777777" w:rsidR="00E53E51" w:rsidRDefault="005A7E09">
      <w:pPr>
        <w:spacing w:line="360" w:lineRule="auto"/>
        <w:rPr>
          <w:rFonts w:cs="Times New Roman"/>
          <w:szCs w:val="24"/>
        </w:rPr>
      </w:pPr>
      <w:r>
        <w:rPr>
          <w:rFonts w:ascii="Times New Roman" w:hAnsi="Times New Roman" w:cs="Times New Roman"/>
          <w:sz w:val="24"/>
          <w:szCs w:val="24"/>
          <w:lang w:val="x-none"/>
        </w:rPr>
        <w:t xml:space="preserve">Fig. S12: </w:t>
      </w:r>
      <w:r>
        <w:rPr>
          <w:rFonts w:ascii="Times New Roman" w:hAnsi="Times New Roman" w:cs="Times New Roman"/>
          <w:b/>
          <w:bCs/>
          <w:sz w:val="24"/>
          <w:szCs w:val="24"/>
          <w:lang w:val="x-none"/>
        </w:rPr>
        <w:t>Area averaged timeseries of daily maximum Humidex and its anomaly (based on 95</w:t>
      </w:r>
      <w:r>
        <w:rPr>
          <w:rFonts w:ascii="Times New Roman" w:hAnsi="Times New Roman" w:cs="Times New Roman"/>
          <w:b/>
          <w:bCs/>
          <w:sz w:val="24"/>
          <w:szCs w:val="24"/>
          <w:vertAlign w:val="superscript"/>
          <w:lang w:val="x-none"/>
        </w:rPr>
        <w:t>th</w:t>
      </w:r>
      <w:r>
        <w:rPr>
          <w:rFonts w:ascii="Times New Roman" w:hAnsi="Times New Roman" w:cs="Times New Roman"/>
          <w:b/>
          <w:bCs/>
          <w:sz w:val="24"/>
          <w:szCs w:val="24"/>
          <w:lang w:val="x-none"/>
        </w:rPr>
        <w:t xml:space="preserve"> percentile) for MJJAS season over Northeast India-Bangladesh (plain area): </w:t>
      </w:r>
      <w:r>
        <w:rPr>
          <w:rFonts w:ascii="Times New Roman" w:hAnsi="Times New Roman" w:cs="Times New Roman"/>
          <w:sz w:val="24"/>
          <w:szCs w:val="24"/>
          <w:lang w:val="x-none"/>
        </w:rPr>
        <w:t xml:space="preserve">Time series of daily maximum Humidex (black curve, left y-axis) and Humidex anomaly (grey curve, right y-axis) for May–September in representative years: a) 2000, b) 2001, c) 2002, d) 2003, e) 2004, f) 2019, g) 2020, h) 2021, </w:t>
      </w:r>
      <w:proofErr w:type="spellStart"/>
      <w:r>
        <w:rPr>
          <w:rFonts w:ascii="Times New Roman" w:hAnsi="Times New Roman" w:cs="Times New Roman"/>
          <w:sz w:val="24"/>
          <w:szCs w:val="24"/>
          <w:lang w:val="x-none"/>
        </w:rPr>
        <w:t>i</w:t>
      </w:r>
      <w:proofErr w:type="spellEnd"/>
      <w:r>
        <w:rPr>
          <w:rFonts w:ascii="Times New Roman" w:hAnsi="Times New Roman" w:cs="Times New Roman"/>
          <w:sz w:val="24"/>
          <w:szCs w:val="24"/>
          <w:lang w:val="x-none"/>
        </w:rPr>
        <w:t>) 2022, and j) 2023. The anomaly at each grid point is computed relative to the daily climatological 90th percentile (1961–1990), and then averaged over Northeast India–Bangladesh (88–98°E, 28.5–21.75°N). Heatwave days (red shading) are defined as periods with anomaly &gt; 0 persisting for at least three consecutive days. Here, TD denotes total heatwave days, F denotes the frequency of heatwave spells, and LS denotes the length of the longest spell. The dataset is masked using the Shuttle Radar Topography Mission (SRTM) DEM to retain only plain-area grids with elevation &lt; 700 m.</w:t>
      </w:r>
    </w:p>
    <w:p w14:paraId="25D71BAD" w14:textId="77777777" w:rsidR="00E53E51" w:rsidRDefault="00E53E51">
      <w:pPr>
        <w:spacing w:line="360" w:lineRule="auto"/>
        <w:rPr>
          <w:rFonts w:cs="Times New Roman"/>
          <w:szCs w:val="24"/>
        </w:rPr>
      </w:pPr>
    </w:p>
    <w:p w14:paraId="25D71BAE" w14:textId="77777777" w:rsidR="00E53E51" w:rsidRDefault="005A7E09">
      <w:pPr>
        <w:spacing w:line="360" w:lineRule="auto"/>
        <w:rPr>
          <w:rFonts w:cs="Times New Roman"/>
          <w:szCs w:val="24"/>
        </w:rPr>
      </w:pPr>
      <w:r>
        <w:rPr>
          <w:noProof/>
        </w:rPr>
        <w:drawing>
          <wp:inline distT="0" distB="0" distL="0" distR="0" wp14:anchorId="25D71BD6" wp14:editId="25D71BD7">
            <wp:extent cx="5731510" cy="229235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19"/>
                    <a:stretch>
                      <a:fillRect/>
                    </a:stretch>
                  </pic:blipFill>
                  <pic:spPr bwMode="auto">
                    <a:xfrm>
                      <a:off x="0" y="0"/>
                      <a:ext cx="5731510" cy="2292350"/>
                    </a:xfrm>
                    <a:prstGeom prst="rect">
                      <a:avLst/>
                    </a:prstGeom>
                  </pic:spPr>
                </pic:pic>
              </a:graphicData>
            </a:graphic>
          </wp:inline>
        </w:drawing>
      </w:r>
    </w:p>
    <w:p w14:paraId="25D71BAF" w14:textId="77777777" w:rsidR="00E53E51" w:rsidRDefault="00E53E51">
      <w:pPr>
        <w:spacing w:line="360" w:lineRule="auto"/>
        <w:rPr>
          <w:rFonts w:cs="Times New Roman"/>
          <w:szCs w:val="24"/>
        </w:rPr>
      </w:pPr>
    </w:p>
    <w:p w14:paraId="25D71BB0" w14:textId="77777777" w:rsidR="00E53E51" w:rsidRDefault="00E53E51">
      <w:pPr>
        <w:spacing w:line="360" w:lineRule="auto"/>
        <w:rPr>
          <w:rFonts w:cs="Times New Roman"/>
          <w:szCs w:val="24"/>
        </w:rPr>
      </w:pPr>
    </w:p>
    <w:p w14:paraId="25D71BB1" w14:textId="77777777" w:rsidR="00E53E51" w:rsidRDefault="005A7E09">
      <w:pPr>
        <w:spacing w:line="360" w:lineRule="auto"/>
        <w:rPr>
          <w:rFonts w:cs="Times New Roman"/>
          <w:szCs w:val="24"/>
        </w:rPr>
      </w:pPr>
      <w:r>
        <w:rPr>
          <w:rFonts w:ascii="Times New Roman" w:hAnsi="Times New Roman" w:cs="Times New Roman"/>
          <w:sz w:val="24"/>
          <w:szCs w:val="24"/>
        </w:rPr>
        <w:lastRenderedPageBreak/>
        <w:t xml:space="preserve">Fig. S13: </w:t>
      </w:r>
      <w:r>
        <w:rPr>
          <w:rFonts w:ascii="Times New Roman" w:hAnsi="Times New Roman" w:cs="Times New Roman"/>
          <w:b/>
          <w:bCs/>
          <w:sz w:val="24"/>
          <w:szCs w:val="24"/>
        </w:rPr>
        <w:t>Area averaged timeseries of daily maximum Humidex and its anomaly (based on 95</w:t>
      </w:r>
      <w:r>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percentile) for MJJAS season over Northeast India-Bangladesh (hilly area):</w:t>
      </w:r>
      <w:r>
        <w:rPr>
          <w:rFonts w:ascii="Times New Roman" w:hAnsi="Times New Roman" w:cs="Times New Roman"/>
          <w:sz w:val="24"/>
          <w:szCs w:val="24"/>
        </w:rPr>
        <w:t xml:space="preserve">Time series of daily maximum Humidex (black curve, left y-axis) and Humidex anomaly (grey curve, right y-axis) for May–September in representative years: a) 2000, b) 2001, c) 2002, d) 2003, e) 2004, f) 2019, g) 2020, h) 2021,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2022, and j) 2023. The anomaly at each grid point is computed relative to the daily climatological 95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 (1961–1990), and then averaged over Northeast India–Bangladesh (88–98°E, 28.5–21.75°N). Heatwave days (red shading) are defined as periods with anomaly &gt; 0 persisting for at least three consecutive days. Here, TD denotes total heatwave days, F denotes the frequency of heatwave spells, and LS denotes the length of the longest spell. The dataset is masked with DEM to get plane area grids with elevation less than 700m.The dataset is masked using the Shuttle Radar Topography Mission (SRTM) DEM to retain only hilly-area grids with elevation ≥ 700 m.</w:t>
      </w:r>
    </w:p>
    <w:p w14:paraId="25D71BB2" w14:textId="77777777" w:rsidR="00E53E51" w:rsidRDefault="00E53E51">
      <w:pPr>
        <w:spacing w:line="360" w:lineRule="auto"/>
        <w:rPr>
          <w:rFonts w:cs="Times New Roman"/>
          <w:lang w:val="x-none"/>
        </w:rPr>
      </w:pPr>
    </w:p>
    <w:p w14:paraId="25D71BB3" w14:textId="77777777" w:rsidR="00E53E51" w:rsidRDefault="00E53E51">
      <w:pPr>
        <w:pStyle w:val="Section"/>
        <w:spacing w:after="0"/>
      </w:pPr>
    </w:p>
    <w:p w14:paraId="25D71BB4" w14:textId="77777777" w:rsidR="00E53E51" w:rsidRDefault="00E53E51">
      <w:pPr>
        <w:pStyle w:val="Text0"/>
        <w:rPr>
          <w:rFonts w:cs="Times New Roman"/>
          <w:szCs w:val="24"/>
          <w:lang w:val="en-IN"/>
        </w:rPr>
      </w:pPr>
    </w:p>
    <w:p w14:paraId="25D71BB5" w14:textId="77777777" w:rsidR="00E53E51" w:rsidRDefault="005A7E09">
      <w:pPr>
        <w:pStyle w:val="Text0"/>
        <w:rPr>
          <w:rFonts w:cs="Times New Roman"/>
          <w:szCs w:val="24"/>
          <w:lang w:val="en-IN"/>
        </w:rPr>
      </w:pPr>
      <w:r>
        <w:rPr>
          <w:rFonts w:cs="Times New Roman"/>
          <w:szCs w:val="24"/>
          <w:lang w:val="en-IN"/>
        </w:rPr>
        <w:t>References:</w:t>
      </w:r>
    </w:p>
    <w:p w14:paraId="25D71BB6" w14:textId="77777777" w:rsidR="00E53E51" w:rsidRDefault="00E53E51">
      <w:pPr>
        <w:widowControl w:val="0"/>
        <w:spacing w:after="0" w:line="480" w:lineRule="auto"/>
        <w:rPr>
          <w:rFonts w:cs="Times New Roman"/>
          <w:szCs w:val="24"/>
        </w:rPr>
      </w:pPr>
    </w:p>
    <w:p w14:paraId="25D71BB7" w14:textId="77777777" w:rsidR="00E53E51" w:rsidRDefault="005A7E09">
      <w:pPr>
        <w:widowControl w:val="0"/>
        <w:spacing w:after="0" w:line="480" w:lineRule="auto"/>
        <w:rPr>
          <w:rFonts w:ascii="Times New Roman" w:hAnsi="Times New Roman" w:cs="Times New Roman"/>
          <w:kern w:val="0"/>
          <w:sz w:val="24"/>
          <w:szCs w:val="24"/>
        </w:rPr>
      </w:pPr>
      <w:r>
        <w:fldChar w:fldCharType="begin"/>
      </w:r>
      <w:r>
        <w:instrText>ADDIN Mendeley Bibliography CSL_BIBLIOGRAPHY</w:instrText>
      </w:r>
      <w:r>
        <w:fldChar w:fldCharType="separate"/>
      </w:r>
      <w:r>
        <w:rPr>
          <w:rFonts w:ascii="Times New Roman" w:hAnsi="Times New Roman" w:cs="Times New Roman"/>
          <w:kern w:val="0"/>
          <w:sz w:val="24"/>
          <w:szCs w:val="24"/>
        </w:rPr>
        <w:t>for Occupational Health, C.C. and Safety (2024) ‘Humidex Rating and Work’.</w:t>
      </w:r>
    </w:p>
    <w:p w14:paraId="25D71BB8" w14:textId="77777777" w:rsidR="00E53E51" w:rsidRDefault="005A7E09">
      <w:pPr>
        <w:widowControl w:val="0"/>
        <w:spacing w:after="0" w:line="480" w:lineRule="auto"/>
        <w:rPr>
          <w:rFonts w:ascii="Times New Roman" w:hAnsi="Times New Roman" w:cs="Times New Roman"/>
          <w:sz w:val="24"/>
        </w:rPr>
      </w:pPr>
      <w:r>
        <w:rPr>
          <w:rFonts w:ascii="Times New Roman" w:hAnsi="Times New Roman" w:cs="Times New Roman"/>
          <w:kern w:val="0"/>
          <w:sz w:val="24"/>
          <w:szCs w:val="24"/>
        </w:rPr>
        <w:t xml:space="preserve">Tozer, B. </w:t>
      </w:r>
      <w:r>
        <w:rPr>
          <w:rFonts w:ascii="Times New Roman" w:hAnsi="Times New Roman" w:cs="Times New Roman"/>
          <w:i/>
          <w:iCs/>
          <w:kern w:val="0"/>
          <w:sz w:val="24"/>
          <w:szCs w:val="24"/>
        </w:rPr>
        <w:t>et al.</w:t>
      </w:r>
      <w:r>
        <w:rPr>
          <w:rFonts w:ascii="Times New Roman" w:hAnsi="Times New Roman" w:cs="Times New Roman"/>
          <w:kern w:val="0"/>
          <w:sz w:val="24"/>
          <w:szCs w:val="24"/>
        </w:rPr>
        <w:t xml:space="preserve"> (2019) ‘Global Bathymetry and Topography at 15 Arc Sec: SRTM15+’, </w:t>
      </w:r>
      <w:r>
        <w:rPr>
          <w:rFonts w:ascii="Times New Roman" w:hAnsi="Times New Roman" w:cs="Times New Roman"/>
          <w:i/>
          <w:iCs/>
          <w:kern w:val="0"/>
          <w:sz w:val="24"/>
          <w:szCs w:val="24"/>
        </w:rPr>
        <w:t>Earth and Space Science</w:t>
      </w:r>
      <w:r>
        <w:rPr>
          <w:rFonts w:ascii="Times New Roman" w:hAnsi="Times New Roman" w:cs="Times New Roman"/>
          <w:kern w:val="0"/>
          <w:sz w:val="24"/>
          <w:szCs w:val="24"/>
        </w:rPr>
        <w:t>, 6(10), pp. 1847–1864. Available at: https://doi.org/https://doi.org/10.1029/2019EA000658.</w:t>
      </w:r>
    </w:p>
    <w:p w14:paraId="25D71BB9" w14:textId="77777777" w:rsidR="00E53E51" w:rsidRDefault="005A7E09">
      <w:pPr>
        <w:pStyle w:val="Text0"/>
        <w:rPr>
          <w:rFonts w:cs="Times New Roman"/>
          <w:szCs w:val="24"/>
          <w:lang w:val="en-IN"/>
        </w:rPr>
      </w:pPr>
      <w:r>
        <w:fldChar w:fldCharType="end"/>
      </w:r>
    </w:p>
    <w:p w14:paraId="25D71BBA" w14:textId="77777777" w:rsidR="00E53E51" w:rsidRDefault="00E53E51">
      <w:pPr>
        <w:pStyle w:val="Text0"/>
        <w:rPr>
          <w:rFonts w:cs="Times New Roman"/>
          <w:szCs w:val="24"/>
          <w:lang w:val="en-IN"/>
        </w:rPr>
      </w:pPr>
    </w:p>
    <w:p w14:paraId="25D71BBB" w14:textId="77777777" w:rsidR="00E53E51" w:rsidRDefault="00E53E51">
      <w:pPr>
        <w:pStyle w:val="Text0"/>
        <w:jc w:val="left"/>
        <w:rPr>
          <w:rFonts w:cs="Times New Roman"/>
          <w:szCs w:val="24"/>
        </w:rPr>
      </w:pPr>
    </w:p>
    <w:p w14:paraId="25D71BBC" w14:textId="77777777" w:rsidR="00E53E51" w:rsidRDefault="00E53E51"/>
    <w:p w14:paraId="25D71BBD" w14:textId="77777777" w:rsidR="00E53E51" w:rsidRDefault="00E53E51"/>
    <w:sectPr w:rsidR="00E53E51">
      <w:headerReference w:type="default" r:id="rId20"/>
      <w:pgSz w:w="11906" w:h="16838"/>
      <w:pgMar w:top="1440" w:right="1440" w:bottom="1440" w:left="1440" w:header="708" w:footer="0" w:gutter="0"/>
      <w:lnNumType w:countBy="1" w:distance="288" w:restart="continuous"/>
      <w:cols w:space="720"/>
      <w:formProt w:val="0"/>
      <w:docGrid w:linePitch="360" w:charSpace="59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796B0" w14:textId="77777777" w:rsidR="00876637" w:rsidRDefault="00876637">
      <w:pPr>
        <w:spacing w:after="0" w:line="240" w:lineRule="auto"/>
      </w:pPr>
      <w:r>
        <w:separator/>
      </w:r>
    </w:p>
  </w:endnote>
  <w:endnote w:type="continuationSeparator" w:id="0">
    <w:p w14:paraId="1672F7DC" w14:textId="77777777" w:rsidR="00876637" w:rsidRDefault="00876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39924" w14:textId="77777777" w:rsidR="00876637" w:rsidRDefault="00876637">
      <w:pPr>
        <w:spacing w:after="0" w:line="240" w:lineRule="auto"/>
      </w:pPr>
      <w:r>
        <w:separator/>
      </w:r>
    </w:p>
  </w:footnote>
  <w:footnote w:type="continuationSeparator" w:id="0">
    <w:p w14:paraId="0D878364" w14:textId="77777777" w:rsidR="00876637" w:rsidRDefault="00876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71BD8" w14:textId="46AEF442" w:rsidR="00E53E51" w:rsidRDefault="006C0CEF">
    <w:pPr>
      <w:pStyle w:val="Header"/>
    </w:pPr>
    <w:r>
      <w:rPr>
        <w:noProof/>
      </w:rPr>
      <w:pict w14:anchorId="5DFCA59C">
        <v:rect id="Rectangle 200" o:spid="_x0000_s1025" style="position:absolute;margin-left:0;margin-top:37.85pt;width:451.25pt;height:19.9pt;z-index:-251658752;visibility:visible;mso-wrap-style:square;mso-width-percent:1000;mso-height-percent:30;mso-wrap-distance-left:9.25pt;mso-wrap-distance-top:0;mso-wrap-distance-right:9.3pt;mso-wrap-distance-bottom:0;mso-position-horizontal:center;mso-position-horizontal-relative:margin;mso-position-vertical:absolute;mso-position-vertical-relative:page;mso-width-percent:1000;mso-height-percent:3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" o:allowincell="f" o:allowoverlap="f" filled="f" stroked="f" strokeweight="1pt">
          <v:textbox style="mso-fit-shape-to-text:t">
            <w:txbxContent>
              <w:p w14:paraId="25D71BDB" w14:textId="77777777" w:rsidR="00E53E51" w:rsidRPr="005A7E09" w:rsidRDefault="006C0CEF">
                <w:pPr>
                  <w:pStyle w:val="Header"/>
                  <w:jc w:val="center"/>
                  <w:rPr>
                    <w:color w:val="000000" w:themeColor="text1"/>
                    <w:sz w:val="32"/>
                    <w:szCs w:val="32"/>
                  </w:rPr>
                </w:pPr>
                <w:sdt>
                  <w:sdtPr>
                    <w:alias w:val="Title"/>
                    <w:id w:val="1189017394"/>
                    <w:dataBinding w:prefixMappings="xmlns:ns0='http://purl.org/dc/elements/1.1/' xmlns:ns1='http://schemas.openxmlformats.org/package/2006/metadata/core-properties' " w:xpath="/ns1:coreProperties[1]/ns0:title[1]" w:storeItemID="{6C3C8BC8-F283-45AE-878A-BAB7291924A1}"/>
                    <w:text/>
                  </w:sdtPr>
                  <w:sdtEndPr/>
                  <w:sdtContent>
                    <w:r w:rsidR="005A7E09">
                      <w:rPr>
                        <w:color w:val="000000"/>
                      </w:rPr>
                      <w:t>Supplementary File</w:t>
                    </w:r>
                  </w:sdtContent>
                </w:sdt>
              </w:p>
            </w:txbxContent>
          </v:textbox>
          <w10:wrap type="square"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2604D"/>
    <w:multiLevelType w:val="multilevel"/>
    <w:tmpl w:val="78FCC45C"/>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1" w15:restartNumberingAfterBreak="0">
    <w:nsid w:val="401F1F03"/>
    <w:multiLevelType w:val="multilevel"/>
    <w:tmpl w:val="EF728420"/>
    <w:lvl w:ilvl="0">
      <w:start w:val="1"/>
      <w:numFmt w:val="decimal"/>
      <w:lvlText w:val="%1."/>
      <w:lvlJc w:val="left"/>
      <w:pPr>
        <w:tabs>
          <w:tab w:val="num" w:pos="0"/>
        </w:tabs>
        <w:ind w:left="432" w:hanging="432"/>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4320" w:hanging="108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840" w:hanging="1440"/>
      </w:pPr>
    </w:lvl>
    <w:lvl w:ilvl="6">
      <w:start w:val="1"/>
      <w:numFmt w:val="decimal"/>
      <w:lvlText w:val="%1.%2.%3.%4.%5.%6.%7."/>
      <w:lvlJc w:val="left"/>
      <w:pPr>
        <w:tabs>
          <w:tab w:val="num" w:pos="0"/>
        </w:tabs>
        <w:ind w:left="8280" w:hanging="1800"/>
      </w:pPr>
    </w:lvl>
    <w:lvl w:ilvl="7">
      <w:start w:val="1"/>
      <w:numFmt w:val="decimal"/>
      <w:lvlText w:val="%1.%2.%3.%4.%5.%6.%7.%8."/>
      <w:lvlJc w:val="left"/>
      <w:pPr>
        <w:tabs>
          <w:tab w:val="num" w:pos="0"/>
        </w:tabs>
        <w:ind w:left="9360" w:hanging="1800"/>
      </w:pPr>
    </w:lvl>
    <w:lvl w:ilvl="8">
      <w:start w:val="1"/>
      <w:numFmt w:val="decimal"/>
      <w:lvlText w:val="%1.%2.%3.%4.%5.%6.%7.%8.%9."/>
      <w:lvlJc w:val="left"/>
      <w:pPr>
        <w:tabs>
          <w:tab w:val="num" w:pos="0"/>
        </w:tabs>
        <w:ind w:left="10800" w:hanging="2160"/>
      </w:pPr>
    </w:lvl>
  </w:abstractNum>
  <w:abstractNum w:abstractNumId="2" w15:restartNumberingAfterBreak="0">
    <w:nsid w:val="483C69CE"/>
    <w:multiLevelType w:val="multilevel"/>
    <w:tmpl w:val="7D86EC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67E5149A"/>
    <w:multiLevelType w:val="multilevel"/>
    <w:tmpl w:val="0E16A3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381247905">
    <w:abstractNumId w:val="2"/>
  </w:num>
  <w:num w:numId="2" w16cid:durableId="693196159">
    <w:abstractNumId w:val="0"/>
  </w:num>
  <w:num w:numId="3" w16cid:durableId="1065374144">
    <w:abstractNumId w:val="1"/>
  </w:num>
  <w:num w:numId="4" w16cid:durableId="17261066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3E51"/>
    <w:rsid w:val="002A3CEF"/>
    <w:rsid w:val="00330B17"/>
    <w:rsid w:val="003B5877"/>
    <w:rsid w:val="00477EF4"/>
    <w:rsid w:val="004A0F16"/>
    <w:rsid w:val="004E7184"/>
    <w:rsid w:val="005A7E09"/>
    <w:rsid w:val="005E7246"/>
    <w:rsid w:val="006C0CEF"/>
    <w:rsid w:val="0073492D"/>
    <w:rsid w:val="008535AA"/>
    <w:rsid w:val="00876637"/>
    <w:rsid w:val="0096766A"/>
    <w:rsid w:val="00B9264D"/>
    <w:rsid w:val="00E53E51"/>
    <w:rsid w:val="00F95184"/>
  </w:rsids>
  <m:mathPr>
    <m:mathFont m:val="Cambria Math"/>
    <m:brkBin m:val="before"/>
    <m:brkBinSub m:val="--"/>
    <m:smallFrac m:val="0"/>
    <m:dispDef/>
    <m:lMargin m:val="0"/>
    <m:rMargin m:val="0"/>
    <m:defJc m:val="centerGroup"/>
    <m:wrapIndent m:val="1440"/>
    <m:intLim m:val="subSup"/>
    <m:naryLim m:val="undOvr"/>
  </m:mathPr>
  <w:themeFontLang w:val="en-IN" w:eastAsia=""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71B3F"/>
  <w15:docId w15:val="{2AEE0F96-1F87-4641-90EA-BDF196D18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1"/>
        <w:szCs w:val="21"/>
        <w:lang w:val="en-IN"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624"/>
    <w:pPr>
      <w:spacing w:after="160" w:line="300" w:lineRule="auto"/>
    </w:pPr>
  </w:style>
  <w:style w:type="paragraph" w:styleId="Heading1">
    <w:name w:val="heading 1"/>
    <w:basedOn w:val="Normal"/>
    <w:next w:val="Normal"/>
    <w:link w:val="Heading1Char"/>
    <w:uiPriority w:val="9"/>
    <w:qFormat/>
    <w:rsid w:val="007107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107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07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107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107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107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07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07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07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nameChar">
    <w:name w:val="ch_name Char"/>
    <w:basedOn w:val="DefaultParagraphFont"/>
    <w:link w:val="chname"/>
    <w:qFormat/>
    <w:rsid w:val="006D0111"/>
    <w:rPr>
      <w:rFonts w:ascii="Times New Roman" w:eastAsia="SimSun" w:hAnsi="Times New Roman" w:cs="Times New Roman"/>
      <w:b/>
      <w:bCs/>
      <w:kern w:val="0"/>
      <w:sz w:val="52"/>
      <w:szCs w:val="52"/>
      <w:lang w:val="en-US"/>
    </w:rPr>
  </w:style>
  <w:style w:type="character" w:customStyle="1" w:styleId="Heading1Char">
    <w:name w:val="Heading 1 Char"/>
    <w:basedOn w:val="DefaultParagraphFont"/>
    <w:link w:val="Heading1"/>
    <w:uiPriority w:val="9"/>
    <w:qFormat/>
    <w:rsid w:val="007107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7107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7107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7107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7107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7107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7107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7107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7107C7"/>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7107C7"/>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7107C7"/>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7107C7"/>
    <w:rPr>
      <w:i/>
      <w:iCs/>
      <w:color w:val="404040" w:themeColor="text1" w:themeTint="BF"/>
    </w:rPr>
  </w:style>
  <w:style w:type="character" w:styleId="IntenseEmphasis">
    <w:name w:val="Intense Emphasis"/>
    <w:basedOn w:val="DefaultParagraphFont"/>
    <w:uiPriority w:val="21"/>
    <w:qFormat/>
    <w:rsid w:val="007107C7"/>
    <w:rPr>
      <w:i/>
      <w:iCs/>
      <w:color w:val="2F5496" w:themeColor="accent1" w:themeShade="BF"/>
    </w:rPr>
  </w:style>
  <w:style w:type="character" w:customStyle="1" w:styleId="IntenseQuoteChar">
    <w:name w:val="Intense Quote Char"/>
    <w:basedOn w:val="DefaultParagraphFont"/>
    <w:link w:val="IntenseQuote"/>
    <w:uiPriority w:val="30"/>
    <w:qFormat/>
    <w:rsid w:val="007107C7"/>
    <w:rPr>
      <w:i/>
      <w:iCs/>
      <w:color w:val="2F5496" w:themeColor="accent1" w:themeShade="BF"/>
    </w:rPr>
  </w:style>
  <w:style w:type="character" w:styleId="IntenseReference">
    <w:name w:val="Intense Reference"/>
    <w:basedOn w:val="DefaultParagraphFont"/>
    <w:uiPriority w:val="32"/>
    <w:qFormat/>
    <w:rsid w:val="007107C7"/>
    <w:rPr>
      <w:b/>
      <w:bCs/>
      <w:smallCaps/>
      <w:color w:val="2F5496" w:themeColor="accent1" w:themeShade="BF"/>
      <w:spacing w:val="5"/>
    </w:rPr>
  </w:style>
  <w:style w:type="character" w:customStyle="1" w:styleId="Title0">
    <w:name w:val="Title (文字)"/>
    <w:basedOn w:val="DefaultParagraphFont"/>
    <w:link w:val="1"/>
    <w:qFormat/>
    <w:rsid w:val="007107C7"/>
    <w:rPr>
      <w:rFonts w:ascii="Times New Roman" w:eastAsiaTheme="minorEastAsia" w:hAnsi="Times New Roman"/>
      <w:b/>
      <w:bCs/>
      <w:sz w:val="32"/>
      <w:szCs w:val="28"/>
      <w:lang w:val="en-US" w:eastAsia="ja-JP"/>
    </w:rPr>
  </w:style>
  <w:style w:type="character" w:customStyle="1" w:styleId="Subsection">
    <w:name w:val="#Subsection (文字)"/>
    <w:basedOn w:val="DefaultParagraphFont"/>
    <w:link w:val="Subsection0"/>
    <w:qFormat/>
    <w:rsid w:val="007107C7"/>
    <w:rPr>
      <w:rFonts w:ascii="Times New Roman" w:eastAsiaTheme="minorEastAsia" w:hAnsi="Times New Roman"/>
      <w:b/>
      <w:bCs/>
      <w:sz w:val="24"/>
      <w:szCs w:val="22"/>
      <w:lang w:val="en-US" w:eastAsia="ja-JP"/>
    </w:rPr>
  </w:style>
  <w:style w:type="character" w:customStyle="1" w:styleId="References">
    <w:name w:val="References (文字)"/>
    <w:basedOn w:val="DefaultParagraphFont"/>
    <w:link w:val="References0"/>
    <w:qFormat/>
    <w:rsid w:val="007107C7"/>
    <w:rPr>
      <w:rFonts w:ascii="Times New Roman" w:eastAsiaTheme="minorEastAsia" w:hAnsi="Times New Roman"/>
      <w:sz w:val="24"/>
      <w:szCs w:val="22"/>
      <w:lang w:val="en-US" w:eastAsia="ja-JP"/>
    </w:rPr>
  </w:style>
  <w:style w:type="character" w:customStyle="1" w:styleId="HeaderChar">
    <w:name w:val="Header Char"/>
    <w:basedOn w:val="DefaultParagraphFont"/>
    <w:link w:val="Header"/>
    <w:uiPriority w:val="99"/>
    <w:qFormat/>
    <w:rsid w:val="00747195"/>
  </w:style>
  <w:style w:type="character" w:customStyle="1" w:styleId="FooterChar">
    <w:name w:val="Footer Char"/>
    <w:basedOn w:val="DefaultParagraphFont"/>
    <w:link w:val="Footer"/>
    <w:uiPriority w:val="99"/>
    <w:qFormat/>
    <w:rsid w:val="00747195"/>
  </w:style>
  <w:style w:type="character" w:customStyle="1" w:styleId="Text">
    <w:name w:val="#Text (文字)"/>
    <w:basedOn w:val="DefaultParagraphFont"/>
    <w:link w:val="Text0"/>
    <w:qFormat/>
    <w:rsid w:val="006D66B7"/>
    <w:rPr>
      <w:rFonts w:ascii="Times New Roman" w:eastAsiaTheme="minorEastAsia" w:hAnsi="Times New Roman"/>
      <w:sz w:val="24"/>
      <w:szCs w:val="22"/>
      <w:lang w:val="en-US" w:eastAsia="ja-JP"/>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hname">
    <w:name w:val="ch_name"/>
    <w:basedOn w:val="Normal"/>
    <w:link w:val="chnameChar"/>
    <w:autoRedefine/>
    <w:qFormat/>
    <w:rsid w:val="006D0111"/>
    <w:pPr>
      <w:spacing w:line="240" w:lineRule="auto"/>
    </w:pPr>
    <w:rPr>
      <w:rFonts w:ascii="Times New Roman" w:eastAsia="SimSun" w:hAnsi="Times New Roman" w:cs="Times New Roman"/>
      <w:b/>
      <w:bCs/>
      <w:kern w:val="0"/>
      <w:sz w:val="52"/>
      <w:szCs w:val="52"/>
      <w:lang w:val="en-US"/>
    </w:rPr>
  </w:style>
  <w:style w:type="paragraph" w:styleId="Title">
    <w:name w:val="Title"/>
    <w:basedOn w:val="Normal"/>
    <w:next w:val="Normal"/>
    <w:link w:val="TitleChar"/>
    <w:uiPriority w:val="10"/>
    <w:qFormat/>
    <w:rsid w:val="007107C7"/>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7107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07C7"/>
    <w:pPr>
      <w:spacing w:before="160"/>
      <w:jc w:val="center"/>
    </w:pPr>
    <w:rPr>
      <w:i/>
      <w:iCs/>
      <w:color w:val="404040" w:themeColor="text1" w:themeTint="BF"/>
    </w:rPr>
  </w:style>
  <w:style w:type="paragraph" w:styleId="ListParagraph">
    <w:name w:val="List Paragraph"/>
    <w:basedOn w:val="Normal"/>
    <w:uiPriority w:val="34"/>
    <w:qFormat/>
    <w:rsid w:val="007107C7"/>
    <w:pPr>
      <w:ind w:left="720"/>
      <w:contextualSpacing/>
    </w:pPr>
  </w:style>
  <w:style w:type="paragraph" w:styleId="IntenseQuote">
    <w:name w:val="Intense Quote"/>
    <w:basedOn w:val="Normal"/>
    <w:next w:val="Normal"/>
    <w:link w:val="IntenseQuoteChar"/>
    <w:uiPriority w:val="30"/>
    <w:qFormat/>
    <w:rsid w:val="007107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paragraph" w:customStyle="1" w:styleId="1">
    <w:name w:val="表題1"/>
    <w:basedOn w:val="Normal"/>
    <w:link w:val="Title0"/>
    <w:qFormat/>
    <w:rsid w:val="007107C7"/>
    <w:pPr>
      <w:widowControl w:val="0"/>
      <w:spacing w:after="0" w:line="480" w:lineRule="auto"/>
      <w:jc w:val="center"/>
    </w:pPr>
    <w:rPr>
      <w:rFonts w:ascii="Times New Roman" w:eastAsiaTheme="minorEastAsia" w:hAnsi="Times New Roman"/>
      <w:b/>
      <w:bCs/>
      <w:sz w:val="32"/>
      <w:szCs w:val="28"/>
      <w:lang w:val="en-US" w:eastAsia="ja-JP"/>
    </w:rPr>
  </w:style>
  <w:style w:type="paragraph" w:customStyle="1" w:styleId="Subsection0">
    <w:name w:val="#Subsection"/>
    <w:basedOn w:val="Normal"/>
    <w:link w:val="Subsection"/>
    <w:qFormat/>
    <w:rsid w:val="007107C7"/>
    <w:pPr>
      <w:widowControl w:val="0"/>
      <w:spacing w:after="0" w:line="480" w:lineRule="auto"/>
      <w:jc w:val="both"/>
    </w:pPr>
    <w:rPr>
      <w:rFonts w:ascii="Times New Roman" w:eastAsiaTheme="minorEastAsia" w:hAnsi="Times New Roman"/>
      <w:b/>
      <w:bCs/>
      <w:sz w:val="24"/>
      <w:szCs w:val="22"/>
      <w:lang w:val="en-US" w:eastAsia="ja-JP"/>
    </w:rPr>
  </w:style>
  <w:style w:type="paragraph" w:customStyle="1" w:styleId="References0">
    <w:name w:val="References"/>
    <w:basedOn w:val="Normal"/>
    <w:link w:val="References"/>
    <w:qFormat/>
    <w:rsid w:val="007107C7"/>
    <w:pPr>
      <w:widowControl w:val="0"/>
      <w:spacing w:after="0" w:line="480" w:lineRule="auto"/>
      <w:ind w:left="480" w:hanging="480"/>
      <w:jc w:val="both"/>
    </w:pPr>
    <w:rPr>
      <w:rFonts w:ascii="Times New Roman" w:eastAsiaTheme="minorEastAsia" w:hAnsi="Times New Roman"/>
      <w:sz w:val="24"/>
      <w:szCs w:val="22"/>
      <w:lang w:val="en-US" w:eastAsia="ja-JP"/>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47195"/>
    <w:pPr>
      <w:tabs>
        <w:tab w:val="center" w:pos="4513"/>
        <w:tab w:val="right" w:pos="9026"/>
      </w:tabs>
      <w:spacing w:after="0" w:line="240" w:lineRule="auto"/>
    </w:pPr>
  </w:style>
  <w:style w:type="paragraph" w:styleId="Footer">
    <w:name w:val="footer"/>
    <w:basedOn w:val="Normal"/>
    <w:link w:val="FooterChar"/>
    <w:uiPriority w:val="99"/>
    <w:unhideWhenUsed/>
    <w:rsid w:val="00747195"/>
    <w:pPr>
      <w:tabs>
        <w:tab w:val="center" w:pos="4513"/>
        <w:tab w:val="right" w:pos="9026"/>
      </w:tabs>
      <w:spacing w:after="0" w:line="240" w:lineRule="auto"/>
    </w:pPr>
  </w:style>
  <w:style w:type="paragraph" w:customStyle="1" w:styleId="Text0">
    <w:name w:val="#Text"/>
    <w:basedOn w:val="Normal"/>
    <w:link w:val="Text"/>
    <w:qFormat/>
    <w:rsid w:val="006D66B7"/>
    <w:pPr>
      <w:widowControl w:val="0"/>
      <w:spacing w:after="0" w:line="480" w:lineRule="auto"/>
      <w:jc w:val="both"/>
    </w:pPr>
    <w:rPr>
      <w:rFonts w:ascii="Times New Roman" w:eastAsiaTheme="minorEastAsia" w:hAnsi="Times New Roman"/>
      <w:sz w:val="24"/>
      <w:szCs w:val="22"/>
      <w:lang w:val="en-US" w:eastAsia="ja-JP"/>
    </w:rPr>
  </w:style>
  <w:style w:type="paragraph" w:customStyle="1" w:styleId="FrameContents">
    <w:name w:val="Frame Contents"/>
    <w:basedOn w:val="Normal"/>
    <w:qFormat/>
  </w:style>
  <w:style w:type="paragraph" w:customStyle="1" w:styleId="Section">
    <w:name w:val="#Section"/>
    <w:basedOn w:val="Normal"/>
    <w:qFormat/>
    <w:rPr>
      <w:b/>
      <w:bCs/>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837</TotalTime>
  <Pages>17</Pages>
  <Words>2883</Words>
  <Characters>16436</Characters>
  <Application>Microsoft Office Word</Application>
  <DocSecurity>0</DocSecurity>
  <Lines>136</Lines>
  <Paragraphs>38</Paragraphs>
  <ScaleCrop>false</ScaleCrop>
  <Company/>
  <LinksUpToDate>false</LinksUpToDate>
  <CharactersWithSpaces>19281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File</dc:title>
  <dc:subject/>
  <dc:creator>Prolay Saha</dc:creator>
  <dc:description/>
  <cp:lastModifiedBy>Prolay Saha</cp:lastModifiedBy>
  <cp:revision>18</cp:revision>
  <dcterms:created xsi:type="dcterms:W3CDTF">2025-12-31T09:25:00Z</dcterms:created>
  <dcterms:modified xsi:type="dcterms:W3CDTF">2026-01-12T18:28:00Z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http://www.zotero.org/styles/harvard-cite-them-right</vt:lpwstr>
  </property>
  <property fmtid="{D5CDD505-2E9C-101B-9397-08002B2CF9AE}" pid="3" name="Mendeley Document_1">
    <vt:lpwstr>True</vt:lpwstr>
  </property>
  <property fmtid="{D5CDD505-2E9C-101B-9397-08002B2CF9AE}" pid="4" name="Mendeley Recent Style Id 0_1">
    <vt:lpwstr>http://www.zotero.org/styles/american-geophysical-union</vt:lpwstr>
  </property>
  <property fmtid="{D5CDD505-2E9C-101B-9397-08002B2CF9AE}" pid="5" name="Mendeley Recent Style Id 1_1">
    <vt:lpwstr>http://www.zotero.org/styles/american-medical-association</vt:lpwstr>
  </property>
  <property fmtid="{D5CDD505-2E9C-101B-9397-08002B2CF9AE}" pid="6" name="Mendeley Recent Style Id 2_1">
    <vt:lpwstr>http://www.zotero.org/styles/american-political-science-association</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http://www.zotero.org/styles/harvard1</vt:lpwstr>
  </property>
  <property fmtid="{D5CDD505-2E9C-101B-9397-08002B2CF9AE}" pid="10" name="Mendeley Recent Style Id 6_1">
    <vt:lpwstr>http://www.zotero.org/styles/journal-of-climate</vt:lpwstr>
  </property>
  <property fmtid="{D5CDD505-2E9C-101B-9397-08002B2CF9AE}" pid="11" name="Mendeley Recent Style Id 7_1">
    <vt:lpwstr>http://www.zotero.org/styles/vancouver</vt:lpwstr>
  </property>
  <property fmtid="{D5CDD505-2E9C-101B-9397-08002B2CF9AE}" pid="12" name="Mendeley Recent Style Id 8_1">
    <vt:lpwstr>http://csl.mendeley.com/styles/635325091/vancouver</vt:lpwstr>
  </property>
  <property fmtid="{D5CDD505-2E9C-101B-9397-08002B2CF9AE}" pid="13" name="Mendeley Recent Style Id 9_1">
    <vt:lpwstr>https://csl.mendeley.com/styles/635325091/vancouver</vt:lpwstr>
  </property>
  <property fmtid="{D5CDD505-2E9C-101B-9397-08002B2CF9AE}" pid="14" name="Mendeley Recent Style Name 0_1">
    <vt:lpwstr>American Geophysical Union</vt:lpwstr>
  </property>
  <property fmtid="{D5CDD505-2E9C-101B-9397-08002B2CF9AE}" pid="15" name="Mendeley Recent Style Name 1_1">
    <vt:lpwstr>American Medical Association 11th edition</vt:lpwstr>
  </property>
  <property fmtid="{D5CDD505-2E9C-101B-9397-08002B2CF9AE}" pid="16" name="Mendeley Recent Style Name 2_1">
    <vt:lpwstr>American Political Science Association</vt:lpwstr>
  </property>
  <property fmtid="{D5CDD505-2E9C-101B-9397-08002B2CF9AE}" pid="17" name="Mendeley Recent Style Name 3_1">
    <vt:lpwstr>American Sociological Association 6th edition</vt:lpwstr>
  </property>
  <property fmtid="{D5CDD505-2E9C-101B-9397-08002B2CF9AE}" pid="18" name="Mendeley Recent Style Name 4_1">
    <vt:lpwstr>Cite Them Right 12th edition - Harvard</vt:lpwstr>
  </property>
  <property fmtid="{D5CDD505-2E9C-101B-9397-08002B2CF9AE}" pid="19" name="Mendeley Recent Style Name 5_1">
    <vt:lpwstr>Harvard reference format 1 (deprecated)</vt:lpwstr>
  </property>
  <property fmtid="{D5CDD505-2E9C-101B-9397-08002B2CF9AE}" pid="20" name="Mendeley Recent Style Name 6_1">
    <vt:lpwstr>Journal of Climate</vt:lpwstr>
  </property>
  <property fmtid="{D5CDD505-2E9C-101B-9397-08002B2CF9AE}" pid="21" name="Mendeley Recent Style Name 7_1">
    <vt:lpwstr>Vancouver</vt:lpwstr>
  </property>
  <property fmtid="{D5CDD505-2E9C-101B-9397-08002B2CF9AE}" pid="22" name="Mendeley Recent Style Name 8_1">
    <vt:lpwstr>Vancouver - Prolay Saha</vt:lpwstr>
  </property>
  <property fmtid="{D5CDD505-2E9C-101B-9397-08002B2CF9AE}" pid="23" name="Mendeley Recent Style Name 9_1">
    <vt:lpwstr>Vancouver - Prolay Saha-2</vt:lpwstr>
  </property>
  <property fmtid="{D5CDD505-2E9C-101B-9397-08002B2CF9AE}" pid="24" name="Mendeley Unique User Id_1">
    <vt:lpwstr>fce382cd-3017-3a50-8751-cba1dadda348</vt:lpwstr>
  </property>
</Properties>
</file>